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right="260" w:hanging="459"/>
        <w:spacing w:after="0" w:line="227"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80" w:right="260" w:hanging="459"/>
        <w:spacing w:after="0" w:line="235"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22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-7620</wp:posOffset>
            </wp:positionV>
            <wp:extent cx="342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100" w:type="dxa"/>
            <w:vAlign w:val="bottom"/>
          </w:tcPr>
          <w:p>
            <w:pPr>
              <w:jc w:val="center"/>
              <w:ind w:right="1277"/>
              <w:spacing w:after="0"/>
              <w:rPr>
                <w:sz w:val="20"/>
                <w:szCs w:val="20"/>
                <w:color w:val="auto"/>
              </w:rPr>
            </w:pPr>
            <w:r>
              <w:rPr>
                <w:rFonts w:ascii="Arial" w:cs="Arial" w:eastAsia="Arial" w:hAnsi="Arial"/>
                <w:sz w:val="18"/>
                <w:szCs w:val="18"/>
                <w:b w:val="1"/>
                <w:bCs w:val="1"/>
                <w:color w:val="auto"/>
              </w:rPr>
              <w:t>MARYLAND</w:t>
            </w:r>
          </w:p>
        </w:tc>
        <w:tc>
          <w:tcPr>
            <w:tcW w:w="3580" w:type="dxa"/>
            <w:vAlign w:val="bottom"/>
          </w:tcPr>
          <w:p>
            <w:pPr>
              <w:jc w:val="right"/>
              <w:ind w:right="579"/>
              <w:spacing w:after="0"/>
              <w:rPr>
                <w:sz w:val="20"/>
                <w:szCs w:val="20"/>
                <w:color w:val="auto"/>
              </w:rPr>
            </w:pPr>
            <w:r>
              <w:rPr>
                <w:rFonts w:ascii="Arial" w:cs="Arial" w:eastAsia="Arial" w:hAnsi="Arial"/>
                <w:sz w:val="18"/>
                <w:szCs w:val="18"/>
                <w:b w:val="1"/>
                <w:bCs w:val="1"/>
                <w:color w:val="auto"/>
              </w:rPr>
              <w:t>20-8250744</w:t>
            </w:r>
          </w:p>
        </w:tc>
        <w:tc>
          <w:tcPr>
            <w:tcW w:w="0" w:type="dxa"/>
            <w:vAlign w:val="bottom"/>
          </w:tcPr>
          <w:p>
            <w:pPr>
              <w:spacing w:after="0"/>
              <w:rPr>
                <w:sz w:val="1"/>
                <w:szCs w:val="1"/>
                <w:color w:val="auto"/>
              </w:rPr>
            </w:pPr>
          </w:p>
        </w:tc>
      </w:tr>
      <w:tr>
        <w:trPr>
          <w:trHeight w:val="186"/>
        </w:trPr>
        <w:tc>
          <w:tcPr>
            <w:tcW w:w="51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580" w:type="dxa"/>
            <w:vAlign w:val="bottom"/>
          </w:tcPr>
          <w:p>
            <w:pPr>
              <w:jc w:val="center"/>
              <w:ind w:left="1299"/>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50"/>
        </w:trPr>
        <w:tc>
          <w:tcPr>
            <w:tcW w:w="5100" w:type="dxa"/>
            <w:vAlign w:val="bottom"/>
          </w:tcPr>
          <w:p>
            <w:pPr>
              <w:jc w:val="center"/>
              <w:ind w:right="1337"/>
              <w:spacing w:after="0"/>
              <w:rPr>
                <w:sz w:val="20"/>
                <w:szCs w:val="20"/>
                <w:color w:val="auto"/>
              </w:rPr>
            </w:pPr>
            <w:r>
              <w:rPr>
                <w:rFonts w:ascii="Arial" w:cs="Arial" w:eastAsia="Arial" w:hAnsi="Arial"/>
                <w:sz w:val="18"/>
                <w:szCs w:val="18"/>
                <w:b w:val="1"/>
                <w:bCs w:val="1"/>
                <w:color w:val="auto"/>
                <w:w w:val="90"/>
              </w:rPr>
              <w:t>1691 Michigan Avenue,</w:t>
            </w:r>
          </w:p>
        </w:tc>
        <w:tc>
          <w:tcPr>
            <w:tcW w:w="3580" w:type="dxa"/>
            <w:vAlign w:val="bottom"/>
            <w:vMerge w:val="restart"/>
          </w:tcPr>
          <w:p>
            <w:pPr>
              <w:jc w:val="right"/>
              <w:ind w:right="779"/>
              <w:spacing w:after="0"/>
              <w:rPr>
                <w:sz w:val="20"/>
                <w:szCs w:val="20"/>
                <w:color w:val="auto"/>
              </w:rPr>
            </w:pPr>
            <w:r>
              <w:rPr>
                <w:rFonts w:ascii="Arial" w:cs="Arial" w:eastAsia="Arial" w:hAnsi="Arial"/>
                <w:sz w:val="18"/>
                <w:szCs w:val="18"/>
                <w:b w:val="1"/>
                <w:bCs w:val="1"/>
                <w:color w:val="auto"/>
              </w:rPr>
              <w:t>33319</w:t>
            </w:r>
          </w:p>
        </w:tc>
        <w:tc>
          <w:tcPr>
            <w:tcW w:w="0" w:type="dxa"/>
            <w:vAlign w:val="bottom"/>
          </w:tcPr>
          <w:p>
            <w:pPr>
              <w:spacing w:after="0"/>
              <w:rPr>
                <w:sz w:val="1"/>
                <w:szCs w:val="1"/>
                <w:color w:val="auto"/>
              </w:rPr>
            </w:pPr>
          </w:p>
        </w:tc>
      </w:tr>
      <w:tr>
        <w:trPr>
          <w:trHeight w:val="207"/>
        </w:trPr>
        <w:tc>
          <w:tcPr>
            <w:tcW w:w="5100" w:type="dxa"/>
            <w:vAlign w:val="bottom"/>
          </w:tcPr>
          <w:p>
            <w:pPr>
              <w:jc w:val="center"/>
              <w:ind w:right="1297"/>
              <w:spacing w:after="0"/>
              <w:rPr>
                <w:sz w:val="20"/>
                <w:szCs w:val="20"/>
                <w:color w:val="auto"/>
              </w:rPr>
            </w:pPr>
            <w:r>
              <w:rPr>
                <w:rFonts w:ascii="Arial" w:cs="Arial" w:eastAsia="Arial" w:hAnsi="Arial"/>
                <w:sz w:val="18"/>
                <w:szCs w:val="18"/>
                <w:b w:val="1"/>
                <w:bCs w:val="1"/>
                <w:color w:val="auto"/>
                <w:w w:val="93"/>
              </w:rPr>
              <w:t>Miami Beach, Florida</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100" w:type="dxa"/>
            <w:vAlign w:val="bottom"/>
          </w:tcPr>
          <w:p>
            <w:pPr>
              <w:jc w:val="center"/>
              <w:ind w:right="1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905-1000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517" w:right="339" w:bottom="1440" w:gutter="0" w:footer="0" w:header="0"/>
        </w:sectPr>
      </w:pPr>
    </w:p>
    <w:p>
      <w:pPr>
        <w:spacing w:after="0" w:line="190" w:lineRule="exact"/>
        <w:rPr>
          <w:sz w:val="24"/>
          <w:szCs w:val="24"/>
          <w:color w:val="auto"/>
        </w:rPr>
      </w:pPr>
    </w:p>
    <w:p>
      <w:pPr>
        <w:ind w:left="12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sectPr>
          <w:pgSz w:w="11900" w:h="16838" w:orient="portrait"/>
          <w:cols w:equalWidth="0" w:num="3">
            <w:col w:w="4260" w:space="720"/>
            <w:col w:w="2080" w:space="720"/>
            <w:col w:w="3460"/>
          </w:cols>
          <w:pgMar w:left="320" w:top="517" w:right="33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New York Stock Exchange</w:t>
      </w:r>
    </w:p>
    <w:p>
      <w:pPr>
        <w:spacing w:after="0" w:line="199" w:lineRule="exact"/>
        <w:rPr>
          <w:sz w:val="24"/>
          <w:szCs w:val="24"/>
          <w:color w:val="auto"/>
        </w:rPr>
      </w:pPr>
    </w:p>
    <w:p>
      <w:pPr>
        <w:sectPr>
          <w:pgSz w:w="11900" w:h="16838" w:orient="portrait"/>
          <w:cols w:equalWidth="0" w:num="3">
            <w:col w:w="4700" w:space="720"/>
            <w:col w:w="2200" w:space="720"/>
            <w:col w:w="2900"/>
          </w:cols>
          <w:pgMar w:left="320" w:top="517" w:right="339" w:bottom="1440" w:gutter="0" w:footer="0" w:header="0"/>
          <w:type w:val="continuous"/>
        </w:sectPr>
      </w:pPr>
    </w:p>
    <w:p>
      <w:pPr>
        <w:ind w:firstLine="509"/>
        <w:spacing w:after="0" w:line="24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49" w:lineRule="exact"/>
        <w:rPr>
          <w:sz w:val="24"/>
          <w:szCs w:val="24"/>
          <w:color w:val="auto"/>
        </w:rPr>
      </w:pPr>
    </w:p>
    <w:p>
      <w:pPr>
        <w:ind w:right="180" w:firstLine="50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jc w:val="both"/>
        <w:ind w:right="24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154" w:lineRule="exact"/>
        <w:rPr>
          <w:sz w:val="24"/>
          <w:szCs w:val="24"/>
          <w:color w:val="auto"/>
        </w:rPr>
      </w:pPr>
    </w:p>
    <w:p>
      <w:pPr>
        <w:jc w:val="both"/>
        <w:ind w:right="80" w:firstLine="509"/>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4" w:lineRule="exact"/>
        <w:rPr>
          <w:sz w:val="24"/>
          <w:szCs w:val="24"/>
          <w:color w:val="auto"/>
        </w:rPr>
      </w:pPr>
    </w:p>
    <w:p>
      <w:pPr>
        <w:ind w:left="520"/>
        <w:spacing w:after="0"/>
        <w:tabs>
          <w:tab w:leader="none" w:pos="8020" w:val="left"/>
          <w:tab w:leader="none" w:pos="85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4"/>
          <w:szCs w:val="14"/>
          <w:color w:val="auto"/>
        </w:rPr>
        <w:t>No</w:t>
      </w:r>
    </w:p>
    <w:p>
      <w:pPr>
        <w:spacing w:after="0" w:line="59" w:lineRule="exact"/>
        <w:rPr>
          <w:sz w:val="24"/>
          <w:szCs w:val="24"/>
          <w:color w:val="auto"/>
        </w:rPr>
      </w:pPr>
    </w:p>
    <w:p>
      <w:pPr>
        <w:ind w:left="520"/>
        <w:spacing w:after="0"/>
        <w:rPr>
          <w:sz w:val="20"/>
          <w:szCs w:val="20"/>
          <w:color w:val="auto"/>
        </w:rPr>
      </w:pPr>
      <w:r>
        <w:rPr>
          <w:rFonts w:ascii="Arial" w:cs="Arial" w:eastAsia="Arial" w:hAnsi="Arial"/>
          <w:sz w:val="16"/>
          <w:szCs w:val="16"/>
          <w:color w:val="auto"/>
        </w:rPr>
        <w:t>The number of shares of the registrant’s common stock, $0.001 par value per share, outstanding as of August 3, 2022 was 65,413,942.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spacing w:after="0" w:line="17"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FORM 10-Q FOR THE QUARTER ENDED JUNE 30, 2022</w:t>
      </w:r>
    </w:p>
    <w:p>
      <w:pPr>
        <w:spacing w:after="0" w:line="1" w:lineRule="exact"/>
        <w:rPr>
          <w:sz w:val="20"/>
          <w:szCs w:val="20"/>
          <w:color w:val="auto"/>
        </w:rPr>
      </w:pP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80" w:type="dxa"/>
            <w:vAlign w:val="bottom"/>
            <w:gridSpan w:val="14"/>
          </w:tcPr>
          <w:p>
            <w:pPr>
              <w:jc w:val="center"/>
              <w:ind w:right="2140"/>
              <w:spacing w:after="0"/>
              <w:rPr>
                <w:rFonts w:ascii="Arial" w:cs="Arial" w:eastAsia="Arial" w:hAnsi="Arial"/>
                <w:sz w:val="14"/>
                <w:szCs w:val="14"/>
                <w:b w:val="1"/>
                <w:bCs w:val="1"/>
                <w:color w:val="0000FF"/>
              </w:rPr>
            </w:pPr>
            <w:hyperlink w:anchor="page3">
              <w:r>
                <w:rPr>
                  <w:rFonts w:ascii="Arial" w:cs="Arial" w:eastAsia="Arial" w:hAnsi="Arial"/>
                  <w:sz w:val="14"/>
                  <w:szCs w:val="14"/>
                  <w:b w:val="1"/>
                  <w:bCs w:val="1"/>
                  <w:color w:val="0000FF"/>
                </w:rPr>
                <w:t>PART I. CONSOLIDATED FINANCIAL INFORMATION</w:t>
              </w:r>
            </w:hyperlink>
          </w:p>
        </w:tc>
        <w:tc>
          <w:tcPr>
            <w:tcW w:w="1940" w:type="dxa"/>
            <w:vAlign w:val="bottom"/>
          </w:tcPr>
          <w:p>
            <w:pPr>
              <w:spacing w:after="0"/>
              <w:rPr>
                <w:sz w:val="14"/>
                <w:szCs w:val="14"/>
                <w:color w:val="auto"/>
              </w:rPr>
            </w:pPr>
          </w:p>
        </w:tc>
      </w:tr>
      <w:tr>
        <w:trPr>
          <w:trHeight w:val="331"/>
        </w:trPr>
        <w:tc>
          <w:tcPr>
            <w:tcW w:w="20" w:type="dxa"/>
            <w:vAlign w:val="bottom"/>
          </w:tcPr>
          <w:p>
            <w:pPr>
              <w:spacing w:after="0"/>
              <w:rPr>
                <w:sz w:val="24"/>
                <w:szCs w:val="24"/>
                <w:color w:val="auto"/>
              </w:rPr>
            </w:pPr>
          </w:p>
        </w:tc>
        <w:tc>
          <w:tcPr>
            <w:tcW w:w="3500" w:type="dxa"/>
            <w:vAlign w:val="bottom"/>
            <w:gridSpan w:val="11"/>
          </w:tcPr>
          <w:p>
            <w:pPr>
              <w:spacing w:after="0"/>
              <w:rPr>
                <w:rFonts w:ascii="Arial" w:cs="Arial" w:eastAsia="Arial" w:hAnsi="Arial"/>
                <w:sz w:val="14"/>
                <w:szCs w:val="14"/>
                <w:b w:val="1"/>
                <w:bCs w:val="1"/>
                <w:color w:val="0000FF"/>
              </w:rPr>
            </w:pPr>
            <w:hyperlink w:anchor="page4">
              <w:r>
                <w:rPr>
                  <w:rFonts w:ascii="Arial" w:cs="Arial" w:eastAsia="Arial" w:hAnsi="Arial"/>
                  <w:sz w:val="14"/>
                  <w:szCs w:val="14"/>
                  <w:b w:val="1"/>
                  <w:bCs w:val="1"/>
                  <w:color w:val="0000FF"/>
                </w:rPr>
                <w:t>Item 1. Consolidated Financial Statements</w:t>
              </w:r>
            </w:hyperlink>
          </w:p>
        </w:tc>
        <w:tc>
          <w:tcPr>
            <w:tcW w:w="3640" w:type="dxa"/>
            <w:vAlign w:val="bottom"/>
            <w:tcBorders>
              <w:top w:val="single" w:sz="8" w:color="0000FF"/>
            </w:tcBorders>
            <w:gridSpan w:val="12"/>
          </w:tcPr>
          <w:p>
            <w:pPr>
              <w:spacing w:after="0"/>
              <w:rPr>
                <w:sz w:val="24"/>
                <w:szCs w:val="24"/>
                <w:color w:val="auto"/>
              </w:rPr>
            </w:pPr>
          </w:p>
        </w:tc>
        <w:tc>
          <w:tcPr>
            <w:tcW w:w="2140" w:type="dxa"/>
            <w:vAlign w:val="bottom"/>
            <w:gridSpan w:val="2"/>
          </w:tcPr>
          <w:p>
            <w:pPr>
              <w:spacing w:after="0"/>
              <w:rPr>
                <w:sz w:val="24"/>
                <w:szCs w:val="24"/>
                <w:color w:val="auto"/>
              </w:rPr>
            </w:pPr>
          </w:p>
        </w:tc>
        <w:tc>
          <w:tcPr>
            <w:tcW w:w="1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tcBorders>
              <w:bottom w:val="single" w:sz="8" w:color="0000FF"/>
            </w:tcBorders>
            <w:gridSpan w:val="20"/>
          </w:tcPr>
          <w:p>
            <w:pPr>
              <w:spacing w:after="0"/>
              <w:rPr>
                <w:rFonts w:ascii="Arial" w:cs="Arial" w:eastAsia="Arial" w:hAnsi="Arial"/>
                <w:sz w:val="14"/>
                <w:szCs w:val="14"/>
                <w:color w:val="0000FF"/>
                <w:w w:val="92"/>
              </w:rPr>
            </w:pPr>
            <w:hyperlink w:anchor="page4">
              <w:r>
                <w:rPr>
                  <w:rFonts w:ascii="Arial" w:cs="Arial" w:eastAsia="Arial" w:hAnsi="Arial"/>
                  <w:sz w:val="14"/>
                  <w:szCs w:val="14"/>
                  <w:color w:val="0000FF"/>
                  <w:w w:val="92"/>
                </w:rPr>
                <w:t>Consolidated Statements of Assets and Liabilities as of June 30, 2022 (unaudited) and September 30, 2021</w:t>
              </w:r>
            </w:hyperlink>
          </w:p>
        </w:tc>
        <w:tc>
          <w:tcPr>
            <w:tcW w:w="274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6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5">
              <w:r>
                <w:rPr>
                  <w:rFonts w:ascii="Arial" w:cs="Arial" w:eastAsia="Arial" w:hAnsi="Arial"/>
                  <w:sz w:val="14"/>
                  <w:szCs w:val="14"/>
                  <w:color w:val="0000FF"/>
                  <w:w w:val="91"/>
                </w:rPr>
                <w:t>Consolidated Statements of Operations for the three and nine months ended June 30, 2022 and 2021 (unaudited)</w:t>
              </w:r>
            </w:hyperlink>
          </w:p>
        </w:tc>
        <w:tc>
          <w:tcPr>
            <w:tcW w:w="24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Changes in Net Assets for the three and nine months ended June 30, 2022 and 2021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tcBorders>
              <w:top w:val="single" w:sz="8" w:color="0000FF"/>
              <w:bottom w:val="single" w:sz="8" w:color="0000FF"/>
            </w:tcBorders>
            <w:gridSpan w:val="18"/>
          </w:tcPr>
          <w:p>
            <w:pPr>
              <w:spacing w:after="0"/>
              <w:rPr>
                <w:rFonts w:ascii="Arial" w:cs="Arial" w:eastAsia="Arial" w:hAnsi="Arial"/>
                <w:sz w:val="14"/>
                <w:szCs w:val="14"/>
                <w:color w:val="0000FF"/>
                <w:w w:val="91"/>
              </w:rPr>
            </w:pPr>
            <w:hyperlink w:anchor="page7">
              <w:r>
                <w:rPr>
                  <w:rFonts w:ascii="Arial" w:cs="Arial" w:eastAsia="Arial" w:hAnsi="Arial"/>
                  <w:sz w:val="14"/>
                  <w:szCs w:val="14"/>
                  <w:color w:val="0000FF"/>
                  <w:w w:val="91"/>
                </w:rPr>
                <w:t>Consolidated Statements of Cash Flows for the nine months ended June 30, 2022 and 2021 (unaudited)</w:t>
              </w:r>
            </w:hyperlink>
          </w:p>
        </w:tc>
        <w:tc>
          <w:tcPr>
            <w:tcW w:w="1180" w:type="dxa"/>
            <w:vAlign w:val="bottom"/>
            <w:tcBorders>
              <w:top w:val="single" w:sz="8" w:color="0000FF"/>
            </w:tcBorders>
            <w:gridSpan w:val="5"/>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4"/>
                <w:szCs w:val="14"/>
                <w:color w:val="0000FF"/>
              </w:rPr>
            </w:pPr>
            <w:hyperlink w:anchor="page8">
              <w:r>
                <w:rPr>
                  <w:rFonts w:ascii="Arial" w:cs="Arial" w:eastAsia="Arial" w:hAnsi="Arial"/>
                  <w:sz w:val="14"/>
                  <w:szCs w:val="14"/>
                  <w:color w:val="0000FF"/>
                </w:rPr>
                <w:t>Consolidated Schedules of Investments as of June 30, 2022 (unaudited) and September 30, 2021</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2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2"/>
              </w:rPr>
            </w:pPr>
            <w:hyperlink w:anchor="page19">
              <w:r>
                <w:rPr>
                  <w:rFonts w:ascii="Arial" w:cs="Arial" w:eastAsia="Arial" w:hAnsi="Arial"/>
                  <w:sz w:val="14"/>
                  <w:szCs w:val="14"/>
                  <w:color w:val="0000FF"/>
                  <w:w w:val="92"/>
                </w:rPr>
                <w:t>Notes to Consolidated Financial Statements (unaudited)</w:t>
              </w:r>
            </w:hyperlink>
          </w:p>
        </w:tc>
        <w:tc>
          <w:tcPr>
            <w:tcW w:w="2320" w:type="dxa"/>
            <w:vAlign w:val="bottom"/>
            <w:tcBorders>
              <w:top w:val="single" w:sz="8" w:color="0000FF"/>
            </w:tcBorders>
            <w:gridSpan w:val="5"/>
          </w:tcPr>
          <w:p>
            <w:pPr>
              <w:spacing w:after="0"/>
              <w:rPr>
                <w:sz w:val="24"/>
                <w:szCs w:val="24"/>
                <w:color w:val="auto"/>
              </w:rPr>
            </w:pPr>
          </w:p>
        </w:tc>
        <w:tc>
          <w:tcPr>
            <w:tcW w:w="338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331"/>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gridSpan w:val="24"/>
          </w:tcPr>
          <w:p>
            <w:pPr>
              <w:spacing w:after="0"/>
              <w:rPr>
                <w:rFonts w:ascii="Arial" w:cs="Arial" w:eastAsia="Arial" w:hAnsi="Arial"/>
                <w:sz w:val="14"/>
                <w:szCs w:val="14"/>
                <w:color w:val="0000FF"/>
              </w:rPr>
            </w:pPr>
            <w:hyperlink w:anchor="page36">
              <w:r>
                <w:rPr>
                  <w:rFonts w:ascii="Arial" w:cs="Arial" w:eastAsia="Arial" w:hAnsi="Arial"/>
                  <w:sz w:val="14"/>
                  <w:szCs w:val="14"/>
                  <w:color w:val="0000FF"/>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40" w:type="dxa"/>
            <w:vAlign w:val="bottom"/>
            <w:tcBorders>
              <w:bottom w:val="single" w:sz="8" w:color="0000FF"/>
            </w:tcBorders>
            <w:gridSpan w:val="18"/>
          </w:tcPr>
          <w:p>
            <w:pPr>
              <w:spacing w:after="0"/>
              <w:rPr>
                <w:rFonts w:ascii="Arial" w:cs="Arial" w:eastAsia="Arial" w:hAnsi="Arial"/>
                <w:sz w:val="14"/>
                <w:szCs w:val="14"/>
                <w:b w:val="1"/>
                <w:bCs w:val="1"/>
                <w:color w:val="0000FF"/>
                <w:w w:val="92"/>
              </w:rPr>
            </w:pPr>
            <w:hyperlink w:anchor="page38">
              <w:r>
                <w:rPr>
                  <w:rFonts w:ascii="Arial" w:cs="Arial" w:eastAsia="Arial" w:hAnsi="Arial"/>
                  <w:sz w:val="14"/>
                  <w:szCs w:val="14"/>
                  <w:b w:val="1"/>
                  <w:bCs w:val="1"/>
                  <w:color w:val="0000FF"/>
                  <w:w w:val="92"/>
                </w:rPr>
                <w:t>Item 2. Management’s Discussion and Analysis of Financial Condition and Results of Operations</w:t>
              </w:r>
            </w:hyperlink>
          </w:p>
        </w:tc>
        <w:tc>
          <w:tcPr>
            <w:tcW w:w="334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31"/>
        </w:trPr>
        <w:tc>
          <w:tcPr>
            <w:tcW w:w="20" w:type="dxa"/>
            <w:vAlign w:val="bottom"/>
          </w:tcPr>
          <w:p>
            <w:pPr>
              <w:spacing w:after="0"/>
              <w:rPr>
                <w:sz w:val="24"/>
                <w:szCs w:val="24"/>
                <w:color w:val="auto"/>
              </w:rPr>
            </w:pPr>
          </w:p>
        </w:tc>
        <w:tc>
          <w:tcPr>
            <w:tcW w:w="4200" w:type="dxa"/>
            <w:vAlign w:val="bottom"/>
            <w:tcBorders>
              <w:bottom w:val="single" w:sz="8" w:color="0000FF"/>
            </w:tcBorders>
            <w:gridSpan w:val="15"/>
          </w:tcPr>
          <w:p>
            <w:pPr>
              <w:spacing w:after="0"/>
              <w:rPr>
                <w:rFonts w:ascii="Arial" w:cs="Arial" w:eastAsia="Arial" w:hAnsi="Arial"/>
                <w:sz w:val="14"/>
                <w:szCs w:val="14"/>
                <w:b w:val="1"/>
                <w:bCs w:val="1"/>
                <w:color w:val="0000FF"/>
                <w:w w:val="94"/>
              </w:rPr>
            </w:pPr>
            <w:hyperlink w:anchor="page51">
              <w:r>
                <w:rPr>
                  <w:rFonts w:ascii="Arial" w:cs="Arial" w:eastAsia="Arial" w:hAnsi="Arial"/>
                  <w:sz w:val="14"/>
                  <w:szCs w:val="14"/>
                  <w:b w:val="1"/>
                  <w:bCs w:val="1"/>
                  <w:color w:val="0000FF"/>
                  <w:w w:val="94"/>
                </w:rPr>
                <w:t>Item 3. Quantitative and Qualitative Disclosures About Market Risk</w:t>
              </w:r>
            </w:hyperlink>
          </w:p>
        </w:tc>
        <w:tc>
          <w:tcPr>
            <w:tcW w:w="508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31"/>
        </w:trPr>
        <w:tc>
          <w:tcPr>
            <w:tcW w:w="20" w:type="dxa"/>
            <w:vAlign w:val="bottom"/>
          </w:tcPr>
          <w:p>
            <w:pPr>
              <w:spacing w:after="0"/>
              <w:rPr>
                <w:sz w:val="24"/>
                <w:szCs w:val="24"/>
                <w:color w:val="auto"/>
              </w:rPr>
            </w:pPr>
          </w:p>
        </w:tc>
        <w:tc>
          <w:tcPr>
            <w:tcW w:w="9280" w:type="dxa"/>
            <w:vAlign w:val="bottom"/>
            <w:gridSpan w:val="25"/>
          </w:tcPr>
          <w:p>
            <w:pPr>
              <w:spacing w:after="0"/>
              <w:rPr>
                <w:rFonts w:ascii="Arial" w:cs="Arial" w:eastAsia="Arial" w:hAnsi="Arial"/>
                <w:sz w:val="14"/>
                <w:szCs w:val="14"/>
                <w:b w:val="1"/>
                <w:bCs w:val="1"/>
                <w:color w:val="0000FF"/>
              </w:rPr>
            </w:pPr>
            <w:hyperlink w:anchor="page52">
              <w:r>
                <w:rPr>
                  <w:rFonts w:ascii="Arial" w:cs="Arial" w:eastAsia="Arial" w:hAnsi="Arial"/>
                  <w:sz w:val="14"/>
                  <w:szCs w:val="14"/>
                  <w:b w:val="1"/>
                  <w:bCs w:val="1"/>
                  <w:color w:val="0000FF"/>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331"/>
        </w:trPr>
        <w:tc>
          <w:tcPr>
            <w:tcW w:w="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4"/>
          </w:tcPr>
          <w:p>
            <w:pPr>
              <w:jc w:val="center"/>
              <w:spacing w:after="0"/>
              <w:rPr>
                <w:rFonts w:ascii="Arial" w:cs="Arial" w:eastAsia="Arial" w:hAnsi="Arial"/>
                <w:sz w:val="14"/>
                <w:szCs w:val="14"/>
                <w:b w:val="1"/>
                <w:bCs w:val="1"/>
                <w:color w:val="0000FF"/>
              </w:rPr>
            </w:pPr>
            <w:hyperlink w:anchor="page53">
              <w:r>
                <w:rPr>
                  <w:rFonts w:ascii="Arial" w:cs="Arial" w:eastAsia="Arial" w:hAnsi="Arial"/>
                  <w:sz w:val="14"/>
                  <w:szCs w:val="14"/>
                  <w:b w:val="1"/>
                  <w:bCs w:val="1"/>
                  <w:color w:val="0000FF"/>
                </w:rPr>
                <w:t>PART II. OTHER INFORMATION</w:t>
              </w:r>
            </w:hyperlink>
          </w:p>
        </w:tc>
        <w:tc>
          <w:tcPr>
            <w:tcW w:w="284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9280" w:type="dxa"/>
            <w:vAlign w:val="bottom"/>
            <w:gridSpan w:val="25"/>
          </w:tcPr>
          <w:p>
            <w:pPr>
              <w:spacing w:after="0"/>
              <w:rPr>
                <w:rFonts w:ascii="Arial" w:cs="Arial" w:eastAsia="Arial" w:hAnsi="Arial"/>
                <w:sz w:val="14"/>
                <w:szCs w:val="14"/>
                <w:b w:val="1"/>
                <w:bCs w:val="1"/>
                <w:color w:val="0000FF"/>
              </w:rPr>
            </w:pPr>
            <w:hyperlink w:anchor="page53">
              <w:r>
                <w:rPr>
                  <w:rFonts w:ascii="Arial" w:cs="Arial" w:eastAsia="Arial" w:hAnsi="Arial"/>
                  <w:sz w:val="14"/>
                  <w:szCs w:val="14"/>
                  <w:b w:val="1"/>
                  <w:bCs w:val="1"/>
                  <w:color w:val="0000FF"/>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31"/>
        </w:trPr>
        <w:tc>
          <w:tcPr>
            <w:tcW w:w="20" w:type="dxa"/>
            <w:vAlign w:val="bottom"/>
          </w:tcPr>
          <w:p>
            <w:pPr>
              <w:spacing w:after="0"/>
              <w:rPr>
                <w:sz w:val="24"/>
                <w:szCs w:val="24"/>
                <w:color w:val="auto"/>
              </w:rPr>
            </w:pPr>
          </w:p>
        </w:tc>
        <w:tc>
          <w:tcPr>
            <w:tcW w:w="1360" w:type="dxa"/>
            <w:vAlign w:val="bottom"/>
            <w:tcBorders>
              <w:top w:val="single" w:sz="8" w:color="0000FF"/>
              <w:bottom w:val="single" w:sz="8" w:color="0000FF"/>
            </w:tcBorders>
            <w:gridSpan w:val="4"/>
          </w:tcPr>
          <w:p>
            <w:pPr>
              <w:spacing w:after="0"/>
              <w:rPr>
                <w:rFonts w:ascii="Arial" w:cs="Arial" w:eastAsia="Arial" w:hAnsi="Arial"/>
                <w:sz w:val="14"/>
                <w:szCs w:val="14"/>
                <w:b w:val="1"/>
                <w:bCs w:val="1"/>
                <w:color w:val="0000FF"/>
                <w:w w:val="94"/>
              </w:rPr>
            </w:pPr>
            <w:hyperlink w:anchor="page53">
              <w:r>
                <w:rPr>
                  <w:rFonts w:ascii="Arial" w:cs="Arial" w:eastAsia="Arial" w:hAnsi="Arial"/>
                  <w:sz w:val="14"/>
                  <w:szCs w:val="14"/>
                  <w:b w:val="1"/>
                  <w:bCs w:val="1"/>
                  <w:color w:val="0000FF"/>
                  <w:w w:val="94"/>
                </w:rPr>
                <w:t>Item 1A. Risk Factors</w:t>
              </w:r>
            </w:hyperlink>
          </w:p>
        </w:tc>
        <w:tc>
          <w:tcPr>
            <w:tcW w:w="220" w:type="dxa"/>
            <w:vAlign w:val="bottom"/>
            <w:tcBorders>
              <w:top w:val="single" w:sz="8" w:color="0000FF"/>
            </w:tcBorders>
          </w:tcPr>
          <w:p>
            <w:pPr>
              <w:spacing w:after="0"/>
              <w:rPr>
                <w:sz w:val="24"/>
                <w:szCs w:val="24"/>
                <w:color w:val="auto"/>
              </w:rPr>
            </w:pPr>
          </w:p>
        </w:tc>
        <w:tc>
          <w:tcPr>
            <w:tcW w:w="770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331"/>
        </w:trPr>
        <w:tc>
          <w:tcPr>
            <w:tcW w:w="20" w:type="dxa"/>
            <w:vAlign w:val="bottom"/>
          </w:tcPr>
          <w:p>
            <w:pPr>
              <w:spacing w:after="0"/>
              <w:rPr>
                <w:sz w:val="24"/>
                <w:szCs w:val="24"/>
                <w:color w:val="auto"/>
              </w:rPr>
            </w:pPr>
          </w:p>
        </w:tc>
        <w:tc>
          <w:tcPr>
            <w:tcW w:w="9280" w:type="dxa"/>
            <w:vAlign w:val="bottom"/>
            <w:gridSpan w:val="25"/>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31"/>
        </w:trPr>
        <w:tc>
          <w:tcPr>
            <w:tcW w:w="20" w:type="dxa"/>
            <w:vAlign w:val="bottom"/>
          </w:tcPr>
          <w:p>
            <w:pPr>
              <w:spacing w:after="0"/>
              <w:rPr>
                <w:sz w:val="24"/>
                <w:szCs w:val="24"/>
                <w:color w:val="auto"/>
              </w:rPr>
            </w:pPr>
          </w:p>
        </w:tc>
        <w:tc>
          <w:tcPr>
            <w:tcW w:w="4120" w:type="dxa"/>
            <w:vAlign w:val="bottom"/>
            <w:tcBorders>
              <w:top w:val="single" w:sz="8" w:color="0000FF"/>
            </w:tcBorders>
            <w:gridSpan w:val="14"/>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3. Defaults Upon Senior Securities</w:t>
              </w:r>
            </w:hyperlink>
          </w:p>
        </w:tc>
        <w:tc>
          <w:tcPr>
            <w:tcW w:w="516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31"/>
        </w:trPr>
        <w:tc>
          <w:tcPr>
            <w:tcW w:w="20" w:type="dxa"/>
            <w:vAlign w:val="bottom"/>
          </w:tcPr>
          <w:p>
            <w:pPr>
              <w:spacing w:after="0"/>
              <w:rPr>
                <w:sz w:val="24"/>
                <w:szCs w:val="24"/>
                <w:color w:val="auto"/>
              </w:rPr>
            </w:pPr>
          </w:p>
        </w:tc>
        <w:tc>
          <w:tcPr>
            <w:tcW w:w="1940" w:type="dxa"/>
            <w:vAlign w:val="bottom"/>
            <w:tcBorders>
              <w:top w:val="single" w:sz="8" w:color="0000FF"/>
              <w:bottom w:val="single" w:sz="8" w:color="0000FF"/>
            </w:tcBorders>
            <w:gridSpan w:val="7"/>
          </w:tcPr>
          <w:p>
            <w:pPr>
              <w:spacing w:after="0"/>
              <w:rPr>
                <w:rFonts w:ascii="Arial" w:cs="Arial" w:eastAsia="Arial" w:hAnsi="Arial"/>
                <w:sz w:val="14"/>
                <w:szCs w:val="14"/>
                <w:b w:val="1"/>
                <w:bCs w:val="1"/>
                <w:color w:val="0000FF"/>
                <w:w w:val="91"/>
              </w:rPr>
            </w:pPr>
            <w:hyperlink w:anchor="page54">
              <w:r>
                <w:rPr>
                  <w:rFonts w:ascii="Arial" w:cs="Arial" w:eastAsia="Arial" w:hAnsi="Arial"/>
                  <w:sz w:val="14"/>
                  <w:szCs w:val="14"/>
                  <w:b w:val="1"/>
                  <w:bCs w:val="1"/>
                  <w:color w:val="0000FF"/>
                  <w:w w:val="91"/>
                </w:rPr>
                <w:t>Item 4. Mine Safety Disclosures</w:t>
              </w:r>
            </w:hyperlink>
          </w:p>
        </w:tc>
        <w:tc>
          <w:tcPr>
            <w:tcW w:w="480" w:type="dxa"/>
            <w:vAlign w:val="bottom"/>
            <w:tcBorders>
              <w:top w:val="single" w:sz="8" w:color="0000FF"/>
            </w:tcBorders>
            <w:gridSpan w:val="2"/>
          </w:tcPr>
          <w:p>
            <w:pPr>
              <w:spacing w:after="0"/>
              <w:rPr>
                <w:sz w:val="24"/>
                <w:szCs w:val="24"/>
                <w:color w:val="auto"/>
              </w:rPr>
            </w:pPr>
          </w:p>
        </w:tc>
        <w:tc>
          <w:tcPr>
            <w:tcW w:w="686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31"/>
        </w:trPr>
        <w:tc>
          <w:tcPr>
            <w:tcW w:w="20" w:type="dxa"/>
            <w:vAlign w:val="bottom"/>
          </w:tcPr>
          <w:p>
            <w:pPr>
              <w:spacing w:after="0"/>
              <w:rPr>
                <w:sz w:val="24"/>
                <w:szCs w:val="24"/>
                <w:color w:val="auto"/>
              </w:rPr>
            </w:pPr>
          </w:p>
        </w:tc>
        <w:tc>
          <w:tcPr>
            <w:tcW w:w="9280" w:type="dxa"/>
            <w:vAlign w:val="bottom"/>
            <w:gridSpan w:val="25"/>
          </w:tcPr>
          <w:p>
            <w:pPr>
              <w:spacing w:after="0"/>
              <w:rPr>
                <w:rFonts w:ascii="Arial" w:cs="Arial" w:eastAsia="Arial" w:hAnsi="Arial"/>
                <w:sz w:val="14"/>
                <w:szCs w:val="14"/>
                <w:b w:val="1"/>
                <w:bCs w:val="1"/>
                <w:color w:val="0000FF"/>
              </w:rPr>
            </w:pPr>
            <w:hyperlink w:anchor="page54">
              <w:r>
                <w:rPr>
                  <w:rFonts w:ascii="Arial" w:cs="Arial" w:eastAsia="Arial" w:hAnsi="Arial"/>
                  <w:sz w:val="14"/>
                  <w:szCs w:val="14"/>
                  <w:b w:val="1"/>
                  <w:bCs w:val="1"/>
                  <w:color w:val="0000FF"/>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331"/>
        </w:trPr>
        <w:tc>
          <w:tcPr>
            <w:tcW w:w="20" w:type="dxa"/>
            <w:vAlign w:val="bottom"/>
          </w:tcPr>
          <w:p>
            <w:pPr>
              <w:spacing w:after="0"/>
              <w:rPr>
                <w:sz w:val="24"/>
                <w:szCs w:val="24"/>
                <w:color w:val="auto"/>
              </w:rPr>
            </w:pPr>
          </w:p>
        </w:tc>
        <w:tc>
          <w:tcPr>
            <w:tcW w:w="1620" w:type="dxa"/>
            <w:vAlign w:val="bottom"/>
            <w:tcBorders>
              <w:top w:val="single" w:sz="8" w:color="0000FF"/>
            </w:tcBorders>
            <w:gridSpan w:val="6"/>
          </w:tcPr>
          <w:p>
            <w:pPr>
              <w:spacing w:after="0"/>
              <w:rPr>
                <w:rFonts w:ascii="Arial" w:cs="Arial" w:eastAsia="Arial" w:hAnsi="Arial"/>
                <w:sz w:val="14"/>
                <w:szCs w:val="14"/>
                <w:b w:val="1"/>
                <w:bCs w:val="1"/>
                <w:color w:val="0000FF"/>
              </w:rPr>
            </w:pPr>
            <w:hyperlink w:anchor="page55">
              <w:r>
                <w:rPr>
                  <w:rFonts w:ascii="Arial" w:cs="Arial" w:eastAsia="Arial" w:hAnsi="Arial"/>
                  <w:sz w:val="14"/>
                  <w:szCs w:val="14"/>
                  <w:b w:val="1"/>
                  <w:bCs w:val="1"/>
                  <w:color w:val="0000FF"/>
                </w:rPr>
                <w:t>Item 6. Exhibits</w:t>
              </w:r>
            </w:hyperlink>
          </w:p>
        </w:tc>
        <w:tc>
          <w:tcPr>
            <w:tcW w:w="766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31"/>
        </w:trPr>
        <w:tc>
          <w:tcPr>
            <w:tcW w:w="2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rFonts w:ascii="Arial" w:cs="Arial" w:eastAsia="Arial" w:hAnsi="Arial"/>
                <w:sz w:val="14"/>
                <w:szCs w:val="14"/>
                <w:b w:val="1"/>
                <w:bCs w:val="1"/>
                <w:color w:val="0000FF"/>
              </w:rPr>
            </w:pPr>
            <w:hyperlink w:anchor="page56">
              <w:r>
                <w:rPr>
                  <w:rFonts w:ascii="Arial" w:cs="Arial" w:eastAsia="Arial" w:hAnsi="Arial"/>
                  <w:sz w:val="14"/>
                  <w:szCs w:val="14"/>
                  <w:b w:val="1"/>
                  <w:bCs w:val="1"/>
                  <w:color w:val="0000FF"/>
                </w:rPr>
                <w:t>SIGNATURES</w:t>
              </w:r>
            </w:hyperlink>
          </w:p>
        </w:tc>
        <w:tc>
          <w:tcPr>
            <w:tcW w:w="830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373"/>
        </w:trPr>
        <w:tc>
          <w:tcPr>
            <w:tcW w:w="20" w:type="dxa"/>
            <w:vAlign w:val="bottom"/>
          </w:tcPr>
          <w:p>
            <w:pPr>
              <w:spacing w:after="0"/>
              <w:rPr>
                <w:sz w:val="24"/>
                <w:szCs w:val="24"/>
                <w:color w:val="auto"/>
              </w:rPr>
            </w:pPr>
          </w:p>
        </w:tc>
        <w:tc>
          <w:tcPr>
            <w:tcW w:w="920" w:type="dxa"/>
            <w:vAlign w:val="bottom"/>
            <w:tcBorders>
              <w:top w:val="single" w:sz="8" w:color="0000FF"/>
            </w:tcBorders>
            <w:gridSpan w:val="2"/>
          </w:tcPr>
          <w:p>
            <w:pPr>
              <w:spacing w:after="0"/>
              <w:rPr>
                <w:sz w:val="24"/>
                <w:szCs w:val="24"/>
                <w:color w:val="auto"/>
              </w:rPr>
            </w:pPr>
          </w:p>
        </w:tc>
        <w:tc>
          <w:tcPr>
            <w:tcW w:w="4980" w:type="dxa"/>
            <w:vAlign w:val="bottom"/>
            <w:gridSpan w:val="15"/>
          </w:tcPr>
          <w:p>
            <w:pPr>
              <w:jc w:val="right"/>
              <w:ind w:right="188"/>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jc w:val="both"/>
        <w:ind w:firstLine="449"/>
        <w:spacing w:after="0" w:line="261"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tabs>
          <w:tab w:leader="none" w:pos="5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5"/>
                <w:szCs w:val="15"/>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September 30, 2021</w:t>
            </w:r>
          </w:p>
        </w:tc>
      </w:tr>
      <w:tr>
        <w:trPr>
          <w:trHeight w:val="185"/>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shd w:val="clear" w:color="auto" w:fill="CCEC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top w:val="single" w:sz="8" w:color="auto"/>
            </w:tcBorders>
            <w:shd w:val="clear" w:color="auto" w:fill="CCECFF"/>
          </w:tcPr>
          <w:p>
            <w:pPr>
              <w:spacing w:after="0"/>
              <w:rPr>
                <w:sz w:val="14"/>
                <w:szCs w:val="14"/>
                <w:color w:val="auto"/>
              </w:rPr>
            </w:pPr>
          </w:p>
        </w:tc>
        <w:tc>
          <w:tcPr>
            <w:tcW w:w="1340" w:type="dxa"/>
            <w:vAlign w:val="bottom"/>
            <w:tcBorders>
              <w:top w:val="single" w:sz="8" w:color="auto"/>
            </w:tcBorders>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spacing w:after="0"/>
              <w:rPr>
                <w:sz w:val="14"/>
                <w:szCs w:val="14"/>
                <w:color w:val="auto"/>
              </w:rPr>
            </w:pPr>
          </w:p>
        </w:tc>
        <w:tc>
          <w:tcPr>
            <w:tcW w:w="14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 (cost—$921,967 and $729,811,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961,032</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820,500</w:t>
            </w:r>
          </w:p>
        </w:tc>
        <w:tc>
          <w:tcPr>
            <w:tcW w:w="100" w:type="dxa"/>
            <w:vAlign w:val="bottom"/>
            <w:shd w:val="clear" w:color="auto" w:fill="CCECFF"/>
          </w:tcPr>
          <w:p>
            <w:pPr>
              <w:spacing w:after="0"/>
              <w:rPr>
                <w:sz w:val="15"/>
                <w:szCs w:val="15"/>
                <w:color w:val="auto"/>
              </w:rPr>
            </w:pPr>
          </w:p>
        </w:tc>
      </w:tr>
      <w:tr>
        <w:trPr>
          <w:trHeight w:val="176"/>
        </w:trPr>
        <w:tc>
          <w:tcPr>
            <w:tcW w:w="7720" w:type="dxa"/>
            <w:vAlign w:val="bottom"/>
          </w:tcPr>
          <w:p>
            <w:pPr>
              <w:ind w:left="200"/>
              <w:spacing w:after="0"/>
              <w:rPr>
                <w:sz w:val="20"/>
                <w:szCs w:val="20"/>
                <w:color w:val="auto"/>
              </w:rPr>
            </w:pPr>
            <w:r>
              <w:rPr>
                <w:rFonts w:ascii="Arial" w:cs="Arial" w:eastAsia="Arial" w:hAnsi="Arial"/>
                <w:sz w:val="14"/>
                <w:szCs w:val="14"/>
                <w:color w:val="auto"/>
              </w:rPr>
              <w:t>Non-controlled, affiliated investments (cost—$75,825 and $78,723, respectively)</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49,097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50,161</w:t>
            </w:r>
          </w:p>
        </w:tc>
        <w:tc>
          <w:tcPr>
            <w:tcW w:w="100" w:type="dxa"/>
            <w:vAlign w:val="bottom"/>
          </w:tcPr>
          <w:p>
            <w:pPr>
              <w:spacing w:after="0"/>
              <w:rPr>
                <w:sz w:val="15"/>
                <w:szCs w:val="15"/>
                <w:color w:val="auto"/>
              </w:rPr>
            </w:pPr>
          </w:p>
        </w:tc>
      </w:tr>
      <w:tr>
        <w:trPr>
          <w:trHeight w:val="175"/>
        </w:trPr>
        <w:tc>
          <w:tcPr>
            <w:tcW w:w="772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Controlled, affiliated investments (cost—$381,904 and $412,587, respectively)</w:t>
            </w:r>
          </w:p>
        </w:tc>
        <w:tc>
          <w:tcPr>
            <w:tcW w:w="220" w:type="dxa"/>
            <w:vAlign w:val="bottom"/>
            <w:tcBorders>
              <w:bottom w:val="single" w:sz="8" w:color="auto"/>
            </w:tcBorders>
            <w:shd w:val="clear" w:color="auto" w:fill="CCECFF"/>
          </w:tcPr>
          <w:p>
            <w:pPr>
              <w:spacing w:after="0"/>
              <w:rPr>
                <w:sz w:val="15"/>
                <w:szCs w:val="15"/>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304,699</w:t>
            </w:r>
          </w:p>
        </w:tc>
        <w:tc>
          <w:tcPr>
            <w:tcW w:w="2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384,629</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20" w:type="dxa"/>
            <w:vAlign w:val="bottom"/>
          </w:tcPr>
          <w:p>
            <w:pPr>
              <w:ind w:left="200"/>
              <w:spacing w:after="0"/>
              <w:rPr>
                <w:sz w:val="20"/>
                <w:szCs w:val="20"/>
                <w:color w:val="auto"/>
              </w:rPr>
            </w:pPr>
            <w:r>
              <w:rPr>
                <w:rFonts w:ascii="Arial" w:cs="Arial" w:eastAsia="Arial" w:hAnsi="Arial"/>
                <w:sz w:val="14"/>
                <w:szCs w:val="14"/>
                <w:color w:val="auto"/>
              </w:rPr>
              <w:t>Total investments (cost—$1,379,696 and $1,221,121,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1,314,828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1,255,290</w:t>
            </w:r>
          </w:p>
        </w:tc>
        <w:tc>
          <w:tcPr>
            <w:tcW w:w="100" w:type="dxa"/>
            <w:vAlign w:val="bottom"/>
          </w:tcPr>
          <w:p>
            <w:pPr>
              <w:spacing w:after="0"/>
              <w:rPr>
                <w:sz w:val="14"/>
                <w:szCs w:val="14"/>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Cash and cash equivalents (cost—$29,630 and $20,383, respectively)</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29,547</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20,357</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Interest receivable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3,312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4,958</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Receivable for investments sold</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57,407</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Distribution receivable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23,571</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7720" w:type="dxa"/>
            <w:vAlign w:val="bottom"/>
            <w:tcBorders>
              <w:top w:val="single" w:sz="8" w:color="CCECFF"/>
            </w:tcBorders>
          </w:tcPr>
          <w:p>
            <w:pPr>
              <w:ind w:left="74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1,431,085</w:t>
            </w:r>
          </w:p>
        </w:tc>
        <w:tc>
          <w:tcPr>
            <w:tcW w:w="280" w:type="dxa"/>
            <w:vAlign w:val="bottom"/>
            <w:tcBorders>
              <w:top w:val="single" w:sz="8" w:color="CCEC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1,295,092</w:t>
            </w:r>
          </w:p>
        </w:tc>
        <w:tc>
          <w:tcPr>
            <w:tcW w:w="100" w:type="dxa"/>
            <w:vAlign w:val="bottom"/>
            <w:tcBorders>
              <w:top w:val="single" w:sz="8" w:color="CCECFF"/>
            </w:tcBorders>
          </w:tcPr>
          <w:p>
            <w:pPr>
              <w:spacing w:after="0"/>
              <w:rPr>
                <w:sz w:val="14"/>
                <w:szCs w:val="14"/>
                <w:color w:val="auto"/>
              </w:rPr>
            </w:pPr>
          </w:p>
        </w:tc>
      </w:tr>
      <w:tr>
        <w:trPr>
          <w:trHeight w:val="169"/>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9,504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8,045</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20,435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8,407</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Truist Credit Facility payable, at fair value (cost—$422,920 and $316,545, respectively) (See Notes 5 and 10)</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412,005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314,813</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2024 Notes payable, net (par— zero and $86,250, respectively) (See Notes 5 and 10)</w:t>
            </w:r>
          </w:p>
        </w:tc>
        <w:tc>
          <w:tcPr>
            <w:tcW w:w="220" w:type="dxa"/>
            <w:vAlign w:val="bottom"/>
            <w:shd w:val="clear" w:color="auto" w:fill="CCECFF"/>
          </w:tcPr>
          <w:p>
            <w:pPr>
              <w:spacing w:after="0"/>
              <w:rPr>
                <w:sz w:val="15"/>
                <w:szCs w:val="15"/>
                <w:color w:val="auto"/>
              </w:rPr>
            </w:pPr>
          </w:p>
        </w:tc>
        <w:tc>
          <w:tcPr>
            <w:tcW w:w="162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84,503</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2026 Notes payable, net (par— $150,000) (See Notes 5 and 10)</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146,542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145,865</w:t>
            </w:r>
          </w:p>
        </w:tc>
        <w:tc>
          <w:tcPr>
            <w:tcW w:w="100" w:type="dxa"/>
            <w:vAlign w:val="bottom"/>
          </w:tcPr>
          <w:p>
            <w:pPr>
              <w:spacing w:after="0"/>
              <w:rPr>
                <w:sz w:val="15"/>
                <w:szCs w:val="15"/>
                <w:color w:val="auto"/>
              </w:rPr>
            </w:pPr>
          </w:p>
        </w:tc>
      </w:tr>
      <w:tr>
        <w:trPr>
          <w:trHeight w:val="176"/>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2026 Notes-2 payable, net (par— $165,000 and zero, respectively) (See Notes 5 and 10)</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161,159</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SBA debentures payable, net (par—$27,500 and $63,500, respectively) (See Notes 5 and 10)</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27,046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62,159</w:t>
            </w:r>
          </w:p>
        </w:tc>
        <w:tc>
          <w:tcPr>
            <w:tcW w:w="100" w:type="dxa"/>
            <w:vAlign w:val="bottom"/>
          </w:tcPr>
          <w:p>
            <w:pPr>
              <w:spacing w:after="0"/>
              <w:rPr>
                <w:sz w:val="15"/>
                <w:szCs w:val="15"/>
                <w:color w:val="auto"/>
              </w:rPr>
            </w:pPr>
          </w:p>
        </w:tc>
      </w:tr>
      <w:tr>
        <w:trPr>
          <w:trHeight w:val="175"/>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Base-management fee payable, net (See Note 3)</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4,887</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4,580</w:t>
            </w:r>
          </w:p>
        </w:tc>
        <w:tc>
          <w:tcPr>
            <w:tcW w:w="100" w:type="dxa"/>
            <w:vAlign w:val="bottom"/>
            <w:shd w:val="clear" w:color="auto" w:fill="CCECFF"/>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Performance based-incentive fee payable (See Note 3)</w:t>
            </w:r>
          </w:p>
        </w:tc>
        <w:tc>
          <w:tcPr>
            <w:tcW w:w="220" w:type="dxa"/>
            <w:vAlign w:val="bottom"/>
          </w:tcPr>
          <w:p>
            <w:pPr>
              <w:spacing w:after="0"/>
              <w:rPr>
                <w:sz w:val="15"/>
                <w:szCs w:val="15"/>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575</w:t>
            </w:r>
          </w:p>
        </w:tc>
        <w:tc>
          <w:tcPr>
            <w:tcW w:w="100" w:type="dxa"/>
            <w:vAlign w:val="bottom"/>
          </w:tcPr>
          <w:p>
            <w:pPr>
              <w:spacing w:after="0"/>
              <w:rPr>
                <w:sz w:val="15"/>
                <w:szCs w:val="15"/>
                <w:color w:val="auto"/>
              </w:rPr>
            </w:pPr>
          </w:p>
        </w:tc>
      </w:tr>
      <w:tr>
        <w:trPr>
          <w:trHeight w:val="175"/>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debt</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3,387</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4,943</w:t>
            </w:r>
          </w:p>
        </w:tc>
        <w:tc>
          <w:tcPr>
            <w:tcW w:w="100" w:type="dxa"/>
            <w:vAlign w:val="bottom"/>
            <w:shd w:val="clear" w:color="auto" w:fill="CCECFF"/>
          </w:tcPr>
          <w:p>
            <w:pPr>
              <w:spacing w:after="0"/>
              <w:rPr>
                <w:sz w:val="15"/>
                <w:szCs w:val="15"/>
                <w:color w:val="auto"/>
              </w:rPr>
            </w:pPr>
          </w:p>
        </w:tc>
      </w:tr>
      <w:tr>
        <w:trPr>
          <w:trHeight w:val="176"/>
        </w:trPr>
        <w:tc>
          <w:tcPr>
            <w:tcW w:w="77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8,127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5"/>
                <w:szCs w:val="15"/>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6,483</w:t>
            </w:r>
          </w:p>
        </w:tc>
        <w:tc>
          <w:tcPr>
            <w:tcW w:w="28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spacing w:after="0"/>
              <w:rPr>
                <w:sz w:val="15"/>
                <w:szCs w:val="15"/>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7720" w:type="dxa"/>
            <w:vAlign w:val="bottom"/>
          </w:tcPr>
          <w:p>
            <w:pPr>
              <w:ind w:left="74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799,575</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634,948</w:t>
            </w:r>
          </w:p>
        </w:tc>
        <w:tc>
          <w:tcPr>
            <w:tcW w:w="100" w:type="dxa"/>
            <w:vAlign w:val="bottom"/>
          </w:tcPr>
          <w:p>
            <w:pPr>
              <w:spacing w:after="0"/>
              <w:rPr>
                <w:sz w:val="14"/>
                <w:szCs w:val="14"/>
                <w:color w:val="auto"/>
              </w:rPr>
            </w:pPr>
          </w:p>
        </w:tc>
      </w:tr>
      <w:tr>
        <w:trPr>
          <w:trHeight w:val="169"/>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Commitments and contingencies (See Note 11)</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Net assets</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7720" w:type="dxa"/>
            <w:vAlign w:val="bottom"/>
            <w:shd w:val="clear" w:color="auto" w:fill="CCECFF"/>
          </w:tcPr>
          <w:p>
            <w:pPr>
              <w:ind w:left="20"/>
              <w:spacing w:after="0" w:line="143" w:lineRule="exact"/>
              <w:rPr>
                <w:sz w:val="20"/>
                <w:szCs w:val="20"/>
                <w:color w:val="auto"/>
              </w:rPr>
            </w:pPr>
            <w:r>
              <w:rPr>
                <w:rFonts w:ascii="Arial" w:cs="Arial" w:eastAsia="Arial" w:hAnsi="Arial"/>
                <w:sz w:val="14"/>
                <w:szCs w:val="14"/>
                <w:color w:val="auto"/>
              </w:rPr>
              <w:t>Common stock, 65,413,942 and 67,045,105, respectively, shares issued and outstanding</w:t>
            </w:r>
          </w:p>
        </w:tc>
        <w:tc>
          <w:tcPr>
            <w:tcW w:w="2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1"/>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CFF"/>
          </w:tcPr>
          <w:p>
            <w:pPr>
              <w:spacing w:after="0"/>
              <w:rPr>
                <w:sz w:val="15"/>
                <w:szCs w:val="15"/>
                <w:color w:val="auto"/>
              </w:rPr>
            </w:pPr>
          </w:p>
        </w:tc>
      </w:tr>
      <w:tr>
        <w:trPr>
          <w:trHeight w:val="175"/>
        </w:trPr>
        <w:tc>
          <w:tcPr>
            <w:tcW w:w="7720" w:type="dxa"/>
            <w:vAlign w:val="bottom"/>
          </w:tcPr>
          <w:p>
            <w:pPr>
              <w:ind w:left="20"/>
              <w:spacing w:after="0"/>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795,865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786,993</w:t>
            </w:r>
          </w:p>
        </w:tc>
        <w:tc>
          <w:tcPr>
            <w:tcW w:w="100" w:type="dxa"/>
            <w:vAlign w:val="bottom"/>
          </w:tcPr>
          <w:p>
            <w:pPr>
              <w:spacing w:after="0"/>
              <w:rPr>
                <w:sz w:val="15"/>
                <w:szCs w:val="15"/>
                <w:color w:val="auto"/>
              </w:rPr>
            </w:pPr>
          </w:p>
        </w:tc>
      </w:tr>
      <w:tr>
        <w:trPr>
          <w:trHeight w:val="175"/>
        </w:trPr>
        <w:tc>
          <w:tcPr>
            <w:tcW w:w="7720" w:type="dxa"/>
            <w:vAlign w:val="bottom"/>
            <w:shd w:val="clear" w:color="auto" w:fill="CCECFF"/>
          </w:tcPr>
          <w:p>
            <w:pPr>
              <w:ind w:left="20"/>
              <w:spacing w:after="0"/>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CFF"/>
          </w:tcPr>
          <w:p>
            <w:pPr>
              <w:spacing w:after="0"/>
              <w:rPr>
                <w:sz w:val="15"/>
                <w:szCs w:val="15"/>
                <w:color w:val="auto"/>
              </w:rPr>
            </w:pPr>
          </w:p>
        </w:tc>
        <w:tc>
          <w:tcPr>
            <w:tcW w:w="16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(164,420 )</w:t>
            </w:r>
          </w:p>
        </w:tc>
        <w:tc>
          <w:tcPr>
            <w:tcW w:w="140" w:type="dxa"/>
            <w:vAlign w:val="bottom"/>
            <w:shd w:val="clear" w:color="auto" w:fill="CCECFF"/>
          </w:tcPr>
          <w:p>
            <w:pPr>
              <w:spacing w:after="0"/>
              <w:rPr>
                <w:sz w:val="15"/>
                <w:szCs w:val="15"/>
                <w:color w:val="auto"/>
              </w:rPr>
            </w:pPr>
          </w:p>
        </w:tc>
        <w:tc>
          <w:tcPr>
            <w:tcW w:w="154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(126,916 )</w:t>
            </w:r>
          </w:p>
        </w:tc>
      </w:tr>
      <w:tr>
        <w:trPr>
          <w:trHeight w:val="169"/>
        </w:trPr>
        <w:tc>
          <w:tcPr>
            <w:tcW w:w="7720" w:type="dxa"/>
            <w:vAlign w:val="bottom"/>
            <w:tcBorders>
              <w:top w:val="single" w:sz="8" w:color="CCECFF"/>
            </w:tcBorders>
          </w:tcPr>
          <w:p>
            <w:pPr>
              <w:ind w:left="740"/>
              <w:spacing w:after="0"/>
              <w:rPr>
                <w:sz w:val="20"/>
                <w:szCs w:val="20"/>
                <w:color w:val="auto"/>
              </w:rPr>
            </w:pPr>
            <w:r>
              <w:rPr>
                <w:rFonts w:ascii="Arial" w:cs="Arial" w:eastAsia="Arial" w:hAnsi="Arial"/>
                <w:sz w:val="14"/>
                <w:szCs w:val="14"/>
                <w:b w:val="1"/>
                <w:bCs w:val="1"/>
                <w:color w:val="auto"/>
              </w:rPr>
              <w:t>Total net assets</w:t>
            </w: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631,510</w:t>
            </w:r>
          </w:p>
        </w:tc>
        <w:tc>
          <w:tcPr>
            <w:tcW w:w="280" w:type="dxa"/>
            <w:vAlign w:val="bottom"/>
            <w:tcBorders>
              <w:top w:val="single" w:sz="8" w:color="CCEC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660,144</w:t>
            </w:r>
          </w:p>
        </w:tc>
        <w:tc>
          <w:tcPr>
            <w:tcW w:w="100" w:type="dxa"/>
            <w:vAlign w:val="bottom"/>
            <w:tcBorders>
              <w:top w:val="single" w:sz="8" w:color="CCECFF"/>
            </w:tcBorders>
          </w:tcPr>
          <w:p>
            <w:pPr>
              <w:spacing w:after="0"/>
              <w:rPr>
                <w:sz w:val="14"/>
                <w:szCs w:val="14"/>
                <w:color w:val="auto"/>
              </w:rPr>
            </w:pPr>
          </w:p>
        </w:tc>
      </w:tr>
      <w:tr>
        <w:trPr>
          <w:trHeight w:val="209"/>
        </w:trPr>
        <w:tc>
          <w:tcPr>
            <w:tcW w:w="7720" w:type="dxa"/>
            <w:vAlign w:val="bottom"/>
            <w:tcBorders>
              <w:bottom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1,431,085</w:t>
            </w:r>
          </w:p>
        </w:tc>
        <w:tc>
          <w:tcPr>
            <w:tcW w:w="280" w:type="dxa"/>
            <w:vAlign w:val="bottom"/>
            <w:tcBorders>
              <w:bottom w:val="single" w:sz="8" w:color="CCECFF"/>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1,295,092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72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Net asset value per share</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9.65</w:t>
            </w: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9.85</w:t>
            </w:r>
          </w:p>
        </w:tc>
        <w:tc>
          <w:tcPr>
            <w:tcW w:w="10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-3434080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-3434080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-2756535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-2756535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-1179195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-1179195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-399415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-145415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5"/>
          </w:tcPr>
          <w:p>
            <w:pPr>
              <w:jc w:val="right"/>
              <w:ind w:right="448"/>
              <w:spacing w:after="0"/>
              <w:rPr>
                <w:sz w:val="20"/>
                <w:szCs w:val="20"/>
                <w:color w:val="auto"/>
              </w:rPr>
            </w:pPr>
            <w:r>
              <w:rPr>
                <w:rFonts w:ascii="Arial" w:cs="Arial" w:eastAsia="Arial" w:hAnsi="Arial"/>
                <w:sz w:val="14"/>
                <w:szCs w:val="14"/>
                <w:b w:val="1"/>
                <w:bCs w:val="1"/>
                <w:color w:val="auto"/>
                <w:w w:val="96"/>
              </w:rPr>
              <w:t>Three Months Ended June 30,</w:t>
            </w:r>
          </w:p>
        </w:tc>
        <w:tc>
          <w:tcPr>
            <w:tcW w:w="160" w:type="dxa"/>
            <w:vAlign w:val="bottom"/>
          </w:tcPr>
          <w:p>
            <w:pPr>
              <w:spacing w:after="0"/>
              <w:rPr>
                <w:sz w:val="16"/>
                <w:szCs w:val="16"/>
                <w:color w:val="auto"/>
              </w:rPr>
            </w:pPr>
          </w:p>
        </w:tc>
        <w:tc>
          <w:tcPr>
            <w:tcW w:w="22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Nine Months Ended June 30,</w:t>
            </w:r>
          </w:p>
        </w:tc>
      </w:tr>
      <w:tr>
        <w:trPr>
          <w:trHeight w:val="169"/>
        </w:trPr>
        <w:tc>
          <w:tcPr>
            <w:tcW w:w="62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Investment income:</w:t>
            </w:r>
          </w:p>
        </w:tc>
        <w:tc>
          <w:tcPr>
            <w:tcW w:w="18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200" w:type="dxa"/>
            <w:vAlign w:val="bottom"/>
          </w:tcPr>
          <w:p>
            <w:pPr>
              <w:ind w:left="20"/>
              <w:spacing w:after="0"/>
              <w:rPr>
                <w:sz w:val="20"/>
                <w:szCs w:val="20"/>
                <w:color w:val="auto"/>
              </w:rPr>
            </w:pPr>
            <w:r>
              <w:rPr>
                <w:rFonts w:ascii="Arial" w:cs="Arial" w:eastAsia="Arial" w:hAnsi="Arial"/>
                <w:sz w:val="14"/>
                <w:szCs w:val="14"/>
                <w:color w:val="auto"/>
              </w:rPr>
              <w:t>From non-controlled, non-affiliated investments: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15,890</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11,972</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45,973</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35,074</w:t>
            </w:r>
          </w:p>
        </w:tc>
        <w:tc>
          <w:tcPr>
            <w:tcW w:w="100" w:type="dxa"/>
            <w:vAlign w:val="bottom"/>
            <w:shd w:val="clear" w:color="auto" w:fill="CCECFF"/>
          </w:tcPr>
          <w:p>
            <w:pPr>
              <w:spacing w:after="0"/>
              <w:rPr>
                <w:sz w:val="15"/>
                <w:szCs w:val="15"/>
                <w:color w:val="auto"/>
              </w:rPr>
            </w:pPr>
          </w:p>
        </w:tc>
      </w:tr>
      <w:tr>
        <w:trPr>
          <w:trHeight w:val="175"/>
        </w:trPr>
        <w:tc>
          <w:tcPr>
            <w:tcW w:w="6200" w:type="dxa"/>
            <w:vAlign w:val="bottom"/>
          </w:tcPr>
          <w:p>
            <w:pPr>
              <w:ind w:left="200"/>
              <w:spacing w:after="0"/>
              <w:rPr>
                <w:sz w:val="20"/>
                <w:szCs w:val="20"/>
                <w:color w:val="auto"/>
              </w:rPr>
            </w:pPr>
            <w:r>
              <w:rPr>
                <w:rFonts w:ascii="Arial" w:cs="Arial" w:eastAsia="Arial" w:hAnsi="Arial"/>
                <w:sz w:val="14"/>
                <w:szCs w:val="14"/>
                <w:color w:val="auto"/>
              </w:rPr>
              <w:t>Payment-in-kind</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4,071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5,566</w:t>
            </w:r>
          </w:p>
        </w:tc>
        <w:tc>
          <w:tcPr>
            <w:tcW w:w="100" w:type="dxa"/>
            <w:vAlign w:val="bottom"/>
          </w:tcPr>
          <w:p>
            <w:pPr>
              <w:spacing w:after="0"/>
              <w:rPr>
                <w:sz w:val="15"/>
                <w:szCs w:val="15"/>
                <w:color w:val="auto"/>
              </w:rPr>
            </w:pPr>
          </w:p>
        </w:tc>
      </w:tr>
      <w:tr>
        <w:trPr>
          <w:trHeight w:val="176"/>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Other income</w:t>
            </w:r>
          </w:p>
        </w:tc>
        <w:tc>
          <w:tcPr>
            <w:tcW w:w="1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1,247</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8,050</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980</w:t>
            </w:r>
          </w:p>
        </w:tc>
        <w:tc>
          <w:tcPr>
            <w:tcW w:w="100" w:type="dxa"/>
            <w:vAlign w:val="bottom"/>
            <w:shd w:val="clear" w:color="auto" w:fill="CCECFF"/>
          </w:tcPr>
          <w:p>
            <w:pPr>
              <w:spacing w:after="0"/>
              <w:rPr>
                <w:sz w:val="15"/>
                <w:szCs w:val="15"/>
                <w:color w:val="auto"/>
              </w:rPr>
            </w:pPr>
          </w:p>
        </w:tc>
      </w:tr>
      <w:tr>
        <w:trPr>
          <w:trHeight w:val="176"/>
        </w:trPr>
        <w:tc>
          <w:tcPr>
            <w:tcW w:w="6200" w:type="dxa"/>
            <w:vAlign w:val="bottom"/>
          </w:tcPr>
          <w:p>
            <w:pPr>
              <w:ind w:left="20"/>
              <w:spacing w:after="0"/>
              <w:rPr>
                <w:sz w:val="20"/>
                <w:szCs w:val="20"/>
                <w:color w:val="auto"/>
              </w:rPr>
            </w:pPr>
            <w:r>
              <w:rPr>
                <w:rFonts w:ascii="Arial" w:cs="Arial" w:eastAsia="Arial" w:hAnsi="Arial"/>
                <w:sz w:val="14"/>
                <w:szCs w:val="14"/>
                <w:color w:val="auto"/>
              </w:rPr>
              <w:t>From non-controlled, affiliated investments: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Payment-in-kind</w:t>
            </w:r>
          </w:p>
        </w:tc>
        <w:tc>
          <w:tcPr>
            <w:tcW w:w="1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CFF"/>
          </w:tcPr>
          <w:p>
            <w:pPr>
              <w:spacing w:after="0"/>
              <w:rPr>
                <w:sz w:val="15"/>
                <w:szCs w:val="15"/>
                <w:color w:val="auto"/>
              </w:rPr>
            </w:pPr>
          </w:p>
        </w:tc>
      </w:tr>
      <w:tr>
        <w:trPr>
          <w:trHeight w:val="176"/>
        </w:trPr>
        <w:tc>
          <w:tcPr>
            <w:tcW w:w="6200" w:type="dxa"/>
            <w:vAlign w:val="bottom"/>
          </w:tcPr>
          <w:p>
            <w:pPr>
              <w:ind w:left="20"/>
              <w:spacing w:after="0"/>
              <w:rPr>
                <w:sz w:val="20"/>
                <w:szCs w:val="20"/>
                <w:color w:val="auto"/>
              </w:rPr>
            </w:pPr>
            <w:r>
              <w:rPr>
                <w:rFonts w:ascii="Arial" w:cs="Arial" w:eastAsia="Arial" w:hAnsi="Arial"/>
                <w:sz w:val="14"/>
                <w:szCs w:val="14"/>
                <w:color w:val="auto"/>
              </w:rPr>
              <w:t>From controlled, affiliated investments: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1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2,694</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2,279</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7,303</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6,733</w:t>
            </w:r>
          </w:p>
        </w:tc>
        <w:tc>
          <w:tcPr>
            <w:tcW w:w="100" w:type="dxa"/>
            <w:vAlign w:val="bottom"/>
            <w:shd w:val="clear" w:color="auto" w:fill="CCECFF"/>
          </w:tcPr>
          <w:p>
            <w:pPr>
              <w:spacing w:after="0"/>
              <w:rPr>
                <w:sz w:val="15"/>
                <w:szCs w:val="15"/>
                <w:color w:val="auto"/>
              </w:rPr>
            </w:pP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Payment-in-kind</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3,983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4,982</w:t>
            </w:r>
          </w:p>
        </w:tc>
        <w:tc>
          <w:tcPr>
            <w:tcW w:w="100" w:type="dxa"/>
            <w:vAlign w:val="bottom"/>
          </w:tcPr>
          <w:p>
            <w:pPr>
              <w:spacing w:after="0"/>
              <w:rPr>
                <w:sz w:val="15"/>
                <w:szCs w:val="15"/>
                <w:color w:val="auto"/>
              </w:rPr>
            </w:pPr>
          </w:p>
        </w:tc>
      </w:tr>
      <w:tr>
        <w:trPr>
          <w:trHeight w:val="176"/>
        </w:trPr>
        <w:tc>
          <w:tcPr>
            <w:tcW w:w="6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Dividend income</w:t>
            </w:r>
          </w:p>
        </w:tc>
        <w:tc>
          <w:tcPr>
            <w:tcW w:w="180" w:type="dxa"/>
            <w:vAlign w:val="bottom"/>
            <w:tcBorders>
              <w:bottom w:val="single" w:sz="8" w:color="auto"/>
            </w:tcBorders>
            <w:shd w:val="clear" w:color="auto" w:fill="CCECFF"/>
          </w:tcPr>
          <w:p>
            <w:pPr>
              <w:spacing w:after="0"/>
              <w:rPr>
                <w:sz w:val="15"/>
                <w:szCs w:val="15"/>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2,420</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1,694</w:t>
            </w:r>
          </w:p>
        </w:tc>
        <w:tc>
          <w:tcPr>
            <w:tcW w:w="2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6,655</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200" w:type="dxa"/>
            <w:vAlign w:val="bottom"/>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23,348</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20,493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76,035</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58,459</w:t>
            </w:r>
          </w:p>
        </w:tc>
        <w:tc>
          <w:tcPr>
            <w:tcW w:w="100" w:type="dxa"/>
            <w:vAlign w:val="bottom"/>
          </w:tcPr>
          <w:p>
            <w:pPr>
              <w:spacing w:after="0"/>
              <w:rPr>
                <w:sz w:val="14"/>
                <w:szCs w:val="14"/>
                <w:color w:val="auto"/>
              </w:rPr>
            </w:pPr>
          </w:p>
        </w:tc>
      </w:tr>
      <w:tr>
        <w:trPr>
          <w:trHeight w:val="169"/>
        </w:trPr>
        <w:tc>
          <w:tcPr>
            <w:tcW w:w="6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Base management fee (See Note 3)</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4,887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4,358</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14,977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12,755</w:t>
            </w: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Performance-based incentive fee (See Note 3)</w:t>
            </w:r>
          </w:p>
        </w:tc>
        <w:tc>
          <w:tcPr>
            <w:tcW w:w="1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Interest and expenses on debt (See Note 10)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6,737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6,942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16,836</w:t>
            </w: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Administrative services expenses (See Note 3)</w:t>
            </w:r>
          </w:p>
        </w:tc>
        <w:tc>
          <w:tcPr>
            <w:tcW w:w="1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380</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CFF"/>
          </w:tcPr>
          <w:p>
            <w:pPr>
              <w:spacing w:after="0"/>
              <w:rPr>
                <w:sz w:val="15"/>
                <w:szCs w:val="15"/>
                <w:color w:val="auto"/>
              </w:rPr>
            </w:pP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2,169</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w:t>
            </w:r>
          </w:p>
        </w:tc>
        <w:tc>
          <w:tcPr>
            <w:tcW w:w="100" w:type="dxa"/>
            <w:vAlign w:val="bottom"/>
          </w:tcPr>
          <w:p>
            <w:pPr>
              <w:spacing w:after="0"/>
              <w:rPr>
                <w:sz w:val="15"/>
                <w:szCs w:val="15"/>
                <w:color w:val="auto"/>
              </w:rPr>
            </w:pPr>
          </w:p>
        </w:tc>
      </w:tr>
      <w:tr>
        <w:trPr>
          <w:trHeight w:val="169"/>
        </w:trPr>
        <w:tc>
          <w:tcPr>
            <w:tcW w:w="6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Expenses before provision for taxes</w:t>
            </w:r>
          </w:p>
        </w:tc>
        <w:tc>
          <w:tcPr>
            <w:tcW w:w="18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12,597</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12,198</w:t>
            </w:r>
          </w:p>
        </w:tc>
        <w:tc>
          <w:tcPr>
            <w:tcW w:w="2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40,675</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32,786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200" w:type="dxa"/>
            <w:vAlign w:val="bottom"/>
          </w:tcPr>
          <w:p>
            <w:pPr>
              <w:ind w:left="200"/>
              <w:spacing w:after="0"/>
              <w:rPr>
                <w:sz w:val="20"/>
                <w:szCs w:val="20"/>
                <w:color w:val="auto"/>
              </w:rPr>
            </w:pPr>
            <w:r>
              <w:rPr>
                <w:rFonts w:ascii="Arial" w:cs="Arial" w:eastAsia="Arial" w:hAnsi="Arial"/>
                <w:sz w:val="14"/>
                <w:szCs w:val="14"/>
                <w:color w:val="auto"/>
              </w:rPr>
              <w:t>Provision for taxes on net investment income</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4"/>
                <w:szCs w:val="14"/>
                <w:color w:val="auto"/>
              </w:rPr>
            </w:pPr>
          </w:p>
        </w:tc>
      </w:tr>
      <w:tr>
        <w:trPr>
          <w:trHeight w:val="169"/>
        </w:trPr>
        <w:tc>
          <w:tcPr>
            <w:tcW w:w="6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expenses</w:t>
            </w:r>
          </w:p>
        </w:tc>
        <w:tc>
          <w:tcPr>
            <w:tcW w:w="18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12,797</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12,348</w:t>
            </w:r>
          </w:p>
        </w:tc>
        <w:tc>
          <w:tcPr>
            <w:tcW w:w="2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41,275</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33,236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20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8,145</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34,760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25,223</w:t>
            </w:r>
          </w:p>
        </w:tc>
        <w:tc>
          <w:tcPr>
            <w:tcW w:w="100" w:type="dxa"/>
            <w:vAlign w:val="bottom"/>
          </w:tcPr>
          <w:p>
            <w:pPr>
              <w:spacing w:after="0"/>
              <w:rPr>
                <w:sz w:val="14"/>
                <w:szCs w:val="14"/>
                <w:color w:val="auto"/>
              </w:rPr>
            </w:pPr>
          </w:p>
        </w:tc>
      </w:tr>
      <w:tr>
        <w:trPr>
          <w:trHeight w:val="169"/>
        </w:trPr>
        <w:tc>
          <w:tcPr>
            <w:tcW w:w="620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Realized and unrealized gain (loss) on investments and debt:</w:t>
            </w:r>
          </w:p>
        </w:tc>
        <w:tc>
          <w:tcPr>
            <w:tcW w:w="18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200" w:type="dxa"/>
            <w:vAlign w:val="bottom"/>
          </w:tcPr>
          <w:p>
            <w:pPr>
              <w:ind w:left="20"/>
              <w:spacing w:after="0"/>
              <w:rPr>
                <w:sz w:val="20"/>
                <w:szCs w:val="20"/>
                <w:color w:val="auto"/>
              </w:rPr>
            </w:pPr>
            <w:r>
              <w:rPr>
                <w:rFonts w:ascii="Arial" w:cs="Arial" w:eastAsia="Arial" w:hAnsi="Arial"/>
                <w:sz w:val="14"/>
                <w:szCs w:val="14"/>
                <w:color w:val="auto"/>
              </w:rPr>
              <w:t>Net realized gain (loss) on investments and debt: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41,687</w:t>
            </w:r>
          </w:p>
        </w:tc>
        <w:tc>
          <w:tcPr>
            <w:tcW w:w="24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7,203</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44,137</w:t>
            </w:r>
          </w:p>
        </w:tc>
        <w:tc>
          <w:tcPr>
            <w:tcW w:w="100" w:type="dxa"/>
            <w:vAlign w:val="bottom"/>
            <w:shd w:val="clear" w:color="auto" w:fill="CCECFF"/>
          </w:tcPr>
          <w:p>
            <w:pPr>
              <w:spacing w:after="0"/>
              <w:rPr>
                <w:sz w:val="15"/>
                <w:szCs w:val="15"/>
                <w:color w:val="auto"/>
              </w:rPr>
            </w:pP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18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(34,381 )</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75,243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(19,708 )</w:t>
            </w: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Debt extinguishment</w:t>
            </w:r>
          </w:p>
        </w:tc>
        <w:tc>
          <w:tcPr>
            <w:tcW w:w="1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(2,801 )</w:t>
            </w:r>
          </w:p>
        </w:tc>
        <w:tc>
          <w:tcPr>
            <w:tcW w:w="2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tcPr>
          <w:p>
            <w:pPr>
              <w:ind w:left="200"/>
              <w:spacing w:after="0"/>
              <w:rPr>
                <w:sz w:val="20"/>
                <w:szCs w:val="20"/>
                <w:color w:val="auto"/>
              </w:rPr>
            </w:pPr>
            <w:r>
              <w:rPr>
                <w:rFonts w:ascii="Arial" w:cs="Arial" w:eastAsia="Arial" w:hAnsi="Arial"/>
                <w:sz w:val="14"/>
                <w:szCs w:val="14"/>
                <w:color w:val="auto"/>
              </w:rPr>
              <w:t>Provision for taxes on realized gain on investments</w:t>
            </w:r>
          </w:p>
        </w:tc>
        <w:tc>
          <w:tcPr>
            <w:tcW w:w="18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(1,123 )</w:t>
            </w:r>
          </w:p>
        </w:tc>
        <w:tc>
          <w:tcPr>
            <w:tcW w:w="240" w:type="dxa"/>
            <w:vAlign w:val="bottom"/>
          </w:tcPr>
          <w:p>
            <w:pPr>
              <w:spacing w:after="0"/>
              <w:rPr>
                <w:sz w:val="15"/>
                <w:szCs w:val="15"/>
                <w:color w:val="auto"/>
              </w:rPr>
            </w:pPr>
          </w:p>
        </w:tc>
        <w:tc>
          <w:tcPr>
            <w:tcW w:w="11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(6,183 )</w:t>
            </w:r>
          </w:p>
        </w:tc>
        <w:tc>
          <w:tcPr>
            <w:tcW w:w="2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6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realized gain (loss) on investments and debt</w:t>
            </w:r>
          </w:p>
        </w:tc>
        <w:tc>
          <w:tcPr>
            <w:tcW w:w="18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(35,391</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41,687</w:t>
            </w:r>
          </w:p>
        </w:tc>
        <w:tc>
          <w:tcPr>
            <w:tcW w:w="24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73,462</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24,429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4"/>
                <w:szCs w:val="14"/>
                <w:color w:val="auto"/>
              </w:rPr>
              <w:t>Net change in unrealized appreciation (depreciation) 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180" w:type="dxa"/>
            <w:vAlign w:val="bottom"/>
            <w:shd w:val="clear" w:color="auto" w:fill="CCECFF"/>
          </w:tcPr>
          <w:p>
            <w:pPr>
              <w:spacing w:after="0"/>
              <w:rPr>
                <w:sz w:val="15"/>
                <w:szCs w:val="15"/>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14,317</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(41,842 )</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(193,348 )</w:t>
            </w:r>
          </w:p>
        </w:tc>
        <w:tc>
          <w:tcPr>
            <w:tcW w:w="24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45,770</w:t>
            </w:r>
          </w:p>
        </w:tc>
        <w:tc>
          <w:tcPr>
            <w:tcW w:w="100" w:type="dxa"/>
            <w:vAlign w:val="bottom"/>
            <w:shd w:val="clear" w:color="auto" w:fill="CCECFF"/>
          </w:tcPr>
          <w:p>
            <w:pPr>
              <w:spacing w:after="0"/>
              <w:rPr>
                <w:sz w:val="15"/>
                <w:szCs w:val="15"/>
                <w:color w:val="auto"/>
              </w:rPr>
            </w:pPr>
          </w:p>
        </w:tc>
      </w:tr>
      <w:tr>
        <w:trPr>
          <w:trHeight w:val="175"/>
        </w:trPr>
        <w:tc>
          <w:tcPr>
            <w:tcW w:w="6200" w:type="dxa"/>
            <w:vAlign w:val="bottom"/>
          </w:tcPr>
          <w:p>
            <w:pPr>
              <w:ind w:left="200"/>
              <w:spacing w:after="0"/>
              <w:rPr>
                <w:sz w:val="20"/>
                <w:szCs w:val="20"/>
                <w:color w:val="auto"/>
              </w:rPr>
            </w:pPr>
            <w:r>
              <w:rPr>
                <w:rFonts w:ascii="Arial" w:cs="Arial" w:eastAsia="Arial" w:hAnsi="Arial"/>
                <w:sz w:val="14"/>
                <w:szCs w:val="14"/>
                <w:color w:val="auto"/>
              </w:rPr>
              <w:t>Non-controlled and controlled, affiliated investments</w:t>
            </w:r>
          </w:p>
        </w:tc>
        <w:tc>
          <w:tcPr>
            <w:tcW w:w="180" w:type="dxa"/>
            <w:vAlign w:val="bottom"/>
          </w:tcPr>
          <w:p>
            <w:pPr>
              <w:spacing w:after="0"/>
              <w:rPr>
                <w:sz w:val="15"/>
                <w:szCs w:val="15"/>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(8,725 )</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25,512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94,257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64,581</w:t>
            </w:r>
          </w:p>
        </w:tc>
        <w:tc>
          <w:tcPr>
            <w:tcW w:w="100" w:type="dxa"/>
            <w:vAlign w:val="bottom"/>
          </w:tcPr>
          <w:p>
            <w:pPr>
              <w:spacing w:after="0"/>
              <w:rPr>
                <w:sz w:val="15"/>
                <w:szCs w:val="15"/>
                <w:color w:val="auto"/>
              </w:rPr>
            </w:pPr>
          </w:p>
        </w:tc>
      </w:tr>
      <w:tr>
        <w:trPr>
          <w:trHeight w:val="175"/>
        </w:trPr>
        <w:tc>
          <w:tcPr>
            <w:tcW w:w="6200" w:type="dxa"/>
            <w:vAlign w:val="bottom"/>
            <w:shd w:val="clear" w:color="auto" w:fill="CCECFF"/>
          </w:tcPr>
          <w:p>
            <w:pPr>
              <w:ind w:left="200"/>
              <w:spacing w:after="0"/>
              <w:rPr>
                <w:sz w:val="20"/>
                <w:szCs w:val="20"/>
                <w:color w:val="auto"/>
              </w:rPr>
            </w:pPr>
            <w:r>
              <w:rPr>
                <w:rFonts w:ascii="Arial" w:cs="Arial" w:eastAsia="Arial" w:hAnsi="Arial"/>
                <w:sz w:val="14"/>
                <w:szCs w:val="14"/>
                <w:color w:val="auto"/>
              </w:rPr>
              <w:t>Provision for taxes on unrealized appreciation on investments</w:t>
            </w:r>
          </w:p>
        </w:tc>
        <w:tc>
          <w:tcPr>
            <w:tcW w:w="18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(8,127 )</w:t>
            </w:r>
          </w:p>
        </w:tc>
        <w:tc>
          <w:tcPr>
            <w:tcW w:w="24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08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(8,127 )</w:t>
            </w:r>
          </w:p>
        </w:tc>
        <w:tc>
          <w:tcPr>
            <w:tcW w:w="240" w:type="dxa"/>
            <w:vAlign w:val="bottom"/>
            <w:shd w:val="clear" w:color="auto" w:fill="CCECFF"/>
          </w:tcPr>
          <w:p>
            <w:pPr>
              <w:spacing w:after="0"/>
              <w:rPr>
                <w:sz w:val="15"/>
                <w:szCs w:val="15"/>
                <w:color w:val="auto"/>
              </w:rPr>
            </w:pPr>
          </w:p>
        </w:tc>
        <w:tc>
          <w:tcPr>
            <w:tcW w:w="9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6200" w:type="dxa"/>
            <w:vAlign w:val="bottom"/>
          </w:tcPr>
          <w:p>
            <w:pPr>
              <w:ind w:left="200"/>
              <w:spacing w:after="0"/>
              <w:rPr>
                <w:sz w:val="20"/>
                <w:szCs w:val="20"/>
                <w:color w:val="auto"/>
              </w:rPr>
            </w:pPr>
            <w:r>
              <w:rPr>
                <w:rFonts w:ascii="Arial" w:cs="Arial" w:eastAsia="Arial" w:hAnsi="Arial"/>
                <w:sz w:val="14"/>
                <w:szCs w:val="14"/>
                <w:color w:val="auto"/>
              </w:rPr>
              <w:t>Debt (appreciation) depreciation (See Notes 5 and 10)</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8,894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(1,622 )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9,183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(18,494 )</w:t>
            </w:r>
          </w:p>
        </w:tc>
      </w:tr>
      <w:tr>
        <w:trPr>
          <w:trHeight w:val="169"/>
        </w:trPr>
        <w:tc>
          <w:tcPr>
            <w:tcW w:w="6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18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6,359</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(17,952</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bottom w:val="single" w:sz="8" w:color="auto"/>
            </w:tcBorders>
            <w:shd w:val="clear" w:color="auto" w:fill="CCECFF"/>
          </w:tcPr>
          <w:p>
            <w:pPr>
              <w:spacing w:after="0"/>
              <w:rPr>
                <w:sz w:val="14"/>
                <w:szCs w:val="14"/>
                <w:color w:val="auto"/>
              </w:rPr>
            </w:pP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(98,035</w:t>
            </w:r>
          </w:p>
        </w:tc>
        <w:tc>
          <w:tcPr>
            <w:tcW w:w="240" w:type="dxa"/>
            <w:vAlign w:val="bottom"/>
            <w:tcBorders>
              <w:bottom w:val="single" w:sz="8" w:color="CCECFF"/>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91,857</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620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180" w:type="dxa"/>
            <w:vAlign w:val="bottom"/>
          </w:tcPr>
          <w:p>
            <w:pPr>
              <w:spacing w:after="0"/>
              <w:rPr>
                <w:sz w:val="14"/>
                <w:szCs w:val="14"/>
                <w:color w:val="auto"/>
              </w:rPr>
            </w:pPr>
          </w:p>
        </w:tc>
        <w:tc>
          <w:tcPr>
            <w:tcW w:w="1120" w:type="dxa"/>
            <w:vAlign w:val="bottom"/>
            <w:gridSpan w:val="2"/>
          </w:tcPr>
          <w:p>
            <w:pPr>
              <w:jc w:val="right"/>
              <w:ind w:right="128"/>
              <w:spacing w:after="0"/>
              <w:rPr>
                <w:sz w:val="20"/>
                <w:szCs w:val="20"/>
                <w:color w:val="auto"/>
              </w:rPr>
            </w:pPr>
            <w:r>
              <w:rPr>
                <w:rFonts w:ascii="Arial" w:cs="Arial" w:eastAsia="Arial" w:hAnsi="Arial"/>
                <w:sz w:val="14"/>
                <w:szCs w:val="14"/>
                <w:color w:val="auto"/>
              </w:rPr>
              <w:t>(29,032 )</w:t>
            </w: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23,735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(24,573 )</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116,286</w:t>
            </w:r>
          </w:p>
        </w:tc>
        <w:tc>
          <w:tcPr>
            <w:tcW w:w="100" w:type="dxa"/>
            <w:vAlign w:val="bottom"/>
          </w:tcPr>
          <w:p>
            <w:pPr>
              <w:spacing w:after="0"/>
              <w:rPr>
                <w:sz w:val="14"/>
                <w:szCs w:val="14"/>
                <w:color w:val="auto"/>
              </w:rPr>
            </w:pPr>
          </w:p>
        </w:tc>
      </w:tr>
      <w:tr>
        <w:trPr>
          <w:trHeight w:val="209"/>
        </w:trPr>
        <w:tc>
          <w:tcPr>
            <w:tcW w:w="620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80" w:type="dxa"/>
            <w:vAlign w:val="bottom"/>
            <w:tcBorders>
              <w:top w:val="single" w:sz="8" w:color="auto"/>
              <w:bottom w:val="single" w:sz="8" w:color="auto"/>
            </w:tcBorders>
            <w:shd w:val="clear" w:color="auto" w:fill="CCECFF"/>
          </w:tcPr>
          <w:p>
            <w:pPr>
              <w:spacing w:after="0"/>
              <w:rPr>
                <w:sz w:val="18"/>
                <w:szCs w:val="18"/>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(18,481</w:t>
            </w:r>
          </w:p>
        </w:tc>
        <w:tc>
          <w:tcPr>
            <w:tcW w:w="260" w:type="dxa"/>
            <w:vAlign w:val="bottom"/>
            <w:tcBorders>
              <w:bottom w:val="single" w:sz="8" w:color="CCECFF"/>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31,880</w:t>
            </w:r>
          </w:p>
        </w:tc>
        <w:tc>
          <w:tcPr>
            <w:tcW w:w="24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10,187</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spacing w:after="0"/>
              <w:rPr>
                <w:sz w:val="18"/>
                <w:szCs w:val="18"/>
                <w:color w:val="auto"/>
              </w:rPr>
            </w:pP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141,509</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6200" w:type="dxa"/>
            <w:vAlign w:val="bottom"/>
          </w:tcPr>
          <w:p>
            <w:pPr>
              <w:ind w:left="20"/>
              <w:spacing w:after="0" w:line="155"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(0.28 )</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0.48</w:t>
            </w:r>
          </w:p>
        </w:tc>
        <w:tc>
          <w:tcPr>
            <w:tcW w:w="24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0.15</w:t>
            </w:r>
          </w:p>
        </w:tc>
        <w:tc>
          <w:tcPr>
            <w:tcW w:w="240" w:type="dxa"/>
            <w:vAlign w:val="bottom"/>
          </w:tcPr>
          <w:p>
            <w:pPr>
              <w:spacing w:after="0"/>
              <w:rPr>
                <w:sz w:val="13"/>
                <w:szCs w:val="13"/>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3"/>
                <w:szCs w:val="13"/>
                <w:color w:val="auto"/>
              </w:rPr>
            </w:pPr>
          </w:p>
        </w:tc>
      </w:tr>
      <w:tr>
        <w:trPr>
          <w:trHeight w:val="20"/>
        </w:trPr>
        <w:tc>
          <w:tcPr>
            <w:tcW w:w="6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Net investment income per common share</w:t>
            </w:r>
          </w:p>
        </w:tc>
        <w:tc>
          <w:tcPr>
            <w:tcW w:w="180" w:type="dxa"/>
            <w:vAlign w:val="bottom"/>
            <w:tcBorders>
              <w:bottom w:val="single" w:sz="8" w:color="auto"/>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0.16</w:t>
            </w:r>
          </w:p>
        </w:tc>
        <w:tc>
          <w:tcPr>
            <w:tcW w:w="26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0.12</w:t>
            </w:r>
          </w:p>
        </w:tc>
        <w:tc>
          <w:tcPr>
            <w:tcW w:w="24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0.52</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0.38</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-3296920</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-3296920</wp:posOffset>
            </wp:positionV>
            <wp:extent cx="774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-3296920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-3296920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-2379345</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-2379345</wp:posOffset>
            </wp:positionV>
            <wp:extent cx="7747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-2379345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-2379345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-2139315</wp:posOffset>
            </wp:positionV>
            <wp:extent cx="7747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-2139315</wp:posOffset>
            </wp:positionV>
            <wp:extent cx="774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-2139315</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-1222375</wp:posOffset>
            </wp:positionV>
            <wp:extent cx="774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-1222375</wp:posOffset>
            </wp:positionV>
            <wp:extent cx="7747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-1222375</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-536575</wp:posOffset>
            </wp:positionV>
            <wp:extent cx="7747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-536575</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-536575</wp:posOffset>
            </wp:positionV>
            <wp:extent cx="6858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-536575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-299720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-281940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-299720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-281940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-299720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-281940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6"/>
                <w:szCs w:val="16"/>
                <w:color w:val="auto"/>
              </w:rPr>
            </w:pPr>
          </w:p>
        </w:tc>
        <w:tc>
          <w:tcPr>
            <w:tcW w:w="240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69"/>
        </w:trPr>
        <w:tc>
          <w:tcPr>
            <w:tcW w:w="57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7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576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10,551</w:t>
            </w:r>
          </w:p>
        </w:tc>
        <w:tc>
          <w:tcPr>
            <w:tcW w:w="26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8,145</w:t>
            </w:r>
          </w:p>
        </w:tc>
        <w:tc>
          <w:tcPr>
            <w:tcW w:w="24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34,760</w:t>
            </w:r>
          </w:p>
        </w:tc>
        <w:tc>
          <w:tcPr>
            <w:tcW w:w="26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25,223</w:t>
            </w:r>
          </w:p>
        </w:tc>
        <w:tc>
          <w:tcPr>
            <w:tcW w:w="100" w:type="dxa"/>
            <w:vAlign w:val="bottom"/>
          </w:tcPr>
          <w:p>
            <w:pPr>
              <w:spacing w:after="0"/>
              <w:rPr>
                <w:sz w:val="15"/>
                <w:szCs w:val="15"/>
                <w:color w:val="auto"/>
              </w:rPr>
            </w:pPr>
          </w:p>
        </w:tc>
      </w:tr>
      <w:tr>
        <w:trPr>
          <w:trHeight w:val="176"/>
        </w:trPr>
        <w:tc>
          <w:tcPr>
            <w:tcW w:w="57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realized gain (loss) on investments and debt</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(34,268 )</w:t>
            </w:r>
          </w:p>
        </w:tc>
        <w:tc>
          <w:tcPr>
            <w:tcW w:w="2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41,687</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79,645</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24,429</w:t>
            </w:r>
          </w:p>
        </w:tc>
        <w:tc>
          <w:tcPr>
            <w:tcW w:w="100" w:type="dxa"/>
            <w:vAlign w:val="bottom"/>
            <w:shd w:val="clear" w:color="auto" w:fill="CCECFF"/>
          </w:tcPr>
          <w:p>
            <w:pPr>
              <w:spacing w:after="0"/>
              <w:rPr>
                <w:sz w:val="15"/>
                <w:szCs w:val="15"/>
                <w:color w:val="auto"/>
              </w:rPr>
            </w:pPr>
          </w:p>
        </w:tc>
      </w:tr>
      <w:tr>
        <w:trPr>
          <w:trHeight w:val="175"/>
        </w:trPr>
        <w:tc>
          <w:tcPr>
            <w:tcW w:w="5760" w:type="dxa"/>
            <w:vAlign w:val="bottom"/>
          </w:tcPr>
          <w:p>
            <w:pPr>
              <w:ind w:left="20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5,592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4"/>
                <w:szCs w:val="14"/>
                <w:color w:val="auto"/>
              </w:rPr>
              <w:t>(16,330 )</w:t>
            </w:r>
          </w:p>
        </w:tc>
        <w:tc>
          <w:tcPr>
            <w:tcW w:w="24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(99,091 )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110,351</w:t>
            </w:r>
          </w:p>
        </w:tc>
        <w:tc>
          <w:tcPr>
            <w:tcW w:w="100" w:type="dxa"/>
            <w:vAlign w:val="bottom"/>
          </w:tcPr>
          <w:p>
            <w:pPr>
              <w:spacing w:after="0"/>
              <w:rPr>
                <w:sz w:val="15"/>
                <w:szCs w:val="15"/>
                <w:color w:val="auto"/>
              </w:rPr>
            </w:pPr>
          </w:p>
        </w:tc>
      </w:tr>
      <w:tr>
        <w:trPr>
          <w:trHeight w:val="176"/>
        </w:trPr>
        <w:tc>
          <w:tcPr>
            <w:tcW w:w="57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change in provision for taxes on net realized gain (loss) on investments</w:t>
            </w:r>
          </w:p>
        </w:tc>
        <w:tc>
          <w:tcPr>
            <w:tcW w:w="22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(1,123 )</w:t>
            </w:r>
          </w:p>
        </w:tc>
        <w:tc>
          <w:tcPr>
            <w:tcW w:w="28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(6,183 )</w:t>
            </w: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Net change in provision for taxes on unrealized appreciation on investments</w:t>
            </w:r>
          </w:p>
        </w:tc>
        <w:tc>
          <w:tcPr>
            <w:tcW w:w="22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(8,127 )</w:t>
            </w:r>
          </w:p>
        </w:tc>
        <w:tc>
          <w:tcPr>
            <w:tcW w:w="28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(8,127 )</w:t>
            </w:r>
          </w:p>
        </w:tc>
        <w:tc>
          <w:tcPr>
            <w:tcW w:w="260" w:type="dxa"/>
            <w:vAlign w:val="bottom"/>
          </w:tcPr>
          <w:p>
            <w:pPr>
              <w:spacing w:after="0"/>
              <w:rPr>
                <w:sz w:val="15"/>
                <w:szCs w:val="15"/>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57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Net change in unrealized (appreciation) depreciation on debt</w:t>
            </w:r>
          </w:p>
        </w:tc>
        <w:tc>
          <w:tcPr>
            <w:tcW w:w="22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8,894</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1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(1,622 )</w:t>
            </w:r>
          </w:p>
        </w:tc>
        <w:tc>
          <w:tcPr>
            <w:tcW w:w="240" w:type="dxa"/>
            <w:vAlign w:val="bottom"/>
            <w:shd w:val="clear" w:color="auto" w:fill="CCECFF"/>
          </w:tcPr>
          <w:p>
            <w:pPr>
              <w:spacing w:after="0"/>
              <w:rPr>
                <w:sz w:val="15"/>
                <w:szCs w:val="15"/>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9,183</w:t>
            </w:r>
          </w:p>
        </w:tc>
        <w:tc>
          <w:tcPr>
            <w:tcW w:w="26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(18,494 )</w:t>
            </w:r>
          </w:p>
        </w:tc>
      </w:tr>
      <w:tr>
        <w:trPr>
          <w:trHeight w:val="20"/>
        </w:trPr>
        <w:tc>
          <w:tcPr>
            <w:tcW w:w="57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760" w:type="dxa"/>
            <w:vAlign w:val="bottom"/>
          </w:tcPr>
          <w:p>
            <w:pPr>
              <w:ind w:left="20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22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(18,481 )</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31,880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10,187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141,509</w:t>
            </w:r>
          </w:p>
        </w:tc>
        <w:tc>
          <w:tcPr>
            <w:tcW w:w="100" w:type="dxa"/>
            <w:vAlign w:val="bottom"/>
          </w:tcPr>
          <w:p>
            <w:pPr>
              <w:spacing w:after="0"/>
              <w:rPr>
                <w:sz w:val="14"/>
                <w:szCs w:val="14"/>
                <w:color w:val="auto"/>
              </w:rPr>
            </w:pPr>
          </w:p>
        </w:tc>
      </w:tr>
      <w:tr>
        <w:trPr>
          <w:trHeight w:val="169"/>
        </w:trPr>
        <w:tc>
          <w:tcPr>
            <w:tcW w:w="57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Distributions to stockholders:</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(9,378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(8,045</w:t>
            </w:r>
          </w:p>
        </w:tc>
        <w:tc>
          <w:tcPr>
            <w:tcW w:w="240" w:type="dxa"/>
            <w:vAlign w:val="bottom"/>
            <w:tcBorders>
              <w:bottom w:val="single" w:sz="8" w:color="CCECFF"/>
            </w:tcBorders>
            <w:shd w:val="clear" w:color="auto" w:fill="CCECFF"/>
          </w:tcPr>
          <w:p>
            <w:pPr>
              <w:jc w:val="right"/>
              <w:ind w:right="10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CECFF"/>
          </w:tcPr>
          <w:p>
            <w:pPr>
              <w:spacing w:after="0"/>
              <w:rPr>
                <w:sz w:val="14"/>
                <w:szCs w:val="14"/>
                <w:color w:val="auto"/>
              </w:rPr>
            </w:pP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(26,808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(24,136</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Capital Transactions: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7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color w:val="auto"/>
              </w:rPr>
              <w:t>Repurchase of common stock (See Note 13)</w:t>
            </w: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(4,958</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(12,012</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26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net assets</w:t>
            </w:r>
          </w:p>
        </w:tc>
        <w:tc>
          <w:tcPr>
            <w:tcW w:w="22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(32,817 )</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23,835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(28,633 )</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117,373</w:t>
            </w:r>
          </w:p>
        </w:tc>
        <w:tc>
          <w:tcPr>
            <w:tcW w:w="100" w:type="dxa"/>
            <w:vAlign w:val="bottom"/>
          </w:tcPr>
          <w:p>
            <w:pPr>
              <w:spacing w:after="0"/>
              <w:rPr>
                <w:sz w:val="14"/>
                <w:szCs w:val="14"/>
                <w:color w:val="auto"/>
              </w:rPr>
            </w:pPr>
          </w:p>
        </w:tc>
      </w:tr>
      <w:tr>
        <w:trPr>
          <w:trHeight w:val="169"/>
        </w:trPr>
        <w:tc>
          <w:tcPr>
            <w:tcW w:w="57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Net assets:</w:t>
            </w:r>
          </w:p>
        </w:tc>
        <w:tc>
          <w:tcPr>
            <w:tcW w:w="220" w:type="dxa"/>
            <w:vAlign w:val="bottom"/>
            <w:tcBorders>
              <w:top w:val="single" w:sz="8" w:color="auto"/>
            </w:tcBorders>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88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760" w:type="dxa"/>
            <w:vAlign w:val="bottom"/>
          </w:tcPr>
          <w:p>
            <w:pPr>
              <w:ind w:left="200"/>
              <w:spacing w:after="0"/>
              <w:rPr>
                <w:sz w:val="20"/>
                <w:szCs w:val="20"/>
                <w:color w:val="auto"/>
              </w:rPr>
            </w:pPr>
            <w:r>
              <w:rPr>
                <w:rFonts w:ascii="Arial" w:cs="Arial" w:eastAsia="Arial" w:hAnsi="Arial"/>
                <w:sz w:val="14"/>
                <w:szCs w:val="14"/>
                <w:color w:val="auto"/>
              </w:rPr>
              <w:t>Beginning of period</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664,327</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619,247</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660,144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525,709</w:t>
            </w:r>
          </w:p>
        </w:tc>
        <w:tc>
          <w:tcPr>
            <w:tcW w:w="100" w:type="dxa"/>
            <w:vAlign w:val="bottom"/>
          </w:tcPr>
          <w:p>
            <w:pPr>
              <w:spacing w:after="0"/>
              <w:rPr>
                <w:sz w:val="15"/>
                <w:szCs w:val="15"/>
                <w:color w:val="auto"/>
              </w:rPr>
            </w:pPr>
          </w:p>
        </w:tc>
      </w:tr>
      <w:tr>
        <w:trPr>
          <w:trHeight w:val="209"/>
        </w:trPr>
        <w:tc>
          <w:tcPr>
            <w:tcW w:w="576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color w:val="auto"/>
              </w:rPr>
              <w:t>End of period</w:t>
            </w: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631,510</w:t>
            </w:r>
          </w:p>
        </w:tc>
        <w:tc>
          <w:tcPr>
            <w:tcW w:w="2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643,082</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631,511</w:t>
            </w:r>
          </w:p>
        </w:tc>
        <w:tc>
          <w:tcPr>
            <w:tcW w:w="2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643,082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57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Capital share activity:</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76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color w:val="auto"/>
              </w:rPr>
              <w:t>Shares of common stock repurchased</w:t>
            </w:r>
          </w:p>
        </w:tc>
        <w:tc>
          <w:tcPr>
            <w:tcW w:w="22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717,709</w:t>
            </w:r>
          </w:p>
        </w:tc>
        <w:tc>
          <w:tcPr>
            <w:tcW w:w="2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spacing w:after="0"/>
              <w:rPr>
                <w:sz w:val="18"/>
                <w:szCs w:val="18"/>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1,631,163</w:t>
            </w:r>
          </w:p>
        </w:tc>
        <w:tc>
          <w:tcPr>
            <w:tcW w:w="26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spacing w:after="0"/>
              <w:rPr>
                <w:sz w:val="18"/>
                <w:szCs w:val="18"/>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-1222375</wp:posOffset>
            </wp:positionV>
            <wp:extent cx="768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-1222375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-1222375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-1222375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-982345</wp:posOffset>
            </wp:positionV>
            <wp:extent cx="7683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-982345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-982345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-742315</wp:posOffset>
            </wp:positionV>
            <wp:extent cx="768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-742315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-742315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-742315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-273685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-256540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-273685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-256540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-273685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-256540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Nine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6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6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4"/>
                <w:szCs w:val="14"/>
                <w:color w:val="auto"/>
              </w:rPr>
              <w:t>Net increase in net assets resulting from operations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10,186</w:t>
            </w:r>
          </w:p>
        </w:tc>
        <w:tc>
          <w:tcPr>
            <w:tcW w:w="280" w:type="dxa"/>
            <w:vAlign w:val="bottom"/>
          </w:tcPr>
          <w:p>
            <w:pPr>
              <w:spacing w:after="0"/>
              <w:rPr>
                <w:sz w:val="15"/>
                <w:szCs w:val="15"/>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141,509</w:t>
            </w:r>
          </w:p>
        </w:tc>
        <w:tc>
          <w:tcPr>
            <w:tcW w:w="100" w:type="dxa"/>
            <w:vAlign w:val="bottom"/>
          </w:tcPr>
          <w:p>
            <w:pPr>
              <w:spacing w:after="0"/>
              <w:rPr>
                <w:sz w:val="15"/>
                <w:szCs w:val="15"/>
                <w:color w:val="auto"/>
              </w:rPr>
            </w:pPr>
          </w:p>
        </w:tc>
      </w:tr>
      <w:tr>
        <w:trPr>
          <w:trHeight w:val="143"/>
        </w:trPr>
        <w:tc>
          <w:tcPr>
            <w:tcW w:w="7660" w:type="dxa"/>
            <w:vAlign w:val="bottom"/>
            <w:shd w:val="clear" w:color="auto" w:fill="CCECFF"/>
          </w:tcPr>
          <w:p>
            <w:pPr>
              <w:ind w:left="380"/>
              <w:spacing w:after="0" w:line="143" w:lineRule="exact"/>
              <w:rPr>
                <w:sz w:val="20"/>
                <w:szCs w:val="20"/>
                <w:color w:val="auto"/>
              </w:rPr>
            </w:pPr>
            <w:r>
              <w:rPr>
                <w:rFonts w:ascii="Arial" w:cs="Arial" w:eastAsia="Arial" w:hAnsi="Arial"/>
                <w:sz w:val="14"/>
                <w:szCs w:val="14"/>
                <w:color w:val="auto"/>
              </w:rPr>
              <w:t>Adjustments to reconcile net increase (decrease) in net assets resulting from</w:t>
            </w:r>
          </w:p>
        </w:tc>
        <w:tc>
          <w:tcPr>
            <w:tcW w:w="10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81"/>
        </w:trPr>
        <w:tc>
          <w:tcPr>
            <w:tcW w:w="7660" w:type="dxa"/>
            <w:vAlign w:val="bottom"/>
            <w:shd w:val="clear" w:color="auto" w:fill="CCECFF"/>
          </w:tcPr>
          <w:p>
            <w:pPr>
              <w:ind w:left="480"/>
              <w:spacing w:after="0"/>
              <w:rPr>
                <w:sz w:val="20"/>
                <w:szCs w:val="20"/>
                <w:color w:val="auto"/>
              </w:rPr>
            </w:pPr>
            <w:r>
              <w:rPr>
                <w:rFonts w:ascii="Arial" w:cs="Arial" w:eastAsia="Arial" w:hAnsi="Arial"/>
                <w:sz w:val="14"/>
                <w:szCs w:val="14"/>
                <w:color w:val="auto"/>
              </w:rPr>
              <w:t>operations to net cash (used in) provided by operating activities:</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Net change in net unrealized (appreciation) depreciation on investments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99,091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(110,351 )</w:t>
            </w: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change in unrealized appreciation (depreciation) on debt</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(9,183 )</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18,494</w:t>
            </w:r>
          </w:p>
        </w:tc>
        <w:tc>
          <w:tcPr>
            <w:tcW w:w="100" w:type="dxa"/>
            <w:vAlign w:val="bottom"/>
            <w:shd w:val="clear" w:color="auto" w:fill="CCECFF"/>
          </w:tcPr>
          <w:p>
            <w:pPr>
              <w:spacing w:after="0"/>
              <w:rPr>
                <w:sz w:val="15"/>
                <w:szCs w:val="15"/>
                <w:color w:val="auto"/>
              </w:rPr>
            </w:pP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Net realized (gain) loss on investments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(82,446 )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(24,429 )</w:t>
            </w: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Debt extinguishment realized loss</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2,801</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Net accretion of discount and amortization of premium</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(3,763 )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(2,919 )</w:t>
            </w:r>
          </w:p>
        </w:tc>
      </w:tr>
      <w:tr>
        <w:trPr>
          <w:trHeight w:val="176"/>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Purchases of investments</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w w:val="97"/>
              </w:rPr>
              <w:t>(799,414 )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(276,376 )</w:t>
            </w:r>
          </w:p>
        </w:tc>
      </w:tr>
      <w:tr>
        <w:trPr>
          <w:trHeight w:val="175"/>
        </w:trPr>
        <w:tc>
          <w:tcPr>
            <w:tcW w:w="7660" w:type="dxa"/>
            <w:vAlign w:val="bottom"/>
          </w:tcPr>
          <w:p>
            <w:pPr>
              <w:ind w:left="740"/>
              <w:spacing w:after="0"/>
              <w:rPr>
                <w:sz w:val="20"/>
                <w:szCs w:val="20"/>
                <w:color w:val="auto"/>
              </w:rPr>
            </w:pPr>
            <w:r>
              <w:rPr>
                <w:rFonts w:ascii="Arial" w:cs="Arial" w:eastAsia="Arial" w:hAnsi="Arial"/>
                <w:sz w:val="14"/>
                <w:szCs w:val="14"/>
                <w:color w:val="auto"/>
              </w:rPr>
              <w:t>Payment-in-kind income</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(8,785 )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(11,049 )</w:t>
            </w:r>
          </w:p>
        </w:tc>
      </w:tr>
      <w:tr>
        <w:trPr>
          <w:trHeight w:val="176"/>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Proceeds from dispositions of investments</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736,031</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358,633</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740"/>
              <w:spacing w:after="0"/>
              <w:rPr>
                <w:sz w:val="20"/>
                <w:szCs w:val="20"/>
                <w:color w:val="auto"/>
              </w:rPr>
            </w:pPr>
            <w:r>
              <w:rPr>
                <w:rFonts w:ascii="Arial" w:cs="Arial" w:eastAsia="Arial" w:hAnsi="Arial"/>
                <w:sz w:val="14"/>
                <w:szCs w:val="14"/>
                <w:color w:val="auto"/>
              </w:rPr>
              <w:t>Amortization of deferred financing costs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1,507</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176"/>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Decrease in interest receivable</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1,646</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CFF"/>
          </w:tcPr>
          <w:p>
            <w:pPr>
              <w:spacing w:after="0"/>
              <w:rPr>
                <w:sz w:val="15"/>
                <w:szCs w:val="15"/>
                <w:color w:val="auto"/>
              </w:rPr>
            </w:pP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Increase in receivables from investments sold</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(44,614 )</w:t>
            </w:r>
          </w:p>
        </w:tc>
        <w:tc>
          <w:tcPr>
            <w:tcW w:w="102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distribution receivable</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(726 )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(300 )</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(Increase) decrease in prepaid expenses and other assets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(23,571 )</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payable for investments purchased</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12,028</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(2,444 )</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Increase (decrease) in interest payable on debt</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(1,556 )</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Pr>
          <w:p>
            <w:pPr>
              <w:spacing w:after="0"/>
              <w:rPr>
                <w:sz w:val="15"/>
                <w:szCs w:val="15"/>
                <w:color w:val="auto"/>
              </w:rPr>
            </w:pP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(decrease) in base management fee payable, net</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307</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(12 )</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Decrease in performance-based incentive fee payable, net</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(575 )</w:t>
            </w:r>
          </w:p>
        </w:tc>
        <w:tc>
          <w:tcPr>
            <w:tcW w:w="1020" w:type="dxa"/>
            <w:vAlign w:val="bottom"/>
          </w:tcPr>
          <w:p>
            <w:pPr>
              <w:spacing w:after="0"/>
              <w:rPr>
                <w:sz w:val="15"/>
                <w:szCs w:val="15"/>
                <w:color w:val="auto"/>
              </w:rPr>
            </w:pP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Increase in deferred tax liability</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8,127</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tcPr>
          <w:p>
            <w:pPr>
              <w:ind w:left="740"/>
              <w:spacing w:after="0"/>
              <w:rPr>
                <w:sz w:val="20"/>
                <w:szCs w:val="20"/>
                <w:color w:val="auto"/>
              </w:rPr>
            </w:pPr>
            <w:r>
              <w:rPr>
                <w:rFonts w:ascii="Arial" w:cs="Arial" w:eastAsia="Arial" w:hAnsi="Arial"/>
                <w:sz w:val="14"/>
                <w:szCs w:val="14"/>
                <w:color w:val="auto"/>
              </w:rPr>
              <w:t>(Decrease) increase in accrued other expenses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5,425</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5"/>
                <w:szCs w:val="15"/>
                <w:color w:val="auto"/>
              </w:rPr>
            </w:pPr>
          </w:p>
        </w:tc>
      </w:tr>
      <w:tr>
        <w:trPr>
          <w:trHeight w:val="169"/>
        </w:trPr>
        <w:tc>
          <w:tcPr>
            <w:tcW w:w="7660" w:type="dxa"/>
            <w:vAlign w:val="bottom"/>
            <w:tcBorders>
              <w:bottom w:val="single" w:sz="8" w:color="CCECFF"/>
            </w:tcBorders>
            <w:shd w:val="clear" w:color="auto" w:fill="CCECFF"/>
          </w:tcPr>
          <w:p>
            <w:pPr>
              <w:ind w:left="1100"/>
              <w:spacing w:after="0"/>
              <w:rPr>
                <w:sz w:val="20"/>
                <w:szCs w:val="20"/>
                <w:color w:val="auto"/>
              </w:rPr>
            </w:pPr>
            <w:r>
              <w:rPr>
                <w:rFonts w:ascii="Arial" w:cs="Arial" w:eastAsia="Arial" w:hAnsi="Arial"/>
                <w:sz w:val="14"/>
                <w:szCs w:val="14"/>
                <w:color w:val="auto"/>
              </w:rPr>
              <w:t>Net cash (used in) provided by operating activities</w:t>
            </w:r>
          </w:p>
        </w:tc>
        <w:tc>
          <w:tcPr>
            <w:tcW w:w="1000" w:type="dxa"/>
            <w:vAlign w:val="bottom"/>
            <w:tcBorders>
              <w:bottom w:val="single" w:sz="8" w:color="auto"/>
            </w:tcBorders>
            <w:shd w:val="clear" w:color="auto" w:fill="CCECFF"/>
          </w:tcPr>
          <w:p>
            <w:pPr>
              <w:spacing w:after="0"/>
              <w:rPr>
                <w:sz w:val="14"/>
                <w:szCs w:val="14"/>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(97,483</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1020" w:type="dxa"/>
            <w:vAlign w:val="bottom"/>
            <w:tcBorders>
              <w:bottom w:val="single" w:sz="8" w:color="auto"/>
            </w:tcBorders>
            <w:shd w:val="clear" w:color="auto" w:fill="CCECFF"/>
          </w:tcPr>
          <w:p>
            <w:pPr>
              <w:spacing w:after="0"/>
              <w:rPr>
                <w:sz w:val="14"/>
                <w:szCs w:val="14"/>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95,721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Repurchase of common stock</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(12,014 )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Distributions paid to stockholders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(25,348 )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(24,136 )</w:t>
            </w:r>
          </w:p>
        </w:tc>
      </w:tr>
      <w:tr>
        <w:trPr>
          <w:trHeight w:val="176"/>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Net repayments of the 2024 Notes issuance</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(86,250 )</w:t>
            </w: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tcPr>
          <w:p>
            <w:pPr>
              <w:ind w:left="740"/>
              <w:spacing w:after="0"/>
              <w:rPr>
                <w:sz w:val="20"/>
                <w:szCs w:val="20"/>
                <w:color w:val="auto"/>
              </w:rPr>
            </w:pPr>
            <w:r>
              <w:rPr>
                <w:rFonts w:ascii="Arial" w:cs="Arial" w:eastAsia="Arial" w:hAnsi="Arial"/>
                <w:sz w:val="14"/>
                <w:szCs w:val="14"/>
                <w:color w:val="auto"/>
              </w:rPr>
              <w:t>Proceeds from 2026 Notes issuance</w:t>
            </w:r>
          </w:p>
        </w:tc>
        <w:tc>
          <w:tcPr>
            <w:tcW w:w="1000" w:type="dxa"/>
            <w:vAlign w:val="bottom"/>
          </w:tcPr>
          <w:p>
            <w:pPr>
              <w:spacing w:after="0"/>
              <w:rPr>
                <w:sz w:val="15"/>
                <w:szCs w:val="15"/>
                <w:color w:val="auto"/>
              </w:rPr>
            </w:pPr>
          </w:p>
        </w:tc>
        <w:tc>
          <w:tcPr>
            <w:tcW w:w="8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145,464</w:t>
            </w:r>
          </w:p>
        </w:tc>
        <w:tc>
          <w:tcPr>
            <w:tcW w:w="100" w:type="dxa"/>
            <w:vAlign w:val="bottom"/>
          </w:tcPr>
          <w:p>
            <w:pPr>
              <w:spacing w:after="0"/>
              <w:rPr>
                <w:sz w:val="15"/>
                <w:szCs w:val="15"/>
                <w:color w:val="auto"/>
              </w:rPr>
            </w:pP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Proceeds from 2026 Notes-2 issuance</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160,519</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7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740"/>
              <w:spacing w:after="0"/>
              <w:rPr>
                <w:sz w:val="20"/>
                <w:szCs w:val="20"/>
                <w:color w:val="auto"/>
              </w:rPr>
            </w:pPr>
            <w:r>
              <w:rPr>
                <w:rFonts w:ascii="Arial" w:cs="Arial" w:eastAsia="Arial" w:hAnsi="Arial"/>
                <w:sz w:val="14"/>
                <w:szCs w:val="14"/>
                <w:color w:val="auto"/>
              </w:rPr>
              <w:t>Repayments under SBA debentures</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rPr>
              <w:t>(36,358 )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(55,000 )</w:t>
            </w:r>
          </w:p>
        </w:tc>
      </w:tr>
      <w:tr>
        <w:trPr>
          <w:trHeight w:val="175"/>
        </w:trPr>
        <w:tc>
          <w:tcPr>
            <w:tcW w:w="7660" w:type="dxa"/>
            <w:vAlign w:val="bottom"/>
            <w:shd w:val="clear" w:color="auto" w:fill="CCECFF"/>
          </w:tcPr>
          <w:p>
            <w:pPr>
              <w:ind w:left="740"/>
              <w:spacing w:after="0"/>
              <w:rPr>
                <w:sz w:val="20"/>
                <w:szCs w:val="20"/>
                <w:color w:val="auto"/>
              </w:rPr>
            </w:pPr>
            <w:r>
              <w:rPr>
                <w:rFonts w:ascii="Arial" w:cs="Arial" w:eastAsia="Arial" w:hAnsi="Arial"/>
                <w:sz w:val="14"/>
                <w:szCs w:val="14"/>
                <w:color w:val="auto"/>
              </w:rPr>
              <w:t>Borrowings under Truist Credit Facility</w:t>
            </w:r>
          </w:p>
        </w:tc>
        <w:tc>
          <w:tcPr>
            <w:tcW w:w="10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815,841</w:t>
            </w:r>
          </w:p>
        </w:tc>
        <w:tc>
          <w:tcPr>
            <w:tcW w:w="280" w:type="dxa"/>
            <w:vAlign w:val="bottom"/>
            <w:shd w:val="clear" w:color="auto" w:fill="CCECFF"/>
          </w:tcPr>
          <w:p>
            <w:pPr>
              <w:spacing w:after="0"/>
              <w:rPr>
                <w:sz w:val="15"/>
                <w:szCs w:val="15"/>
                <w:color w:val="auto"/>
              </w:rPr>
            </w:pP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148,312</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740"/>
              <w:spacing w:after="0"/>
              <w:rPr>
                <w:sz w:val="20"/>
                <w:szCs w:val="20"/>
                <w:color w:val="auto"/>
              </w:rPr>
            </w:pPr>
            <w:r>
              <w:rPr>
                <w:rFonts w:ascii="Arial" w:cs="Arial" w:eastAsia="Arial" w:hAnsi="Arial"/>
                <w:sz w:val="14"/>
                <w:szCs w:val="14"/>
                <w:color w:val="auto"/>
              </w:rPr>
              <w:t>Repayments under Truist Credit Facility</w:t>
            </w:r>
          </w:p>
        </w:tc>
        <w:tc>
          <w:tcPr>
            <w:tcW w:w="1000" w:type="dxa"/>
            <w:vAlign w:val="bottom"/>
          </w:tcPr>
          <w:p>
            <w:pPr>
              <w:spacing w:after="0"/>
              <w:rPr>
                <w:sz w:val="15"/>
                <w:szCs w:val="15"/>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4"/>
                <w:szCs w:val="14"/>
                <w:color w:val="auto"/>
                <w:w w:val="97"/>
              </w:rPr>
              <w:t>(709,466 )</w:t>
            </w:r>
          </w:p>
        </w:tc>
        <w:tc>
          <w:tcPr>
            <w:tcW w:w="10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(322,019 )</w:t>
            </w:r>
          </w:p>
        </w:tc>
      </w:tr>
      <w:tr>
        <w:trPr>
          <w:trHeight w:val="169"/>
        </w:trPr>
        <w:tc>
          <w:tcPr>
            <w:tcW w:w="7660" w:type="dxa"/>
            <w:vAlign w:val="bottom"/>
            <w:tcBorders>
              <w:bottom w:val="single" w:sz="8" w:color="CCECFF"/>
            </w:tcBorders>
            <w:shd w:val="clear" w:color="auto" w:fill="CCECFF"/>
          </w:tcPr>
          <w:p>
            <w:pPr>
              <w:ind w:left="1100"/>
              <w:spacing w:after="0"/>
              <w:rPr>
                <w:sz w:val="20"/>
                <w:szCs w:val="20"/>
                <w:color w:val="auto"/>
              </w:rPr>
            </w:pPr>
            <w:r>
              <w:rPr>
                <w:rFonts w:ascii="Arial" w:cs="Arial" w:eastAsia="Arial" w:hAnsi="Arial"/>
                <w:sz w:val="14"/>
                <w:szCs w:val="14"/>
                <w:color w:val="auto"/>
              </w:rPr>
              <w:t>Net cash provided by (used in) financing activities</w:t>
            </w:r>
          </w:p>
        </w:tc>
        <w:tc>
          <w:tcPr>
            <w:tcW w:w="1000" w:type="dxa"/>
            <w:vAlign w:val="bottom"/>
            <w:tcBorders>
              <w:top w:val="single" w:sz="8" w:color="auto"/>
              <w:bottom w:val="single" w:sz="8" w:color="auto"/>
            </w:tcBorders>
            <w:shd w:val="clear" w:color="auto" w:fill="CCECFF"/>
          </w:tcPr>
          <w:p>
            <w:pPr>
              <w:spacing w:after="0"/>
              <w:rPr>
                <w:sz w:val="14"/>
                <w:szCs w:val="14"/>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106,924</w:t>
            </w:r>
          </w:p>
        </w:tc>
        <w:tc>
          <w:tcPr>
            <w:tcW w:w="280" w:type="dxa"/>
            <w:vAlign w:val="bottom"/>
            <w:tcBorders>
              <w:bottom w:val="single" w:sz="8" w:color="CCECFF"/>
            </w:tcBorders>
            <w:shd w:val="clear" w:color="auto" w:fill="CCECFF"/>
          </w:tcPr>
          <w:p>
            <w:pPr>
              <w:spacing w:after="0"/>
              <w:rPr>
                <w:sz w:val="14"/>
                <w:szCs w:val="14"/>
                <w:color w:val="auto"/>
              </w:rPr>
            </w:pPr>
          </w:p>
        </w:tc>
        <w:tc>
          <w:tcPr>
            <w:tcW w:w="1020" w:type="dxa"/>
            <w:vAlign w:val="bottom"/>
            <w:tcBorders>
              <w:top w:val="single" w:sz="8" w:color="auto"/>
              <w:bottom w:val="single" w:sz="8" w:color="auto"/>
            </w:tcBorders>
            <w:shd w:val="clear" w:color="auto" w:fill="CCECFF"/>
          </w:tcPr>
          <w:p>
            <w:pPr>
              <w:spacing w:after="0"/>
              <w:rPr>
                <w:sz w:val="14"/>
                <w:szCs w:val="14"/>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(107,379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equivalents</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9,441</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(11,658 )</w:t>
            </w:r>
          </w:p>
        </w:tc>
      </w:tr>
      <w:tr>
        <w:trPr>
          <w:trHeight w:val="175"/>
        </w:trPr>
        <w:tc>
          <w:tcPr>
            <w:tcW w:w="7660" w:type="dxa"/>
            <w:vAlign w:val="bottom"/>
            <w:shd w:val="clear" w:color="auto" w:fill="CCEC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shd w:val="clear" w:color="auto" w:fill="CCECFF"/>
          </w:tcPr>
          <w:p>
            <w:pPr>
              <w:spacing w:after="0"/>
              <w:rPr>
                <w:sz w:val="15"/>
                <w:szCs w:val="15"/>
                <w:color w:val="auto"/>
              </w:rPr>
            </w:pPr>
          </w:p>
        </w:tc>
        <w:tc>
          <w:tcPr>
            <w:tcW w:w="86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(251 )</w:t>
            </w:r>
          </w:p>
        </w:tc>
        <w:tc>
          <w:tcPr>
            <w:tcW w:w="102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CFF"/>
          </w:tcPr>
          <w:p>
            <w:pPr>
              <w:spacing w:after="0"/>
              <w:rPr>
                <w:sz w:val="15"/>
                <w:szCs w:val="15"/>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w:t>
            </w:r>
          </w:p>
        </w:tc>
        <w:tc>
          <w:tcPr>
            <w:tcW w:w="2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25,806</w:t>
            </w:r>
          </w:p>
        </w:tc>
        <w:tc>
          <w:tcPr>
            <w:tcW w:w="100" w:type="dxa"/>
            <w:vAlign w:val="bottom"/>
          </w:tcPr>
          <w:p>
            <w:pPr>
              <w:spacing w:after="0"/>
              <w:rPr>
                <w:sz w:val="15"/>
                <w:szCs w:val="15"/>
                <w:color w:val="auto"/>
              </w:rPr>
            </w:pPr>
          </w:p>
        </w:tc>
      </w:tr>
      <w:tr>
        <w:trPr>
          <w:trHeight w:val="209"/>
        </w:trPr>
        <w:tc>
          <w:tcPr>
            <w:tcW w:w="766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29,547</w:t>
            </w:r>
          </w:p>
        </w:tc>
        <w:tc>
          <w:tcPr>
            <w:tcW w:w="28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14,212</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6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766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color w:val="auto"/>
              </w:rPr>
              <w:t>Interest paid</w:t>
            </w:r>
          </w:p>
        </w:tc>
        <w:tc>
          <w:tcPr>
            <w:tcW w:w="100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20,170</w:t>
            </w:r>
          </w:p>
        </w:tc>
        <w:tc>
          <w:tcPr>
            <w:tcW w:w="280" w:type="dxa"/>
            <w:vAlign w:val="bottom"/>
            <w:tcBorders>
              <w:bottom w:val="single" w:sz="8" w:color="CCECFF"/>
            </w:tcBorders>
            <w:shd w:val="clear" w:color="auto" w:fill="CCECFF"/>
          </w:tcPr>
          <w:p>
            <w:pPr>
              <w:spacing w:after="0"/>
              <w:rPr>
                <w:sz w:val="18"/>
                <w:szCs w:val="18"/>
                <w:color w:val="auto"/>
              </w:rPr>
            </w:pPr>
          </w:p>
        </w:tc>
        <w:tc>
          <w:tcPr>
            <w:tcW w:w="1020" w:type="dxa"/>
            <w:vAlign w:val="bottom"/>
            <w:tcBorders>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13,081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156"/>
        </w:trPr>
        <w:tc>
          <w:tcPr>
            <w:tcW w:w="7660" w:type="dxa"/>
            <w:vAlign w:val="bottom"/>
          </w:tcPr>
          <w:p>
            <w:pPr>
              <w:ind w:left="200"/>
              <w:spacing w:after="0" w:line="155" w:lineRule="exact"/>
              <w:rPr>
                <w:sz w:val="20"/>
                <w:szCs w:val="20"/>
                <w:color w:val="auto"/>
              </w:rPr>
            </w:pPr>
            <w:r>
              <w:rPr>
                <w:rFonts w:ascii="Arial" w:cs="Arial" w:eastAsia="Arial" w:hAnsi="Arial"/>
                <w:sz w:val="14"/>
                <w:szCs w:val="14"/>
                <w:color w:val="auto"/>
              </w:rPr>
              <w:t>Taxes paid</w:t>
            </w: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5,255</w:t>
            </w:r>
          </w:p>
        </w:tc>
        <w:tc>
          <w:tcPr>
            <w:tcW w:w="280" w:type="dxa"/>
            <w:vAlign w:val="bottom"/>
          </w:tcPr>
          <w:p>
            <w:pPr>
              <w:spacing w:after="0"/>
              <w:rPr>
                <w:sz w:val="13"/>
                <w:szCs w:val="13"/>
                <w:color w:val="auto"/>
              </w:rPr>
            </w:pPr>
          </w:p>
        </w:tc>
        <w:tc>
          <w:tcPr>
            <w:tcW w:w="102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658</w:t>
            </w:r>
          </w:p>
        </w:tc>
        <w:tc>
          <w:tcPr>
            <w:tcW w:w="100" w:type="dxa"/>
            <w:vAlign w:val="bottom"/>
          </w:tcPr>
          <w:p>
            <w:pPr>
              <w:spacing w:after="0"/>
              <w:rPr>
                <w:sz w:val="13"/>
                <w:szCs w:val="13"/>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color w:val="auto"/>
              </w:rPr>
              <w:t>Non-cash exchanges and conversions</w:t>
            </w:r>
          </w:p>
        </w:tc>
        <w:tc>
          <w:tcPr>
            <w:tcW w:w="100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(59,651</w:t>
            </w:r>
          </w:p>
        </w:tc>
        <w:tc>
          <w:tcPr>
            <w:tcW w:w="280" w:type="dxa"/>
            <w:vAlign w:val="bottom"/>
            <w:tcBorders>
              <w:bottom w:val="single" w:sz="8" w:color="CCECFF"/>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1020" w:type="dxa"/>
            <w:vAlign w:val="bottom"/>
            <w:tcBorders>
              <w:top w:val="single" w:sz="8" w:color="auto"/>
              <w:bottom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16,516</w:t>
            </w:r>
          </w:p>
        </w:tc>
        <w:tc>
          <w:tcPr>
            <w:tcW w:w="100" w:type="dxa"/>
            <w:vAlign w:val="bottom"/>
            <w:tcBorders>
              <w:bottom w:val="single" w:sz="8" w:color="CCECFF"/>
            </w:tcBorders>
            <w:shd w:val="clear" w:color="auto" w:fill="CCEC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-2139315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-1007745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-1007745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-548005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-530860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-299720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-281940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Current</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2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2"/>
                <w:szCs w:val="12"/>
                <w:color w:val="auto"/>
              </w:rPr>
            </w:pPr>
          </w:p>
        </w:tc>
        <w:tc>
          <w:tcPr>
            <w:tcW w:w="2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0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20" w:type="dxa"/>
            <w:vAlign w:val="bottom"/>
          </w:tcPr>
          <w:p>
            <w:pPr>
              <w:spacing w:after="0"/>
              <w:rPr>
                <w:sz w:val="12"/>
                <w:szCs w:val="12"/>
                <w:color w:val="auto"/>
              </w:rPr>
            </w:pPr>
          </w:p>
        </w:tc>
        <w:tc>
          <w:tcPr>
            <w:tcW w:w="72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60" w:type="dxa"/>
            <w:vAlign w:val="bottom"/>
            <w:tcBorders>
              <w:top w:val="single" w:sz="8" w:color="auto"/>
            </w:tcBorders>
            <w:shd w:val="clear" w:color="auto" w:fill="CCECFF"/>
          </w:tcPr>
          <w:p>
            <w:pPr>
              <w:ind w:left="20"/>
              <w:spacing w:after="0" w:line="88" w:lineRule="exact"/>
              <w:rPr>
                <w:sz w:val="20"/>
                <w:szCs w:val="20"/>
                <w:color w:val="auto"/>
              </w:rPr>
            </w:pPr>
            <w:r>
              <w:rPr>
                <w:rFonts w:ascii="Arial" w:cs="Arial" w:eastAsia="Arial" w:hAnsi="Arial"/>
                <w:sz w:val="10"/>
                <w:szCs w:val="10"/>
                <w:b w:val="1"/>
                <w:bCs w:val="1"/>
                <w:color w:val="auto"/>
              </w:rPr>
              <w:t>Investments in Non-Controlled, Non-Affiliated Portfolio</w:t>
            </w:r>
          </w:p>
        </w:tc>
        <w:tc>
          <w:tcPr>
            <w:tcW w:w="140" w:type="dxa"/>
            <w:vAlign w:val="bottom"/>
            <w:shd w:val="clear" w:color="auto" w:fill="CCECFF"/>
          </w:tcPr>
          <w:p>
            <w:pPr>
              <w:spacing w:after="0"/>
              <w:rPr>
                <w:sz w:val="7"/>
                <w:szCs w:val="7"/>
                <w:color w:val="auto"/>
              </w:rPr>
            </w:pPr>
          </w:p>
        </w:tc>
        <w:tc>
          <w:tcPr>
            <w:tcW w:w="62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238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70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06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720" w:type="dxa"/>
            <w:vAlign w:val="bottom"/>
            <w:tcBorders>
              <w:top w:val="single" w:sz="8" w:color="auto"/>
            </w:tcBorders>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8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0" w:type="dxa"/>
            <w:vAlign w:val="bottom"/>
            <w:tcBorders>
              <w:top w:val="single" w:sz="8" w:color="auto"/>
            </w:tcBorders>
            <w:shd w:val="clear" w:color="auto" w:fill="CCECFF"/>
          </w:tcPr>
          <w:p>
            <w:pPr>
              <w:spacing w:after="0"/>
              <w:rPr>
                <w:sz w:val="7"/>
                <w:szCs w:val="7"/>
                <w:color w:val="auto"/>
              </w:rPr>
            </w:pPr>
          </w:p>
        </w:tc>
        <w:tc>
          <w:tcPr>
            <w:tcW w:w="680" w:type="dxa"/>
            <w:vAlign w:val="bottom"/>
            <w:tcBorders>
              <w:top w:val="single" w:sz="8" w:color="auto"/>
            </w:tcBorders>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ind w:left="20"/>
              <w:spacing w:after="0" w:line="149" w:lineRule="exact"/>
              <w:rPr>
                <w:sz w:val="20"/>
                <w:szCs w:val="20"/>
                <w:color w:val="auto"/>
              </w:rPr>
            </w:pPr>
            <w:r>
              <w:rPr>
                <w:rFonts w:ascii="Arial" w:cs="Arial" w:eastAsia="Arial" w:hAnsi="Arial"/>
                <w:sz w:val="11"/>
                <w:szCs w:val="11"/>
                <w:b w:val="1"/>
                <w:bCs w:val="1"/>
                <w:color w:val="auto"/>
              </w:rPr>
              <w:t xml:space="preserve">Companies—152.2% </w:t>
            </w:r>
            <w:r>
              <w:rPr>
                <w:rFonts w:ascii="Arial" w:cs="Arial" w:eastAsia="Arial" w:hAnsi="Arial"/>
                <w:sz w:val="14"/>
                <w:szCs w:val="14"/>
                <w:b w:val="1"/>
                <w:bCs w:val="1"/>
                <w:color w:val="auto"/>
                <w:vertAlign w:val="superscript"/>
              </w:rPr>
              <w:t>(1), (2)</w:t>
            </w: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3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b w:val="1"/>
                <w:bCs w:val="1"/>
                <w:color w:val="auto"/>
              </w:rPr>
              <w:t>First Lien Secured Debt—106.9%</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05/06/2026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444</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07/24/2025</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10.25 %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L+800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50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07/24/2025</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138</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12/21/2023</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4"/>
              </w:rPr>
              <w:t>Building Materials</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6.50 %</w:t>
            </w:r>
          </w:p>
        </w:tc>
        <w:tc>
          <w:tcPr>
            <w:tcW w:w="10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5,842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Any Hour Services</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07/21/2027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7.51 %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3,151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3,121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3,120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Any Hour Services Term Loan II</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01/14/2024</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979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07/21/2027</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1,147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07/31/2025</w:t>
            </w:r>
          </w:p>
        </w:tc>
        <w:tc>
          <w:tcPr>
            <w:tcW w:w="14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6.50 %</w:t>
            </w:r>
          </w:p>
        </w:tc>
        <w:tc>
          <w:tcPr>
            <w:tcW w:w="1060" w:type="dxa"/>
            <w:vAlign w:val="bottom"/>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1,331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07/31/2025</w:t>
            </w:r>
          </w:p>
        </w:tc>
        <w:tc>
          <w:tcPr>
            <w:tcW w:w="14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6.62 %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1,893</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1,872</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07/31/2025</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6.62 %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249</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249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247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07/31/2025</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12/29/2026</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8"/>
              </w:rPr>
              <w:t>Environmental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7.42 %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2,520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2,493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2,489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08/23/2022</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Environmental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1,955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Applied Technical Services,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12/29/2026</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8"/>
              </w:rPr>
              <w:t>Environmental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9.50 %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P+475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400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400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12/29/2026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Environmental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Arcfield Acquisition Corp.</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03/07/2028</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7.44 %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SOFR+575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11,970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11,741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11,671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Arcfield Acquisition Corp.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03/07/2028</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2,263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Berwick Industrial Park</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04/28/2023</w:t>
            </w:r>
          </w:p>
        </w:tc>
        <w:tc>
          <w:tcPr>
            <w:tcW w:w="14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Buildings and Real Estate</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11.00 %</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3,933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3,924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Beta Plus Technologies, Inc.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07/01/2029</w:t>
            </w:r>
          </w:p>
        </w:tc>
        <w:tc>
          <w:tcPr>
            <w:tcW w:w="14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6.85 %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20,000</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19,600</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Blackhawk Industrial Distribution, Inc.</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09/17/2024</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98"/>
              </w:rPr>
              <w:t>Distribution</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6.59 %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1,143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1,126</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1,132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Blackhawk Industrial Distribution, Inc.</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09/17/2024</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8"/>
              </w:rPr>
              <w:t>Distribution</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4,075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Blackhawk Industrial Distribution, Inc.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09/17/2024</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98"/>
              </w:rPr>
              <w:t>Distribution</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7.20 %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343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343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340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Blackhawk Industrial Distribution,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09/17/2024</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8"/>
              </w:rPr>
              <w:t>Distribution</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3,089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Broder Bros., Co.</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12/02/2022</w:t>
            </w:r>
          </w:p>
        </w:tc>
        <w:tc>
          <w:tcPr>
            <w:tcW w:w="140" w:type="dxa"/>
            <w:vAlign w:val="bottom"/>
          </w:tcPr>
          <w:p>
            <w:pPr>
              <w:spacing w:after="0"/>
              <w:rPr>
                <w:sz w:val="12"/>
                <w:szCs w:val="12"/>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7.39 %</w:t>
            </w:r>
          </w:p>
        </w:tc>
        <w:tc>
          <w:tcPr>
            <w:tcW w:w="1060" w:type="dxa"/>
            <w:vAlign w:val="bottom"/>
          </w:tcPr>
          <w:p>
            <w:pPr>
              <w:jc w:val="right"/>
              <w:spacing w:after="0"/>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20,160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20,161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20,160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Cartessa Aesthetics,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05/13/2028</w:t>
            </w:r>
          </w:p>
        </w:tc>
        <w:tc>
          <w:tcPr>
            <w:tcW w:w="140" w:type="dxa"/>
            <w:vAlign w:val="bottom"/>
            <w:shd w:val="clear" w:color="auto" w:fill="CCECFF"/>
          </w:tcPr>
          <w:p>
            <w:pPr>
              <w:spacing w:after="0"/>
              <w:rPr>
                <w:sz w:val="12"/>
                <w:szCs w:val="12"/>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8"/>
              </w:rPr>
              <w:t>Distribution</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8.05 %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57,000</w:t>
            </w:r>
          </w:p>
        </w:tc>
        <w:tc>
          <w:tcPr>
            <w:tcW w:w="2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55,865</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Cartessa Aesthetics, LLC -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05/13/2028</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98"/>
              </w:rPr>
              <w:t>Distribution</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8.05 %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1,265</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1,265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1,265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Cartessa Aesthetics, LLC -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05/13/2028</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8"/>
              </w:rPr>
              <w:t>Distribution</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2,297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CF512, Inc.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08/20/2026</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Media</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7.36 %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6,743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6,648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6,642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CF512, Inc.(Revolver)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08/20/2026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909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Compex Legal Services, Inc.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02/09/2026</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6.78 %</w:t>
            </w:r>
          </w:p>
        </w:tc>
        <w:tc>
          <w:tcPr>
            <w:tcW w:w="106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846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Compex Legal Services, Inc.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02/07/2025</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7.50 %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393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393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392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02/07/2025</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262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01/13/2023</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3,158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(24 )</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07/13/2027</w:t>
            </w:r>
          </w:p>
        </w:tc>
        <w:tc>
          <w:tcPr>
            <w:tcW w:w="1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1,859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Crane 1 Services, Inc.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08/16/2027</w:t>
            </w:r>
          </w:p>
        </w:tc>
        <w:tc>
          <w:tcPr>
            <w:tcW w:w="14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7.12 %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2,608</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Crane 1 Services, Inc.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08/16/2027</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86"/>
              </w:rPr>
              <w:t>Personal, Food and Miscellaneous Services</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7.98 %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58</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58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08/16/2027</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Personal, Food and Miscellaneous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08/05/2025</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6.00 %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19,972</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19,607</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19,872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08/05/2025</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DermaRite Industries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06/30/2023</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9.25 %</w:t>
            </w:r>
          </w:p>
        </w:tc>
        <w:tc>
          <w:tcPr>
            <w:tcW w:w="1060" w:type="dxa"/>
            <w:vAlign w:val="bottom"/>
          </w:tcPr>
          <w:p>
            <w:pPr>
              <w:jc w:val="right"/>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8,553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8,519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7,124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Dr. Squatch,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08/31/2027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and Non-Durable Consumer Products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7.89 %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9,452</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9,290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9,452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08/27/2026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7"/>
              </w:rPr>
              <w:t>Personal and Non-Durable Consumer Products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5,500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Dr. Squatch,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08/31/2027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and Non-Durable Consumer Products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7.50 %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465</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465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08/31/2027</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7"/>
              </w:rPr>
              <w:t>Personal and Non-Durable Consumer Products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1,861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w:t>
            </w:r>
          </w:p>
        </w:tc>
        <w:tc>
          <w:tcPr>
            <w:tcW w:w="760" w:type="dxa"/>
            <w:vAlign w:val="bottom"/>
            <w:gridSpan w:val="2"/>
          </w:tcPr>
          <w:p>
            <w:pPr>
              <w:ind w:left="220"/>
              <w:spacing w:after="0"/>
              <w:rPr>
                <w:sz w:val="20"/>
                <w:szCs w:val="20"/>
                <w:color w:val="auto"/>
              </w:rPr>
            </w:pPr>
            <w:r>
              <w:rPr>
                <w:rFonts w:ascii="Arial" w:cs="Arial" w:eastAsia="Arial" w:hAnsi="Arial"/>
                <w:sz w:val="11"/>
                <w:szCs w:val="11"/>
                <w:color w:val="auto"/>
                <w:w w:val="94"/>
              </w:rPr>
              <w:t>11/03/2025</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1,783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(52 )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05/01/2028</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Hotels, Motels, Inns and Gaming</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9.75 %</w:t>
            </w:r>
          </w:p>
        </w:tc>
        <w:tc>
          <w:tcPr>
            <w:tcW w:w="1060" w:type="dxa"/>
            <w:vAlign w:val="bottom"/>
          </w:tcPr>
          <w:p>
            <w:pPr>
              <w:jc w:val="right"/>
              <w:spacing w:after="0"/>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19,205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19,062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18,713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ECM Industries,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12/23/2025</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92"/>
              </w:rPr>
              <w:t>Electronics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6.13 %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388</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388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380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12/23/2025</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Exigo Intermediate II,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03/15/2027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7.42 %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24,913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24,555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24,539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Exigo Intermediate II,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03/15/2024</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7,424</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Exigo Intermediate II,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03/15/2027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7.42 %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371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371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366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Exigo Intermediate II,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03/15/2027</w:t>
            </w:r>
          </w:p>
        </w:tc>
        <w:tc>
          <w:tcPr>
            <w:tcW w:w="1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1,485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Morse Defense</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06/17/2028</w:t>
            </w:r>
          </w:p>
        </w:tc>
        <w:tc>
          <w:tcPr>
            <w:tcW w:w="14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7.63 %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Gantech Acquisition Corp.</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05/14/2026</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7.92 %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16,895</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16,618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16,557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05/14/2026</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1,991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08/10/2023</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8"/>
              </w:rPr>
              <w:t>Distribution</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893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Graffiti Buyer, Inc.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08/10/2027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98"/>
              </w:rPr>
              <w:t>Distribution</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7.43 %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269</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269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08/10/2027</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98"/>
              </w:rPr>
              <w:t>Distribution</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12/31/2022</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Hancock Roofing and Construction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12/31/2026</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6.12 %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1M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280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280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12/31/2026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470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Holdco Sands Intermediate, LLC</w:t>
            </w:r>
          </w:p>
        </w:tc>
        <w:tc>
          <w:tcPr>
            <w:tcW w:w="760" w:type="dxa"/>
            <w:vAlign w:val="bottom"/>
            <w:gridSpan w:val="2"/>
          </w:tcPr>
          <w:p>
            <w:pPr>
              <w:ind w:left="220"/>
              <w:spacing w:after="0" w:line="115" w:lineRule="exact"/>
              <w:rPr>
                <w:sz w:val="20"/>
                <w:szCs w:val="20"/>
                <w:color w:val="auto"/>
              </w:rPr>
            </w:pPr>
            <w:r>
              <w:rPr>
                <w:rFonts w:ascii="Arial" w:cs="Arial" w:eastAsia="Arial" w:hAnsi="Arial"/>
                <w:sz w:val="11"/>
                <w:szCs w:val="11"/>
                <w:color w:val="auto"/>
                <w:w w:val="94"/>
              </w:rPr>
              <w:t>11/23/2028</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8.25 %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7,910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7,761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7,752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Holdco Sands Intermediate, LLC (Revolver) </w:t>
            </w:r>
            <w:r>
              <w:rPr>
                <w:rFonts w:ascii="Arial" w:cs="Arial" w:eastAsia="Arial" w:hAnsi="Arial"/>
                <w:sz w:val="14"/>
                <w:szCs w:val="14"/>
                <w:color w:val="auto"/>
                <w:vertAlign w:val="superscript"/>
              </w:rPr>
              <w:t>(7)</w:t>
            </w:r>
          </w:p>
        </w:tc>
        <w:tc>
          <w:tcPr>
            <w:tcW w:w="760" w:type="dxa"/>
            <w:vAlign w:val="bottom"/>
            <w:gridSpan w:val="2"/>
          </w:tcPr>
          <w:p>
            <w:pPr>
              <w:ind w:left="220"/>
              <w:spacing w:after="0"/>
              <w:rPr>
                <w:sz w:val="20"/>
                <w:szCs w:val="20"/>
                <w:color w:val="auto"/>
              </w:rPr>
            </w:pPr>
            <w:r>
              <w:rPr>
                <w:rFonts w:ascii="Arial" w:cs="Arial" w:eastAsia="Arial" w:hAnsi="Arial"/>
                <w:sz w:val="11"/>
                <w:szCs w:val="11"/>
                <w:color w:val="auto"/>
                <w:w w:val="94"/>
              </w:rPr>
              <w:t>11/23/2027</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3,941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(79 )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HV Watterson Holdings,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12/17/2026</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8.25 %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15,293</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15,065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15,064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HV Watterson Holdings,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12/17/2026</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2,500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HV Watterson Holdings, LLC - (Revolver)</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12/17/2026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1,250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HW Holdco,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Media</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6.16 %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10,246</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10,123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10,041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HW Holdco,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3,049</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HW Holdco,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Media</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6.67 %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1M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271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271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266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12/10/2024</w:t>
            </w:r>
          </w:p>
        </w:tc>
        <w:tc>
          <w:tcPr>
            <w:tcW w:w="1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(62 )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Icon Partners III, LP</w:t>
            </w:r>
          </w:p>
        </w:tc>
        <w:tc>
          <w:tcPr>
            <w:tcW w:w="76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w w:val="94"/>
              </w:rPr>
              <w:t>05/11/2028</w:t>
            </w:r>
          </w:p>
        </w:tc>
        <w:tc>
          <w:tcPr>
            <w:tcW w:w="14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Auto Sector</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5.50 %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IDC Infusion Services, Inc.</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12/30/2026</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Education and Childcare</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7.83 %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7,469</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7,355</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7,394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IDC Infusion Services,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12/30/2026</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4,167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IG Investments Holdings,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09/22/2027</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9.20 %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P+500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131</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131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09/22/2027</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346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Imagine Acquisitionco, LLC </w:t>
            </w:r>
            <w:r>
              <w:rPr>
                <w:rFonts w:ascii="Arial" w:cs="Arial" w:eastAsia="Arial" w:hAnsi="Arial"/>
                <w:sz w:val="14"/>
                <w:szCs w:val="14"/>
                <w:color w:val="auto"/>
                <w:vertAlign w:val="superscript"/>
              </w:rPr>
              <w:t>(7)</w:t>
            </w:r>
          </w:p>
        </w:tc>
        <w:tc>
          <w:tcPr>
            <w:tcW w:w="760" w:type="dxa"/>
            <w:vAlign w:val="bottom"/>
            <w:gridSpan w:val="2"/>
          </w:tcPr>
          <w:p>
            <w:pPr>
              <w:ind w:left="220"/>
              <w:spacing w:after="0"/>
              <w:rPr>
                <w:sz w:val="20"/>
                <w:szCs w:val="20"/>
                <w:color w:val="auto"/>
              </w:rPr>
            </w:pPr>
            <w:r>
              <w:rPr>
                <w:rFonts w:ascii="Arial" w:cs="Arial" w:eastAsia="Arial" w:hAnsi="Arial"/>
                <w:sz w:val="11"/>
                <w:szCs w:val="11"/>
                <w:color w:val="auto"/>
                <w:w w:val="94"/>
              </w:rPr>
              <w:t>11/15/2027</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2,341</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Imagine Acquisitionco, LLC (Revolver) </w:t>
            </w:r>
            <w:r>
              <w:rPr>
                <w:rFonts w:ascii="Arial" w:cs="Arial" w:eastAsia="Arial" w:hAnsi="Arial"/>
                <w:sz w:val="14"/>
                <w:szCs w:val="14"/>
                <w:color w:val="auto"/>
                <w:vertAlign w:val="superscript"/>
              </w:rPr>
              <w:t>(7)</w:t>
            </w:r>
          </w:p>
        </w:tc>
        <w:tc>
          <w:tcPr>
            <w:tcW w:w="760" w:type="dxa"/>
            <w:vAlign w:val="bottom"/>
            <w:gridSpan w:val="2"/>
          </w:tcPr>
          <w:p>
            <w:pPr>
              <w:ind w:left="220"/>
              <w:spacing w:after="0"/>
              <w:rPr>
                <w:sz w:val="20"/>
                <w:szCs w:val="20"/>
                <w:color w:val="auto"/>
              </w:rPr>
            </w:pPr>
            <w:r>
              <w:rPr>
                <w:rFonts w:ascii="Arial" w:cs="Arial" w:eastAsia="Arial" w:hAnsi="Arial"/>
                <w:sz w:val="11"/>
                <w:szCs w:val="11"/>
                <w:color w:val="auto"/>
                <w:w w:val="94"/>
              </w:rPr>
              <w:t>11/15/2027</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1,685</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(51 )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Inception Fertility Ventures,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12/07/2023</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9.08 %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23,148</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22,770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22,570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Infolinks Media Buyco, LLC </w:t>
            </w:r>
            <w:r>
              <w:rPr>
                <w:rFonts w:ascii="Arial" w:cs="Arial" w:eastAsia="Arial" w:hAnsi="Arial"/>
                <w:sz w:val="14"/>
                <w:szCs w:val="14"/>
                <w:color w:val="auto"/>
                <w:vertAlign w:val="superscript"/>
              </w:rPr>
              <w:t>(7)</w:t>
            </w:r>
          </w:p>
        </w:tc>
        <w:tc>
          <w:tcPr>
            <w:tcW w:w="760" w:type="dxa"/>
            <w:vAlign w:val="bottom"/>
            <w:gridSpan w:val="2"/>
          </w:tcPr>
          <w:p>
            <w:pPr>
              <w:ind w:left="220"/>
              <w:spacing w:after="0"/>
              <w:rPr>
                <w:sz w:val="20"/>
                <w:szCs w:val="20"/>
                <w:color w:val="auto"/>
              </w:rPr>
            </w:pPr>
            <w:r>
              <w:rPr>
                <w:rFonts w:ascii="Arial" w:cs="Arial" w:eastAsia="Arial" w:hAnsi="Arial"/>
                <w:sz w:val="11"/>
                <w:szCs w:val="11"/>
                <w:color w:val="auto"/>
                <w:w w:val="94"/>
              </w:rPr>
              <w:t>11/01/2023</w:t>
            </w:r>
          </w:p>
        </w:tc>
        <w:tc>
          <w:tcPr>
            <w:tcW w:w="140" w:type="dxa"/>
            <w:vAlign w:val="bottom"/>
          </w:tcPr>
          <w:p>
            <w:pPr>
              <w:spacing w:after="0"/>
              <w:rPr>
                <w:sz w:val="13"/>
                <w:szCs w:val="13"/>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2,372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Integrity Marketing Acquisition,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08/27/2025</w:t>
            </w:r>
          </w:p>
        </w:tc>
        <w:tc>
          <w:tcPr>
            <w:tcW w:w="140" w:type="dxa"/>
            <w:vAlign w:val="bottom"/>
          </w:tcPr>
          <w:p>
            <w:pPr>
              <w:spacing w:after="0"/>
              <w:rPr>
                <w:sz w:val="11"/>
                <w:szCs w:val="11"/>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060" w:type="dxa"/>
            <w:vAlign w:val="bottom"/>
            <w:gridSpan w:val="3"/>
          </w:tcPr>
          <w:p>
            <w:pPr>
              <w:jc w:val="right"/>
              <w:ind w:right="120"/>
              <w:spacing w:after="0"/>
              <w:rPr>
                <w:sz w:val="20"/>
                <w:szCs w:val="20"/>
                <w:color w:val="auto"/>
              </w:rPr>
            </w:pPr>
            <w:r>
              <w:rPr>
                <w:rFonts w:ascii="Arial" w:cs="Arial" w:eastAsia="Arial" w:hAnsi="Arial"/>
                <w:sz w:val="11"/>
                <w:szCs w:val="11"/>
                <w:color w:val="auto"/>
              </w:rPr>
              <w:t>6.78 %</w:t>
            </w:r>
          </w:p>
        </w:tc>
        <w:tc>
          <w:tcPr>
            <w:tcW w:w="1060" w:type="dxa"/>
            <w:vAlign w:val="bottom"/>
          </w:tcPr>
          <w:p>
            <w:pPr>
              <w:jc w:val="right"/>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12,482</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12,405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12,362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ITI Holdings, Inc.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03/03/2028</w:t>
            </w:r>
          </w:p>
        </w:tc>
        <w:tc>
          <w:tcPr>
            <w:tcW w:w="140" w:type="dxa"/>
            <w:vAlign w:val="bottom"/>
          </w:tcPr>
          <w:p>
            <w:pPr>
              <w:spacing w:after="0"/>
              <w:rPr>
                <w:sz w:val="9"/>
                <w:szCs w:val="9"/>
                <w:color w:val="auto"/>
              </w:rPr>
            </w:pPr>
          </w:p>
        </w:tc>
        <w:tc>
          <w:tcPr>
            <w:tcW w:w="23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7.08 %</w:t>
            </w:r>
          </w:p>
        </w:tc>
        <w:tc>
          <w:tcPr>
            <w:tcW w:w="106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8,950</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8,800</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8,771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ITI Holdings,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03/03/2028</w:t>
            </w:r>
          </w:p>
        </w:tc>
        <w:tc>
          <w:tcPr>
            <w:tcW w:w="1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1,490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12/20/2023</w:t>
            </w:r>
          </w:p>
        </w:tc>
        <w:tc>
          <w:tcPr>
            <w:tcW w:w="140" w:type="dxa"/>
            <w:vAlign w:val="bottom"/>
            <w:shd w:val="clear" w:color="auto" w:fill="CCECFF"/>
          </w:tcPr>
          <w:p>
            <w:pPr>
              <w:spacing w:after="0"/>
              <w:rPr>
                <w:sz w:val="11"/>
                <w:szCs w:val="11"/>
                <w:color w:val="auto"/>
              </w:rPr>
            </w:pPr>
          </w:p>
        </w:tc>
        <w:tc>
          <w:tcPr>
            <w:tcW w:w="23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060" w:type="dxa"/>
            <w:vAlign w:val="bottom"/>
            <w:gridSpan w:val="3"/>
            <w:shd w:val="clear" w:color="auto" w:fill="CCECFF"/>
          </w:tcPr>
          <w:p>
            <w:pPr>
              <w:jc w:val="right"/>
              <w:ind w:right="120"/>
              <w:spacing w:after="0"/>
              <w:rPr>
                <w:sz w:val="20"/>
                <w:szCs w:val="20"/>
                <w:color w:val="auto"/>
              </w:rPr>
            </w:pPr>
            <w:r>
              <w:rPr>
                <w:rFonts w:ascii="Arial" w:cs="Arial" w:eastAsia="Arial" w:hAnsi="Arial"/>
                <w:sz w:val="11"/>
                <w:szCs w:val="11"/>
                <w:color w:val="auto"/>
              </w:rPr>
              <w:t>9.67 %</w:t>
            </w:r>
          </w:p>
        </w:tc>
        <w:tc>
          <w:tcPr>
            <w:tcW w:w="10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11,709</w:t>
            </w:r>
          </w:p>
        </w:tc>
        <w:tc>
          <w:tcPr>
            <w:tcW w:w="2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11,603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K2 Pure Solutions NoCal, L.P.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12/20/2023</w:t>
            </w:r>
          </w:p>
        </w:tc>
        <w:tc>
          <w:tcPr>
            <w:tcW w:w="140" w:type="dxa"/>
            <w:vAlign w:val="bottom"/>
          </w:tcPr>
          <w:p>
            <w:pPr>
              <w:spacing w:after="0"/>
              <w:rPr>
                <w:sz w:val="9"/>
                <w:szCs w:val="9"/>
                <w:color w:val="auto"/>
              </w:rPr>
            </w:pPr>
          </w:p>
        </w:tc>
        <w:tc>
          <w:tcPr>
            <w:tcW w:w="2380" w:type="dxa"/>
            <w:vAlign w:val="bottom"/>
          </w:tcPr>
          <w:p>
            <w:pPr>
              <w:jc w:val="center"/>
              <w:spacing w:after="0" w:line="105" w:lineRule="exact"/>
              <w:rPr>
                <w:sz w:val="20"/>
                <w:szCs w:val="20"/>
                <w:color w:val="auto"/>
              </w:rPr>
            </w:pPr>
            <w:r>
              <w:rPr>
                <w:rFonts w:ascii="Arial" w:cs="Arial" w:eastAsia="Arial" w:hAnsi="Arial"/>
                <w:sz w:val="11"/>
                <w:szCs w:val="11"/>
                <w:color w:val="auto"/>
                <w:w w:val="88"/>
              </w:rPr>
              <w:t>Chemicals, Plastics and Rubber</w:t>
            </w:r>
          </w:p>
        </w:tc>
        <w:tc>
          <w:tcPr>
            <w:tcW w:w="1060" w:type="dxa"/>
            <w:vAlign w:val="bottom"/>
            <w:gridSpan w:val="3"/>
          </w:tcPr>
          <w:p>
            <w:pPr>
              <w:jc w:val="right"/>
              <w:ind w:right="120"/>
              <w:spacing w:after="0" w:line="105" w:lineRule="exact"/>
              <w:rPr>
                <w:sz w:val="20"/>
                <w:szCs w:val="20"/>
                <w:color w:val="auto"/>
              </w:rPr>
            </w:pPr>
            <w:r>
              <w:rPr>
                <w:rFonts w:ascii="Arial" w:cs="Arial" w:eastAsia="Arial" w:hAnsi="Arial"/>
                <w:sz w:val="11"/>
                <w:szCs w:val="11"/>
                <w:color w:val="auto"/>
              </w:rPr>
              <w:t>9.67 %</w:t>
            </w:r>
          </w:p>
        </w:tc>
        <w:tc>
          <w:tcPr>
            <w:tcW w:w="1060" w:type="dxa"/>
            <w:vAlign w:val="bottom"/>
          </w:tcPr>
          <w:p>
            <w:pPr>
              <w:jc w:val="right"/>
              <w:spacing w:after="0" w:line="105" w:lineRule="exact"/>
              <w:rPr>
                <w:sz w:val="20"/>
                <w:szCs w:val="20"/>
                <w:color w:val="auto"/>
              </w:rPr>
            </w:pPr>
            <w:r>
              <w:rPr>
                <w:rFonts w:ascii="Arial" w:cs="Arial" w:eastAsia="Arial" w:hAnsi="Arial"/>
                <w:sz w:val="11"/>
                <w:szCs w:val="11"/>
                <w:color w:val="auto"/>
              </w:rPr>
              <w:t>1M L+800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969</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969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960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12/20/2023</w:t>
            </w:r>
          </w:p>
        </w:tc>
        <w:tc>
          <w:tcPr>
            <w:tcW w:w="14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969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-7285990</wp:posOffset>
            </wp:positionV>
            <wp:extent cx="713232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-7114540</wp:posOffset>
            </wp:positionV>
            <wp:extent cx="7132320" cy="857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-6943090</wp:posOffset>
            </wp:positionV>
            <wp:extent cx="7132320" cy="857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-6771640</wp:posOffset>
            </wp:positionV>
            <wp:extent cx="713232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-6428740</wp:posOffset>
            </wp:positionV>
            <wp:extent cx="7132320" cy="857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-6257290</wp:posOffset>
            </wp:positionV>
            <wp:extent cx="713232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-6085840</wp:posOffset>
            </wp:positionV>
            <wp:extent cx="7132320" cy="857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-5914390</wp:posOffset>
            </wp:positionV>
            <wp:extent cx="713232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-5571490</wp:posOffset>
            </wp:positionV>
            <wp:extent cx="7132320" cy="85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-5057140</wp:posOffset>
            </wp:positionV>
            <wp:extent cx="713232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-4885690</wp:posOffset>
            </wp:positionV>
            <wp:extent cx="7132320" cy="857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-3856990</wp:posOffset>
            </wp:positionV>
            <wp:extent cx="7132320" cy="857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57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-2656840</wp:posOffset>
            </wp:positionV>
            <wp:extent cx="7132320"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13232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857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-1799590</wp:posOffset>
            </wp:positionV>
            <wp:extent cx="7132320" cy="857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(Unaudited)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8"/>
                <w:szCs w:val="8"/>
                <w:color w:val="auto"/>
              </w:rPr>
            </w:pPr>
          </w:p>
        </w:tc>
        <w:tc>
          <w:tcPr>
            <w:tcW w:w="1160" w:type="dxa"/>
            <w:vAlign w:val="bottom"/>
          </w:tcPr>
          <w:p>
            <w:pPr>
              <w:jc w:val="center"/>
              <w:ind w:right="66"/>
              <w:spacing w:after="0" w:line="102" w:lineRule="exact"/>
              <w:rPr>
                <w:sz w:val="20"/>
                <w:szCs w:val="20"/>
                <w:color w:val="auto"/>
              </w:rPr>
            </w:pPr>
            <w:r>
              <w:rPr>
                <w:rFonts w:ascii="Arial" w:cs="Arial" w:eastAsia="Arial" w:hAnsi="Arial"/>
                <w:sz w:val="11"/>
                <w:szCs w:val="11"/>
                <w:b w:val="1"/>
                <w:bCs w:val="1"/>
                <w:color w:val="auto"/>
                <w:w w:val="86"/>
              </w:rPr>
              <w:t>Basis Point</w:t>
            </w:r>
          </w:p>
        </w:tc>
        <w:tc>
          <w:tcPr>
            <w:tcW w:w="120" w:type="dxa"/>
            <w:vAlign w:val="bottom"/>
          </w:tcPr>
          <w:p>
            <w:pPr>
              <w:spacing w:after="0"/>
              <w:rPr>
                <w:sz w:val="8"/>
                <w:szCs w:val="8"/>
                <w:color w:val="auto"/>
              </w:rPr>
            </w:pPr>
          </w:p>
        </w:tc>
        <w:tc>
          <w:tcPr>
            <w:tcW w:w="820" w:type="dxa"/>
            <w:vAlign w:val="bottom"/>
            <w:vMerge w:val="restart"/>
          </w:tcPr>
          <w:p>
            <w:pPr>
              <w:jc w:val="right"/>
              <w:ind w:right="306"/>
              <w:spacing w:after="0"/>
              <w:rPr>
                <w:sz w:val="20"/>
                <w:szCs w:val="20"/>
                <w:color w:val="auto"/>
              </w:rPr>
            </w:pPr>
            <w:r>
              <w:rPr>
                <w:rFonts w:ascii="Arial" w:cs="Arial" w:eastAsia="Arial" w:hAnsi="Arial"/>
                <w:sz w:val="11"/>
                <w:szCs w:val="11"/>
                <w:b w:val="1"/>
                <w:bCs w:val="1"/>
                <w:color w:val="auto"/>
              </w:rPr>
              <w:t>Par /</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jc w:val="center"/>
              <w:ind w:right="26"/>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Cost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(3)</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2"/>
                <w:szCs w:val="12"/>
                <w:color w:val="auto"/>
              </w:rPr>
            </w:pPr>
          </w:p>
        </w:tc>
        <w:tc>
          <w:tcPr>
            <w:tcW w:w="23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2"/>
                <w:szCs w:val="12"/>
                <w:color w:val="auto"/>
              </w:rPr>
            </w:pPr>
          </w:p>
        </w:tc>
        <w:tc>
          <w:tcPr>
            <w:tcW w:w="1160" w:type="dxa"/>
            <w:vAlign w:val="bottom"/>
            <w:tcBorders>
              <w:bottom w:val="single" w:sz="8" w:color="auto"/>
            </w:tcBorders>
          </w:tcPr>
          <w:p>
            <w:pPr>
              <w:jc w:val="center"/>
              <w:ind w:right="46"/>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60" w:type="dxa"/>
            <w:vAlign w:val="bottom"/>
          </w:tcPr>
          <w:p>
            <w:pPr>
              <w:ind w:left="20"/>
              <w:spacing w:after="0" w:line="99" w:lineRule="exact"/>
              <w:rPr>
                <w:sz w:val="20"/>
                <w:szCs w:val="20"/>
                <w:color w:val="auto"/>
              </w:rPr>
            </w:pPr>
            <w:r>
              <w:rPr>
                <w:rFonts w:ascii="Arial" w:cs="Arial" w:eastAsia="Arial" w:hAnsi="Arial"/>
                <w:sz w:val="11"/>
                <w:szCs w:val="11"/>
                <w:color w:val="auto"/>
              </w:rPr>
              <w:t>Kinetic Purchaser, LLC</w:t>
            </w:r>
          </w:p>
        </w:tc>
        <w:tc>
          <w:tcPr>
            <w:tcW w:w="140" w:type="dxa"/>
            <w:vAlign w:val="bottom"/>
          </w:tcPr>
          <w:p>
            <w:pPr>
              <w:spacing w:after="0"/>
              <w:rPr>
                <w:sz w:val="8"/>
                <w:szCs w:val="8"/>
                <w:color w:val="auto"/>
              </w:rPr>
            </w:pPr>
          </w:p>
        </w:tc>
        <w:tc>
          <w:tcPr>
            <w:tcW w:w="620" w:type="dxa"/>
            <w:vAlign w:val="bottom"/>
          </w:tcPr>
          <w:p>
            <w:pPr>
              <w:ind w:left="60"/>
              <w:spacing w:after="0" w:line="99" w:lineRule="exact"/>
              <w:rPr>
                <w:sz w:val="20"/>
                <w:szCs w:val="20"/>
                <w:color w:val="auto"/>
              </w:rPr>
            </w:pPr>
            <w:r>
              <w:rPr>
                <w:rFonts w:ascii="Arial" w:cs="Arial" w:eastAsia="Arial" w:hAnsi="Arial"/>
                <w:sz w:val="11"/>
                <w:szCs w:val="11"/>
                <w:color w:val="auto"/>
                <w:w w:val="98"/>
              </w:rPr>
              <w:t>11/10/2027</w:t>
            </w:r>
          </w:p>
        </w:tc>
        <w:tc>
          <w:tcPr>
            <w:tcW w:w="120" w:type="dxa"/>
            <w:vAlign w:val="bottom"/>
          </w:tcPr>
          <w:p>
            <w:pPr>
              <w:spacing w:after="0"/>
              <w:rPr>
                <w:sz w:val="8"/>
                <w:szCs w:val="8"/>
                <w:color w:val="auto"/>
              </w:rPr>
            </w:pPr>
          </w:p>
        </w:tc>
        <w:tc>
          <w:tcPr>
            <w:tcW w:w="2360" w:type="dxa"/>
            <w:vAlign w:val="bottom"/>
          </w:tcPr>
          <w:p>
            <w:pPr>
              <w:jc w:val="center"/>
              <w:spacing w:after="0" w:line="99" w:lineRule="exact"/>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Arial" w:cs="Arial" w:eastAsia="Arial" w:hAnsi="Arial"/>
                <w:sz w:val="11"/>
                <w:szCs w:val="11"/>
                <w:color w:val="auto"/>
              </w:rPr>
              <w:t>7.75 %</w:t>
            </w:r>
          </w:p>
        </w:tc>
        <w:tc>
          <w:tcPr>
            <w:tcW w:w="120" w:type="dxa"/>
            <w:vAlign w:val="bottom"/>
          </w:tcPr>
          <w:p>
            <w:pPr>
              <w:spacing w:after="0"/>
              <w:rPr>
                <w:sz w:val="8"/>
                <w:szCs w:val="8"/>
                <w:color w:val="auto"/>
              </w:rPr>
            </w:pPr>
          </w:p>
        </w:tc>
        <w:tc>
          <w:tcPr>
            <w:tcW w:w="1160" w:type="dxa"/>
            <w:vAlign w:val="bottom"/>
          </w:tcPr>
          <w:p>
            <w:pPr>
              <w:jc w:val="right"/>
              <w:ind w:right="86"/>
              <w:spacing w:after="0" w:line="99" w:lineRule="exact"/>
              <w:rPr>
                <w:sz w:val="20"/>
                <w:szCs w:val="20"/>
                <w:color w:val="auto"/>
              </w:rPr>
            </w:pPr>
            <w:r>
              <w:rPr>
                <w:rFonts w:ascii="Arial" w:cs="Arial" w:eastAsia="Arial" w:hAnsi="Arial"/>
                <w:sz w:val="11"/>
                <w:szCs w:val="11"/>
                <w:color w:val="auto"/>
              </w:rPr>
              <w:t>3M L+600</w:t>
            </w:r>
          </w:p>
        </w:tc>
        <w:tc>
          <w:tcPr>
            <w:tcW w:w="120" w:type="dxa"/>
            <w:vAlign w:val="bottom"/>
          </w:tcPr>
          <w:p>
            <w:pPr>
              <w:spacing w:after="0"/>
              <w:rPr>
                <w:sz w:val="8"/>
                <w:szCs w:val="8"/>
                <w:color w:val="auto"/>
              </w:rPr>
            </w:pPr>
          </w:p>
        </w:tc>
        <w:tc>
          <w:tcPr>
            <w:tcW w:w="820" w:type="dxa"/>
            <w:vAlign w:val="bottom"/>
          </w:tcPr>
          <w:p>
            <w:pPr>
              <w:jc w:val="right"/>
              <w:ind w:right="66"/>
              <w:spacing w:after="0" w:line="99" w:lineRule="exact"/>
              <w:rPr>
                <w:sz w:val="20"/>
                <w:szCs w:val="20"/>
                <w:color w:val="auto"/>
              </w:rPr>
            </w:pPr>
            <w:r>
              <w:rPr>
                <w:rFonts w:ascii="Arial" w:cs="Arial" w:eastAsia="Arial" w:hAnsi="Arial"/>
                <w:sz w:val="11"/>
                <w:szCs w:val="11"/>
                <w:color w:val="auto"/>
              </w:rPr>
              <w:t>19,402</w:t>
            </w:r>
          </w:p>
        </w:tc>
        <w:tc>
          <w:tcPr>
            <w:tcW w:w="120" w:type="dxa"/>
            <w:vAlign w:val="bottom"/>
          </w:tcPr>
          <w:p>
            <w:pPr>
              <w:spacing w:after="0"/>
              <w:rPr>
                <w:sz w:val="8"/>
                <w:szCs w:val="8"/>
                <w:color w:val="auto"/>
              </w:rPr>
            </w:pPr>
          </w:p>
        </w:tc>
        <w:tc>
          <w:tcPr>
            <w:tcW w:w="180" w:type="dxa"/>
            <w:vAlign w:val="bottom"/>
          </w:tcPr>
          <w:p>
            <w:pPr>
              <w:jc w:val="right"/>
              <w:ind w:right="71"/>
              <w:spacing w:after="0" w:line="99" w:lineRule="exact"/>
              <w:rPr>
                <w:sz w:val="20"/>
                <w:szCs w:val="20"/>
                <w:color w:val="auto"/>
              </w:rPr>
            </w:pPr>
            <w:r>
              <w:rPr>
                <w:rFonts w:ascii="Arial" w:cs="Arial" w:eastAsia="Arial" w:hAnsi="Arial"/>
                <w:sz w:val="10"/>
                <w:szCs w:val="10"/>
                <w:color w:val="auto"/>
                <w:w w:val="71"/>
              </w:rPr>
              <w:t>$</w:t>
            </w:r>
          </w:p>
        </w:tc>
        <w:tc>
          <w:tcPr>
            <w:tcW w:w="700" w:type="dxa"/>
            <w:vAlign w:val="bottom"/>
          </w:tcPr>
          <w:p>
            <w:pPr>
              <w:jc w:val="right"/>
              <w:ind w:right="66"/>
              <w:spacing w:after="0" w:line="99" w:lineRule="exact"/>
              <w:rPr>
                <w:sz w:val="20"/>
                <w:szCs w:val="20"/>
                <w:color w:val="auto"/>
              </w:rPr>
            </w:pPr>
            <w:r>
              <w:rPr>
                <w:rFonts w:ascii="Arial" w:cs="Arial" w:eastAsia="Arial" w:hAnsi="Arial"/>
                <w:sz w:val="11"/>
                <w:szCs w:val="11"/>
                <w:color w:val="auto"/>
              </w:rPr>
              <w:t>19,047</w:t>
            </w:r>
          </w:p>
        </w:tc>
        <w:tc>
          <w:tcPr>
            <w:tcW w:w="120" w:type="dxa"/>
            <w:vAlign w:val="bottom"/>
          </w:tcPr>
          <w:p>
            <w:pPr>
              <w:spacing w:after="0"/>
              <w:rPr>
                <w:sz w:val="8"/>
                <w:szCs w:val="8"/>
                <w:color w:val="auto"/>
              </w:rPr>
            </w:pPr>
          </w:p>
        </w:tc>
        <w:tc>
          <w:tcPr>
            <w:tcW w:w="60" w:type="dxa"/>
            <w:vAlign w:val="bottom"/>
          </w:tcPr>
          <w:p>
            <w:pPr>
              <w:jc w:val="right"/>
              <w:spacing w:after="0" w:line="99" w:lineRule="exact"/>
              <w:rPr>
                <w:sz w:val="20"/>
                <w:szCs w:val="20"/>
                <w:color w:val="auto"/>
              </w:rPr>
            </w:pPr>
            <w:r>
              <w:rPr>
                <w:rFonts w:ascii="Arial" w:cs="Arial" w:eastAsia="Arial" w:hAnsi="Arial"/>
                <w:sz w:val="10"/>
                <w:szCs w:val="10"/>
                <w:color w:val="auto"/>
                <w:w w:val="71"/>
              </w:rPr>
              <w:t>$</w:t>
            </w:r>
          </w:p>
        </w:tc>
        <w:tc>
          <w:tcPr>
            <w:tcW w:w="800" w:type="dxa"/>
            <w:vAlign w:val="bottom"/>
          </w:tcPr>
          <w:p>
            <w:pPr>
              <w:jc w:val="right"/>
              <w:ind w:right="66"/>
              <w:spacing w:after="0" w:line="99" w:lineRule="exact"/>
              <w:rPr>
                <w:sz w:val="20"/>
                <w:szCs w:val="20"/>
                <w:color w:val="auto"/>
              </w:rPr>
            </w:pPr>
            <w:r>
              <w:rPr>
                <w:rFonts w:ascii="Arial" w:cs="Arial" w:eastAsia="Arial" w:hAnsi="Arial"/>
                <w:sz w:val="11"/>
                <w:szCs w:val="11"/>
                <w:color w:val="auto"/>
              </w:rPr>
              <w:t>19,014</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Kinetic Purchaser,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11/10/2026</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4,854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(97 )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02/18/2027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9.25 %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1M L+700</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12,893</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12,636</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12,764</w:t>
            </w: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Lash OpCo, LLC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08/16/2026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9.38 %</w:t>
            </w:r>
          </w:p>
        </w:tc>
        <w:tc>
          <w:tcPr>
            <w:tcW w:w="120" w:type="dxa"/>
            <w:vAlign w:val="bottom"/>
          </w:tcPr>
          <w:p>
            <w:pPr>
              <w:spacing w:after="0"/>
              <w:rPr>
                <w:sz w:val="9"/>
                <w:szCs w:val="9"/>
                <w:color w:val="auto"/>
              </w:rPr>
            </w:pPr>
          </w:p>
        </w:tc>
        <w:tc>
          <w:tcPr>
            <w:tcW w:w="11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ind w:right="66"/>
              <w:spacing w:after="0" w:line="105" w:lineRule="exact"/>
              <w:rPr>
                <w:sz w:val="20"/>
                <w:szCs w:val="20"/>
                <w:color w:val="auto"/>
              </w:rPr>
            </w:pPr>
            <w:r>
              <w:rPr>
                <w:rFonts w:ascii="Arial" w:cs="Arial" w:eastAsia="Arial" w:hAnsi="Arial"/>
                <w:sz w:val="11"/>
                <w:szCs w:val="11"/>
                <w:color w:val="auto"/>
              </w:rPr>
              <w:t>568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568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562</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08/16/2026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1,252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10/31/2024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Leisure, Amusement, Motion Pictures, Entertainment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8.89 %</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1M L+750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2,060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(PIK 5.00%)</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Ledge Lounger, Inc.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11/09/2026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8.50 %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9,200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9,036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9,108</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Ledge Lounger,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11/09/2026</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1,933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02/03/2026</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2,226</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2,209</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2,181</w:t>
            </w: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Lightspeed Buyer Inc.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02/03/2026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Healthcare, Education and Childcare</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7.42 %</w:t>
            </w:r>
          </w:p>
        </w:tc>
        <w:tc>
          <w:tcPr>
            <w:tcW w:w="120" w:type="dxa"/>
            <w:vAlign w:val="bottom"/>
          </w:tcPr>
          <w:p>
            <w:pPr>
              <w:spacing w:after="0"/>
              <w:rPr>
                <w:sz w:val="9"/>
                <w:szCs w:val="9"/>
                <w:color w:val="auto"/>
              </w:rPr>
            </w:pPr>
          </w:p>
        </w:tc>
        <w:tc>
          <w:tcPr>
            <w:tcW w:w="11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ind w:right="66"/>
              <w:spacing w:after="0" w:line="105" w:lineRule="exact"/>
              <w:rPr>
                <w:sz w:val="20"/>
                <w:szCs w:val="20"/>
                <w:color w:val="auto"/>
              </w:rPr>
            </w:pPr>
            <w:r>
              <w:rPr>
                <w:rFonts w:ascii="Arial" w:cs="Arial" w:eastAsia="Arial" w:hAnsi="Arial"/>
                <w:sz w:val="11"/>
                <w:szCs w:val="11"/>
                <w:color w:val="auto"/>
              </w:rPr>
              <w:t>311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311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02/03/2026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LSF9 Atlantis Holdings,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03/31/2029</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2"/>
              </w:rPr>
              <w:t>Retail</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9.30 %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SOFR+725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6,000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5,765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5,448</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Mars Acquisition Holdings Corp. (Revolver)</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05/14/2026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04/16/2027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694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Meadowlark Acquirer,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12/10/2027</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7.75 %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77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Term Loan I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2,920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(44 )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Term Loan II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8,922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(134 )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Meadowlark Acquirer,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12/10/2027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1,685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(42 )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05/23/2024</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1,612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09/28/2027</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705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698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678</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09/28/2027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1,175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09/28/2027</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7.25 %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282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282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09/28/2027</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1,598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(61 )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08/19/2026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1,163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Neptune Flood Incorporated</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10/14/2026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Financial Services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7.10 %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L+525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4,558</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4,528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4,558</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07/09/2026</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333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05/07/2027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Cargo Transport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7.92 %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7,109</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6,983</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6,967</w:t>
            </w: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ORL Acquisition, Inc.</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09/03/2027</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7.50 %</w:t>
            </w:r>
          </w:p>
        </w:tc>
        <w:tc>
          <w:tcPr>
            <w:tcW w:w="120" w:type="dxa"/>
            <w:vAlign w:val="bottom"/>
          </w:tcPr>
          <w:p>
            <w:pPr>
              <w:spacing w:after="0"/>
              <w:rPr>
                <w:sz w:val="9"/>
                <w:szCs w:val="9"/>
                <w:color w:val="auto"/>
              </w:rPr>
            </w:pPr>
          </w:p>
        </w:tc>
        <w:tc>
          <w:tcPr>
            <w:tcW w:w="11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ind w:right="66"/>
              <w:spacing w:after="0" w:line="105" w:lineRule="exact"/>
              <w:rPr>
                <w:sz w:val="20"/>
                <w:szCs w:val="20"/>
                <w:color w:val="auto"/>
              </w:rPr>
            </w:pPr>
            <w:r>
              <w:rPr>
                <w:rFonts w:ascii="Arial" w:cs="Arial" w:eastAsia="Arial" w:hAnsi="Arial"/>
                <w:sz w:val="11"/>
                <w:szCs w:val="11"/>
                <w:color w:val="auto"/>
              </w:rPr>
              <w:t>4,465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4,386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4,465</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09/03/2027</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597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05/18/2026</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9.32 %</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1M L+700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15,430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15,215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15,121</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Ox Two,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05/18/2026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8.00 %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L+700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2,419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2,419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2,371</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PL Acquisitionco,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11/09/2027</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Retail</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3,236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25"/>
        </w:trPr>
        <w:tc>
          <w:tcPr>
            <w:tcW w:w="286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PRA Events, Inc.</w:t>
            </w:r>
          </w:p>
        </w:tc>
        <w:tc>
          <w:tcPr>
            <w:tcW w:w="760" w:type="dxa"/>
            <w:vAlign w:val="bottom"/>
            <w:gridSpan w:val="2"/>
            <w:shd w:val="clear" w:color="auto" w:fill="CCECFF"/>
          </w:tcPr>
          <w:p>
            <w:pPr>
              <w:ind w:left="200"/>
              <w:spacing w:after="0" w:line="125" w:lineRule="exact"/>
              <w:rPr>
                <w:sz w:val="20"/>
                <w:szCs w:val="20"/>
                <w:color w:val="auto"/>
              </w:rPr>
            </w:pPr>
            <w:r>
              <w:rPr>
                <w:rFonts w:ascii="Arial" w:cs="Arial" w:eastAsia="Arial" w:hAnsi="Arial"/>
                <w:sz w:val="11"/>
                <w:szCs w:val="11"/>
                <w:color w:val="auto"/>
                <w:w w:val="98"/>
              </w:rPr>
              <w:t>08/07/2025</w:t>
            </w:r>
          </w:p>
        </w:tc>
        <w:tc>
          <w:tcPr>
            <w:tcW w:w="12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12.75 %</w:t>
            </w:r>
          </w:p>
        </w:tc>
        <w:tc>
          <w:tcPr>
            <w:tcW w:w="120" w:type="dxa"/>
            <w:vAlign w:val="bottom"/>
            <w:shd w:val="clear" w:color="auto" w:fill="CCECFF"/>
          </w:tcPr>
          <w:p>
            <w:pPr>
              <w:spacing w:after="0"/>
              <w:rPr>
                <w:sz w:val="10"/>
                <w:szCs w:val="10"/>
                <w:color w:val="auto"/>
              </w:rPr>
            </w:pPr>
          </w:p>
        </w:tc>
        <w:tc>
          <w:tcPr>
            <w:tcW w:w="1160" w:type="dxa"/>
            <w:vAlign w:val="bottom"/>
            <w:shd w:val="clear" w:color="auto" w:fill="CCECFF"/>
          </w:tcPr>
          <w:p>
            <w:pPr>
              <w:jc w:val="right"/>
              <w:ind w:right="86"/>
              <w:spacing w:after="0" w:line="125" w:lineRule="exact"/>
              <w:rPr>
                <w:sz w:val="20"/>
                <w:szCs w:val="20"/>
                <w:color w:val="auto"/>
              </w:rPr>
            </w:pPr>
            <w:r>
              <w:rPr>
                <w:rFonts w:ascii="Arial" w:cs="Arial" w:eastAsia="Arial" w:hAnsi="Arial"/>
                <w:sz w:val="11"/>
                <w:szCs w:val="11"/>
                <w:color w:val="auto"/>
              </w:rPr>
              <w:t>3M L+1,050</w:t>
            </w:r>
          </w:p>
        </w:tc>
        <w:tc>
          <w:tcPr>
            <w:tcW w:w="940" w:type="dxa"/>
            <w:vAlign w:val="bottom"/>
            <w:gridSpan w:val="2"/>
            <w:shd w:val="clear" w:color="auto" w:fill="CCECFF"/>
          </w:tcPr>
          <w:p>
            <w:pPr>
              <w:jc w:val="right"/>
              <w:ind w:right="66"/>
              <w:spacing w:after="0" w:line="125" w:lineRule="exact"/>
              <w:rPr>
                <w:sz w:val="20"/>
                <w:szCs w:val="20"/>
                <w:color w:val="auto"/>
              </w:rPr>
            </w:pPr>
            <w:r>
              <w:rPr>
                <w:rFonts w:ascii="Arial" w:cs="Arial" w:eastAsia="Arial" w:hAnsi="Arial"/>
                <w:sz w:val="11"/>
                <w:szCs w:val="11"/>
                <w:color w:val="auto"/>
              </w:rPr>
              <w:t>24,967</w:t>
            </w:r>
          </w:p>
        </w:tc>
        <w:tc>
          <w:tcPr>
            <w:tcW w:w="1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00" w:type="dxa"/>
            <w:vAlign w:val="bottom"/>
            <w:shd w:val="clear" w:color="auto" w:fill="CCECFF"/>
          </w:tcPr>
          <w:p>
            <w:pPr>
              <w:jc w:val="right"/>
              <w:ind w:right="66"/>
              <w:spacing w:after="0" w:line="125" w:lineRule="exact"/>
              <w:rPr>
                <w:sz w:val="20"/>
                <w:szCs w:val="20"/>
                <w:color w:val="auto"/>
              </w:rPr>
            </w:pPr>
            <w:r>
              <w:rPr>
                <w:rFonts w:ascii="Arial" w:cs="Arial" w:eastAsia="Arial" w:hAnsi="Arial"/>
                <w:sz w:val="11"/>
                <w:szCs w:val="11"/>
                <w:color w:val="auto"/>
              </w:rPr>
              <w:t>21,747</w:t>
            </w:r>
          </w:p>
        </w:tc>
        <w:tc>
          <w:tcPr>
            <w:tcW w:w="1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shd w:val="clear" w:color="auto" w:fill="CCECFF"/>
          </w:tcPr>
          <w:p>
            <w:pPr>
              <w:jc w:val="right"/>
              <w:ind w:right="66"/>
              <w:spacing w:after="0" w:line="125" w:lineRule="exact"/>
              <w:rPr>
                <w:sz w:val="20"/>
                <w:szCs w:val="20"/>
                <w:color w:val="auto"/>
              </w:rPr>
            </w:pPr>
            <w:r>
              <w:rPr>
                <w:rFonts w:ascii="Arial" w:cs="Arial" w:eastAsia="Arial" w:hAnsi="Arial"/>
                <w:sz w:val="11"/>
                <w:szCs w:val="11"/>
                <w:color w:val="auto"/>
              </w:rPr>
              <w:t>24,718</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(PIK 11.50%)</w:t>
            </w:r>
          </w:p>
        </w:tc>
        <w:tc>
          <w:tcPr>
            <w:tcW w:w="1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PRA Events, Inc. (Revolver)</w:t>
            </w:r>
          </w:p>
        </w:tc>
        <w:tc>
          <w:tcPr>
            <w:tcW w:w="760" w:type="dxa"/>
            <w:vAlign w:val="bottom"/>
            <w:gridSpan w:val="2"/>
          </w:tcPr>
          <w:p>
            <w:pPr>
              <w:ind w:left="200"/>
              <w:spacing w:after="0" w:line="125" w:lineRule="exact"/>
              <w:rPr>
                <w:sz w:val="20"/>
                <w:szCs w:val="20"/>
                <w:color w:val="auto"/>
              </w:rPr>
            </w:pPr>
            <w:r>
              <w:rPr>
                <w:rFonts w:ascii="Arial" w:cs="Arial" w:eastAsia="Arial" w:hAnsi="Arial"/>
                <w:sz w:val="11"/>
                <w:szCs w:val="11"/>
                <w:color w:val="auto"/>
                <w:w w:val="98"/>
              </w:rPr>
              <w:t>08/07/2025</w:t>
            </w:r>
          </w:p>
        </w:tc>
        <w:tc>
          <w:tcPr>
            <w:tcW w:w="12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12.75 %</w:t>
            </w:r>
          </w:p>
        </w:tc>
        <w:tc>
          <w:tcPr>
            <w:tcW w:w="120" w:type="dxa"/>
            <w:vAlign w:val="bottom"/>
          </w:tcPr>
          <w:p>
            <w:pPr>
              <w:spacing w:after="0"/>
              <w:rPr>
                <w:sz w:val="10"/>
                <w:szCs w:val="10"/>
                <w:color w:val="auto"/>
              </w:rPr>
            </w:pPr>
          </w:p>
        </w:tc>
        <w:tc>
          <w:tcPr>
            <w:tcW w:w="1160" w:type="dxa"/>
            <w:vAlign w:val="bottom"/>
          </w:tcPr>
          <w:p>
            <w:pPr>
              <w:jc w:val="right"/>
              <w:ind w:right="86"/>
              <w:spacing w:after="0" w:line="125" w:lineRule="exact"/>
              <w:rPr>
                <w:sz w:val="20"/>
                <w:szCs w:val="20"/>
                <w:color w:val="auto"/>
              </w:rPr>
            </w:pPr>
            <w:r>
              <w:rPr>
                <w:rFonts w:ascii="Arial" w:cs="Arial" w:eastAsia="Arial" w:hAnsi="Arial"/>
                <w:sz w:val="11"/>
                <w:szCs w:val="11"/>
                <w:color w:val="auto"/>
              </w:rPr>
              <w:t>3M L+1,050</w:t>
            </w:r>
          </w:p>
        </w:tc>
        <w:tc>
          <w:tcPr>
            <w:tcW w:w="940" w:type="dxa"/>
            <w:vAlign w:val="bottom"/>
            <w:gridSpan w:val="2"/>
          </w:tcPr>
          <w:p>
            <w:pPr>
              <w:jc w:val="right"/>
              <w:ind w:right="66"/>
              <w:spacing w:after="0" w:line="125" w:lineRule="exact"/>
              <w:rPr>
                <w:sz w:val="20"/>
                <w:szCs w:val="20"/>
                <w:color w:val="auto"/>
              </w:rPr>
            </w:pPr>
            <w:r>
              <w:rPr>
                <w:rFonts w:ascii="Arial" w:cs="Arial" w:eastAsia="Arial" w:hAnsi="Arial"/>
                <w:sz w:val="11"/>
                <w:szCs w:val="11"/>
                <w:color w:val="auto"/>
              </w:rPr>
              <w:t>2,621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2,283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2,595</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(PIK 11.50%)</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Quantic Electronics,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11/19/2026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7.53 %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485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480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475</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Quantic Electronics, LLC Term Loan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11/19/2026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1,609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Quantic Electronics,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11/19/2026</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7.57 %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115</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115</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11/19/2026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Questex,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09/09/2024</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21,654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21,470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20,679</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09/09/2024</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3,590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(162 )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Radius Aerospace, Inc.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03/31/2025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7.62 %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742</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742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03/31/2025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1,485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12/18/2025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1,050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12/18/2025</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525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Reception Purchaser,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02/28/2028</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Transportation</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8.20 %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SOFR+600</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5,985</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5,897</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5,746</w:t>
            </w:r>
          </w:p>
        </w:tc>
        <w:tc>
          <w:tcPr>
            <w:tcW w:w="0" w:type="dxa"/>
            <w:vAlign w:val="bottom"/>
          </w:tcPr>
          <w:p>
            <w:pPr>
              <w:spacing w:after="0"/>
              <w:rPr>
                <w:sz w:val="1"/>
                <w:szCs w:val="1"/>
                <w:color w:val="auto"/>
              </w:rPr>
            </w:pPr>
          </w:p>
        </w:tc>
      </w:tr>
      <w:tr>
        <w:trPr>
          <w:trHeight w:val="105"/>
        </w:trPr>
        <w:tc>
          <w:tcPr>
            <w:tcW w:w="2860" w:type="dxa"/>
            <w:vAlign w:val="bottom"/>
          </w:tcPr>
          <w:p>
            <w:pPr>
              <w:ind w:left="20"/>
              <w:spacing w:after="0" w:line="105" w:lineRule="exact"/>
              <w:rPr>
                <w:sz w:val="20"/>
                <w:szCs w:val="20"/>
                <w:color w:val="auto"/>
              </w:rPr>
            </w:pPr>
            <w:r>
              <w:rPr>
                <w:rFonts w:ascii="Arial" w:cs="Arial" w:eastAsia="Arial" w:hAnsi="Arial"/>
                <w:sz w:val="11"/>
                <w:szCs w:val="11"/>
                <w:color w:val="auto"/>
              </w:rPr>
              <w:t>Recteq, LLC (Revolver)</w:t>
            </w:r>
          </w:p>
        </w:tc>
        <w:tc>
          <w:tcPr>
            <w:tcW w:w="760" w:type="dxa"/>
            <w:vAlign w:val="bottom"/>
            <w:gridSpan w:val="2"/>
          </w:tcPr>
          <w:p>
            <w:pPr>
              <w:ind w:left="200"/>
              <w:spacing w:after="0" w:line="105" w:lineRule="exact"/>
              <w:rPr>
                <w:sz w:val="20"/>
                <w:szCs w:val="20"/>
                <w:color w:val="auto"/>
              </w:rPr>
            </w:pPr>
            <w:r>
              <w:rPr>
                <w:rFonts w:ascii="Arial" w:cs="Arial" w:eastAsia="Arial" w:hAnsi="Arial"/>
                <w:sz w:val="11"/>
                <w:szCs w:val="11"/>
                <w:color w:val="auto"/>
                <w:w w:val="98"/>
              </w:rPr>
              <w:t>01/29/2026</w:t>
            </w:r>
          </w:p>
        </w:tc>
        <w:tc>
          <w:tcPr>
            <w:tcW w:w="12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8"/>
              </w:rPr>
              <w:t>Consumer Products</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8.25 %</w:t>
            </w:r>
          </w:p>
        </w:tc>
        <w:tc>
          <w:tcPr>
            <w:tcW w:w="120" w:type="dxa"/>
            <w:vAlign w:val="bottom"/>
          </w:tcPr>
          <w:p>
            <w:pPr>
              <w:spacing w:after="0"/>
              <w:rPr>
                <w:sz w:val="9"/>
                <w:szCs w:val="9"/>
                <w:color w:val="auto"/>
              </w:rPr>
            </w:pPr>
          </w:p>
        </w:tc>
        <w:tc>
          <w:tcPr>
            <w:tcW w:w="1160" w:type="dxa"/>
            <w:vAlign w:val="bottom"/>
          </w:tcPr>
          <w:p>
            <w:pPr>
              <w:jc w:val="right"/>
              <w:ind w:right="86"/>
              <w:spacing w:after="0" w:line="10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ind w:right="66"/>
              <w:spacing w:after="0" w:line="105" w:lineRule="exact"/>
              <w:rPr>
                <w:sz w:val="20"/>
                <w:szCs w:val="20"/>
                <w:color w:val="auto"/>
              </w:rPr>
            </w:pPr>
            <w:r>
              <w:rPr>
                <w:rFonts w:ascii="Arial" w:cs="Arial" w:eastAsia="Arial" w:hAnsi="Arial"/>
                <w:sz w:val="11"/>
                <w:szCs w:val="11"/>
                <w:color w:val="auto"/>
              </w:rPr>
              <w:t>376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376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05" w:lineRule="exact"/>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01/29/2026</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Consumer Products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751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Research Now Group, Inc. and Dynata,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12/20/2024</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126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126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119</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06/20/2025</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364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Riverside Assessments,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03/10/2025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7.82 %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L+625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12,880</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12,661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12,623</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01/03/2025</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732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Sargent &amp; Greenleaf Inc. (Revolver)</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12/20/2024</w:t>
            </w:r>
          </w:p>
        </w:tc>
        <w:tc>
          <w:tcPr>
            <w:tcW w:w="12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7.00 %</w:t>
            </w:r>
          </w:p>
        </w:tc>
        <w:tc>
          <w:tcPr>
            <w:tcW w:w="120" w:type="dxa"/>
            <w:vAlign w:val="bottom"/>
          </w:tcPr>
          <w:p>
            <w:pPr>
              <w:spacing w:after="0"/>
              <w:rPr>
                <w:sz w:val="12"/>
                <w:szCs w:val="12"/>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598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592</w:t>
            </w:r>
          </w:p>
        </w:tc>
        <w:tc>
          <w:tcPr>
            <w:tcW w:w="0" w:type="dxa"/>
            <w:vAlign w:val="bottom"/>
          </w:tcPr>
          <w:p>
            <w:pPr>
              <w:spacing w:after="0"/>
              <w:rPr>
                <w:sz w:val="1"/>
                <w:szCs w:val="1"/>
                <w:color w:val="auto"/>
              </w:rPr>
            </w:pPr>
          </w:p>
        </w:tc>
      </w:tr>
      <w:tr>
        <w:trPr>
          <w:trHeight w:val="130"/>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07/14/2025</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8.67 %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4,710</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4,652</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4,639</w:t>
            </w:r>
          </w:p>
        </w:tc>
        <w:tc>
          <w:tcPr>
            <w:tcW w:w="0" w:type="dxa"/>
            <w:vAlign w:val="bottom"/>
          </w:tcPr>
          <w:p>
            <w:pPr>
              <w:spacing w:after="0"/>
              <w:rPr>
                <w:sz w:val="1"/>
                <w:szCs w:val="1"/>
                <w:color w:val="auto"/>
              </w:rPr>
            </w:pPr>
          </w:p>
        </w:tc>
      </w:tr>
      <w:tr>
        <w:trPr>
          <w:trHeight w:val="145"/>
        </w:trPr>
        <w:tc>
          <w:tcPr>
            <w:tcW w:w="28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(PIK 1.00%)</w:t>
            </w:r>
          </w:p>
        </w:tc>
        <w:tc>
          <w:tcPr>
            <w:tcW w:w="12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Schlesinger Global, Inc. (Revolver)</w:t>
            </w:r>
          </w:p>
        </w:tc>
        <w:tc>
          <w:tcPr>
            <w:tcW w:w="760" w:type="dxa"/>
            <w:vAlign w:val="bottom"/>
            <w:gridSpan w:val="2"/>
          </w:tcPr>
          <w:p>
            <w:pPr>
              <w:ind w:left="200"/>
              <w:spacing w:after="0" w:line="125" w:lineRule="exact"/>
              <w:rPr>
                <w:sz w:val="20"/>
                <w:szCs w:val="20"/>
                <w:color w:val="auto"/>
              </w:rPr>
            </w:pPr>
            <w:r>
              <w:rPr>
                <w:rFonts w:ascii="Arial" w:cs="Arial" w:eastAsia="Arial" w:hAnsi="Arial"/>
                <w:sz w:val="11"/>
                <w:szCs w:val="11"/>
                <w:color w:val="auto"/>
                <w:w w:val="98"/>
              </w:rPr>
              <w:t>07/14/2025</w:t>
            </w:r>
          </w:p>
        </w:tc>
        <w:tc>
          <w:tcPr>
            <w:tcW w:w="12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7.01 %</w:t>
            </w:r>
          </w:p>
        </w:tc>
        <w:tc>
          <w:tcPr>
            <w:tcW w:w="120" w:type="dxa"/>
            <w:vAlign w:val="bottom"/>
          </w:tcPr>
          <w:p>
            <w:pPr>
              <w:spacing w:after="0"/>
              <w:rPr>
                <w:sz w:val="10"/>
                <w:szCs w:val="10"/>
                <w:color w:val="auto"/>
              </w:rPr>
            </w:pPr>
          </w:p>
        </w:tc>
        <w:tc>
          <w:tcPr>
            <w:tcW w:w="1160" w:type="dxa"/>
            <w:vAlign w:val="bottom"/>
          </w:tcPr>
          <w:p>
            <w:pPr>
              <w:jc w:val="right"/>
              <w:ind w:right="86"/>
              <w:spacing w:after="0" w:line="125" w:lineRule="exact"/>
              <w:rPr>
                <w:sz w:val="20"/>
                <w:szCs w:val="20"/>
                <w:color w:val="auto"/>
              </w:rPr>
            </w:pPr>
            <w:r>
              <w:rPr>
                <w:rFonts w:ascii="Arial" w:cs="Arial" w:eastAsia="Arial" w:hAnsi="Arial"/>
                <w:sz w:val="11"/>
                <w:szCs w:val="11"/>
                <w:color w:val="auto"/>
              </w:rPr>
              <w:t>3M L+600</w:t>
            </w:r>
          </w:p>
        </w:tc>
        <w:tc>
          <w:tcPr>
            <w:tcW w:w="940" w:type="dxa"/>
            <w:vAlign w:val="bottom"/>
            <w:gridSpan w:val="2"/>
          </w:tcPr>
          <w:p>
            <w:pPr>
              <w:jc w:val="right"/>
              <w:ind w:right="66"/>
              <w:spacing w:after="0" w:line="125" w:lineRule="exact"/>
              <w:rPr>
                <w:sz w:val="20"/>
                <w:szCs w:val="20"/>
                <w:color w:val="auto"/>
              </w:rPr>
            </w:pPr>
            <w:r>
              <w:rPr>
                <w:rFonts w:ascii="Arial" w:cs="Arial" w:eastAsia="Arial" w:hAnsi="Arial"/>
                <w:sz w:val="11"/>
                <w:szCs w:val="11"/>
                <w:color w:val="auto"/>
              </w:rPr>
              <w:t>30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30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35"/>
        </w:trPr>
        <w:tc>
          <w:tcPr>
            <w:tcW w:w="2860" w:type="dxa"/>
            <w:vAlign w:val="bottom"/>
            <w:vMerge w:val="restart"/>
          </w:tcPr>
          <w:p>
            <w:pPr>
              <w:ind w:left="20"/>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14"/>
                <w:szCs w:val="14"/>
                <w:color w:val="auto"/>
                <w:vertAlign w:val="superscript"/>
              </w:rPr>
              <w:t>(7)</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(PIK 1.00%)</w:t>
            </w: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vMerge w:val="continue"/>
          </w:tcPr>
          <w:p>
            <w:pPr>
              <w:spacing w:after="0"/>
              <w:rPr>
                <w:sz w:val="11"/>
                <w:szCs w:val="11"/>
                <w:color w:val="auto"/>
              </w:rPr>
            </w:pP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07/14/2025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Seaway Buyer,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06/14/2029</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7.90 %</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19,800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19,504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19,503</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Seaway Buyer,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06/14/2029</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7.90 %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104</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104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Seaway Buyer, LLC (Revolver)</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06/14/2029</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3,022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Shiftkey, LLC</w:t>
            </w:r>
          </w:p>
        </w:tc>
        <w:tc>
          <w:tcPr>
            <w:tcW w:w="760" w:type="dxa"/>
            <w:vAlign w:val="bottom"/>
            <w:gridSpan w:val="2"/>
            <w:shd w:val="clear" w:color="auto" w:fill="CCECFF"/>
          </w:tcPr>
          <w:p>
            <w:pPr>
              <w:ind w:left="200"/>
              <w:spacing w:after="0"/>
              <w:rPr>
                <w:sz w:val="20"/>
                <w:szCs w:val="20"/>
                <w:color w:val="auto"/>
              </w:rPr>
            </w:pPr>
            <w:r>
              <w:rPr>
                <w:rFonts w:ascii="Arial" w:cs="Arial" w:eastAsia="Arial" w:hAnsi="Arial"/>
                <w:sz w:val="11"/>
                <w:szCs w:val="11"/>
                <w:color w:val="auto"/>
                <w:w w:val="98"/>
              </w:rPr>
              <w:t>06/21/2027</w:t>
            </w:r>
          </w:p>
        </w:tc>
        <w:tc>
          <w:tcPr>
            <w:tcW w:w="12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7.96 %</w:t>
            </w:r>
          </w:p>
        </w:tc>
        <w:tc>
          <w:tcPr>
            <w:tcW w:w="120" w:type="dxa"/>
            <w:vAlign w:val="bottom"/>
            <w:shd w:val="clear" w:color="auto" w:fill="CCECFF"/>
          </w:tcPr>
          <w:p>
            <w:pPr>
              <w:spacing w:after="0"/>
              <w:rPr>
                <w:sz w:val="11"/>
                <w:szCs w:val="11"/>
                <w:color w:val="auto"/>
              </w:rPr>
            </w:pPr>
          </w:p>
        </w:tc>
        <w:tc>
          <w:tcPr>
            <w:tcW w:w="1160" w:type="dxa"/>
            <w:vAlign w:val="bottom"/>
            <w:shd w:val="clear" w:color="auto" w:fill="CCECFF"/>
          </w:tcPr>
          <w:p>
            <w:pPr>
              <w:jc w:val="right"/>
              <w:ind w:right="86"/>
              <w:spacing w:after="0"/>
              <w:rPr>
                <w:sz w:val="20"/>
                <w:szCs w:val="20"/>
                <w:color w:val="auto"/>
              </w:rPr>
            </w:pPr>
            <w:r>
              <w:rPr>
                <w:rFonts w:ascii="Arial" w:cs="Arial" w:eastAsia="Arial" w:hAnsi="Arial"/>
                <w:sz w:val="11"/>
                <w:szCs w:val="11"/>
                <w:color w:val="auto"/>
              </w:rPr>
              <w:t>1M L+575</w:t>
            </w:r>
          </w:p>
        </w:tc>
        <w:tc>
          <w:tcPr>
            <w:tcW w:w="940" w:type="dxa"/>
            <w:vAlign w:val="bottom"/>
            <w:gridSpan w:val="2"/>
            <w:shd w:val="clear" w:color="auto" w:fill="CCECFF"/>
          </w:tcPr>
          <w:p>
            <w:pPr>
              <w:jc w:val="right"/>
              <w:ind w:right="66"/>
              <w:spacing w:after="0"/>
              <w:rPr>
                <w:sz w:val="20"/>
                <w:szCs w:val="20"/>
                <w:color w:val="auto"/>
              </w:rPr>
            </w:pPr>
            <w:r>
              <w:rPr>
                <w:rFonts w:ascii="Arial" w:cs="Arial" w:eastAsia="Arial" w:hAnsi="Arial"/>
                <w:sz w:val="11"/>
                <w:szCs w:val="11"/>
                <w:color w:val="auto"/>
              </w:rPr>
              <w:t>18,000</w:t>
            </w:r>
          </w:p>
        </w:tc>
        <w:tc>
          <w:tcPr>
            <w:tcW w:w="1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17,821</w:t>
            </w:r>
          </w:p>
        </w:tc>
        <w:tc>
          <w:tcPr>
            <w:tcW w:w="1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shd w:val="clear" w:color="auto" w:fill="CCECFF"/>
          </w:tcPr>
          <w:p>
            <w:pPr>
              <w:jc w:val="right"/>
              <w:ind w:right="66"/>
              <w:spacing w:after="0"/>
              <w:rPr>
                <w:sz w:val="20"/>
                <w:szCs w:val="20"/>
                <w:color w:val="auto"/>
              </w:rPr>
            </w:pPr>
            <w:r>
              <w:rPr>
                <w:rFonts w:ascii="Arial" w:cs="Arial" w:eastAsia="Arial" w:hAnsi="Arial"/>
                <w:sz w:val="11"/>
                <w:szCs w:val="11"/>
                <w:color w:val="auto"/>
              </w:rPr>
              <w:t>17,820</w:t>
            </w:r>
          </w:p>
        </w:tc>
        <w:tc>
          <w:tcPr>
            <w:tcW w:w="0" w:type="dxa"/>
            <w:vAlign w:val="bottom"/>
          </w:tcPr>
          <w:p>
            <w:pPr>
              <w:spacing w:after="0"/>
              <w:rPr>
                <w:sz w:val="1"/>
                <w:szCs w:val="1"/>
                <w:color w:val="auto"/>
              </w:rPr>
            </w:pPr>
          </w:p>
        </w:tc>
      </w:tr>
      <w:tr>
        <w:trPr>
          <w:trHeight w:val="125"/>
        </w:trPr>
        <w:tc>
          <w:tcPr>
            <w:tcW w:w="2860" w:type="dxa"/>
            <w:vAlign w:val="bottom"/>
          </w:tcPr>
          <w:p>
            <w:pPr>
              <w:ind w:left="20"/>
              <w:spacing w:after="0" w:line="125" w:lineRule="exact"/>
              <w:rPr>
                <w:sz w:val="20"/>
                <w:szCs w:val="20"/>
                <w:color w:val="auto"/>
              </w:rPr>
            </w:pPr>
            <w:r>
              <w:rPr>
                <w:rFonts w:ascii="Arial" w:cs="Arial" w:eastAsia="Arial" w:hAnsi="Arial"/>
                <w:sz w:val="11"/>
                <w:szCs w:val="11"/>
                <w:color w:val="auto"/>
              </w:rPr>
              <w:t>Sigma Defense Systems, LLC</w:t>
            </w:r>
          </w:p>
        </w:tc>
        <w:tc>
          <w:tcPr>
            <w:tcW w:w="760" w:type="dxa"/>
            <w:vAlign w:val="bottom"/>
            <w:gridSpan w:val="2"/>
          </w:tcPr>
          <w:p>
            <w:pPr>
              <w:ind w:left="200"/>
              <w:spacing w:after="0" w:line="125" w:lineRule="exact"/>
              <w:rPr>
                <w:sz w:val="20"/>
                <w:szCs w:val="20"/>
                <w:color w:val="auto"/>
              </w:rPr>
            </w:pPr>
            <w:r>
              <w:rPr>
                <w:rFonts w:ascii="Arial" w:cs="Arial" w:eastAsia="Arial" w:hAnsi="Arial"/>
                <w:sz w:val="11"/>
                <w:szCs w:val="11"/>
                <w:color w:val="auto"/>
                <w:w w:val="98"/>
              </w:rPr>
              <w:t>12/18/2025</w:t>
            </w:r>
          </w:p>
        </w:tc>
        <w:tc>
          <w:tcPr>
            <w:tcW w:w="12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10.75 %</w:t>
            </w:r>
          </w:p>
        </w:tc>
        <w:tc>
          <w:tcPr>
            <w:tcW w:w="120" w:type="dxa"/>
            <w:vAlign w:val="bottom"/>
          </w:tcPr>
          <w:p>
            <w:pPr>
              <w:spacing w:after="0"/>
              <w:rPr>
                <w:sz w:val="10"/>
                <w:szCs w:val="10"/>
                <w:color w:val="auto"/>
              </w:rPr>
            </w:pPr>
          </w:p>
        </w:tc>
        <w:tc>
          <w:tcPr>
            <w:tcW w:w="1160" w:type="dxa"/>
            <w:vAlign w:val="bottom"/>
          </w:tcPr>
          <w:p>
            <w:pPr>
              <w:jc w:val="right"/>
              <w:ind w:right="86"/>
              <w:spacing w:after="0" w:line="125" w:lineRule="exact"/>
              <w:rPr>
                <w:sz w:val="20"/>
                <w:szCs w:val="20"/>
                <w:color w:val="auto"/>
              </w:rPr>
            </w:pPr>
            <w:r>
              <w:rPr>
                <w:rFonts w:ascii="Arial" w:cs="Arial" w:eastAsia="Arial" w:hAnsi="Arial"/>
                <w:sz w:val="11"/>
                <w:szCs w:val="11"/>
                <w:color w:val="auto"/>
              </w:rPr>
              <w:t>1M L+850</w:t>
            </w:r>
          </w:p>
        </w:tc>
        <w:tc>
          <w:tcPr>
            <w:tcW w:w="940" w:type="dxa"/>
            <w:vAlign w:val="bottom"/>
            <w:gridSpan w:val="2"/>
          </w:tcPr>
          <w:p>
            <w:pPr>
              <w:jc w:val="right"/>
              <w:ind w:right="66"/>
              <w:spacing w:after="0" w:line="125" w:lineRule="exact"/>
              <w:rPr>
                <w:sz w:val="20"/>
                <w:szCs w:val="20"/>
                <w:color w:val="auto"/>
              </w:rPr>
            </w:pPr>
            <w:r>
              <w:rPr>
                <w:rFonts w:ascii="Arial" w:cs="Arial" w:eastAsia="Arial" w:hAnsi="Arial"/>
                <w:sz w:val="11"/>
                <w:szCs w:val="11"/>
                <w:color w:val="auto"/>
              </w:rPr>
              <w:t>31,884</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31,160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66"/>
              <w:spacing w:after="0" w:line="125" w:lineRule="exact"/>
              <w:rPr>
                <w:sz w:val="20"/>
                <w:szCs w:val="20"/>
                <w:color w:val="auto"/>
              </w:rPr>
            </w:pPr>
            <w:r>
              <w:rPr>
                <w:rFonts w:ascii="Arial" w:cs="Arial" w:eastAsia="Arial" w:hAnsi="Arial"/>
                <w:sz w:val="11"/>
                <w:szCs w:val="11"/>
                <w:color w:val="auto"/>
              </w:rPr>
              <w:t>31,406</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12/18/2025</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10.75 %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L+850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1,131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1,131</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1,114</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12/18/2025</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1,845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Signature Systems Holding Company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05/03/2024</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8.75 %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L+650</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1,129</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1,129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1,123</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05/03/2024</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8"/>
              </w:rPr>
              <w:t>Chemicals, Plastics and Rubber</w:t>
            </w:r>
          </w:p>
        </w:tc>
        <w:tc>
          <w:tcPr>
            <w:tcW w:w="14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887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01/17/2024</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1,665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(63 )</w:t>
            </w:r>
          </w:p>
        </w:tc>
        <w:tc>
          <w:tcPr>
            <w:tcW w:w="0" w:type="dxa"/>
            <w:vAlign w:val="bottom"/>
          </w:tcPr>
          <w:p>
            <w:pPr>
              <w:spacing w:after="0"/>
              <w:rPr>
                <w:sz w:val="1"/>
                <w:szCs w:val="1"/>
                <w:color w:val="auto"/>
              </w:rPr>
            </w:pPr>
          </w:p>
        </w:tc>
      </w:tr>
      <w:tr>
        <w:trPr>
          <w:trHeight w:val="135"/>
        </w:trPr>
        <w:tc>
          <w:tcPr>
            <w:tcW w:w="2860" w:type="dxa"/>
            <w:vAlign w:val="bottom"/>
          </w:tcPr>
          <w:p>
            <w:pPr>
              <w:ind w:left="20"/>
              <w:spacing w:after="0"/>
              <w:rPr>
                <w:sz w:val="20"/>
                <w:szCs w:val="20"/>
                <w:color w:val="auto"/>
              </w:rPr>
            </w:pPr>
            <w:r>
              <w:rPr>
                <w:rFonts w:ascii="Arial" w:cs="Arial" w:eastAsia="Arial" w:hAnsi="Arial"/>
                <w:sz w:val="11"/>
                <w:szCs w:val="11"/>
                <w:color w:val="auto"/>
              </w:rPr>
              <w:t>Spear Education, LLC</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02/26/2025</w:t>
            </w:r>
          </w:p>
        </w:tc>
        <w:tc>
          <w:tcPr>
            <w:tcW w:w="12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6.75 %</w:t>
            </w:r>
          </w:p>
        </w:tc>
        <w:tc>
          <w:tcPr>
            <w:tcW w:w="120" w:type="dxa"/>
            <w:vAlign w:val="bottom"/>
          </w:tcPr>
          <w:p>
            <w:pPr>
              <w:spacing w:after="0"/>
              <w:rPr>
                <w:sz w:val="11"/>
                <w:szCs w:val="11"/>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12,049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11,970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12,049</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Spendmend Holdings LLC</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03/01/2028</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7.38 %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7,841</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7,728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7,638</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Spendmend Holdings LLC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03/01/2023</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4,671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(86 )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Spendmend Holdings LLC - Funded Revolver</w:t>
            </w:r>
          </w:p>
        </w:tc>
        <w:tc>
          <w:tcPr>
            <w:tcW w:w="760" w:type="dxa"/>
            <w:vAlign w:val="bottom"/>
            <w:gridSpan w:val="2"/>
          </w:tcPr>
          <w:p>
            <w:pPr>
              <w:ind w:left="200"/>
              <w:spacing w:after="0" w:line="115" w:lineRule="exact"/>
              <w:rPr>
                <w:sz w:val="20"/>
                <w:szCs w:val="20"/>
                <w:color w:val="auto"/>
              </w:rPr>
            </w:pPr>
            <w:r>
              <w:rPr>
                <w:rFonts w:ascii="Arial" w:cs="Arial" w:eastAsia="Arial" w:hAnsi="Arial"/>
                <w:sz w:val="11"/>
                <w:szCs w:val="11"/>
                <w:color w:val="auto"/>
                <w:w w:val="98"/>
              </w:rPr>
              <w:t>03/01/2028</w:t>
            </w:r>
          </w:p>
        </w:tc>
        <w:tc>
          <w:tcPr>
            <w:tcW w:w="12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7.38 %</w:t>
            </w:r>
          </w:p>
        </w:tc>
        <w:tc>
          <w:tcPr>
            <w:tcW w:w="120" w:type="dxa"/>
            <w:vAlign w:val="bottom"/>
          </w:tcPr>
          <w:p>
            <w:pPr>
              <w:spacing w:after="0"/>
              <w:rPr>
                <w:sz w:val="9"/>
                <w:szCs w:val="9"/>
                <w:color w:val="auto"/>
              </w:rPr>
            </w:pPr>
          </w:p>
        </w:tc>
        <w:tc>
          <w:tcPr>
            <w:tcW w:w="1160" w:type="dxa"/>
            <w:vAlign w:val="bottom"/>
          </w:tcPr>
          <w:p>
            <w:pPr>
              <w:jc w:val="right"/>
              <w:ind w:right="86"/>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ind w:right="66"/>
              <w:spacing w:after="0" w:line="115" w:lineRule="exact"/>
              <w:rPr>
                <w:sz w:val="20"/>
                <w:szCs w:val="20"/>
                <w:color w:val="auto"/>
              </w:rPr>
            </w:pPr>
            <w:r>
              <w:rPr>
                <w:rFonts w:ascii="Arial" w:cs="Arial" w:eastAsia="Arial" w:hAnsi="Arial"/>
                <w:sz w:val="11"/>
                <w:szCs w:val="11"/>
                <w:color w:val="auto"/>
              </w:rPr>
              <w:t>187</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187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ind w:right="66"/>
              <w:spacing w:after="0" w:line="115" w:lineRule="exact"/>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55"/>
        </w:trPr>
        <w:tc>
          <w:tcPr>
            <w:tcW w:w="286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Spendmend Holdings LLC - Unfunded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03/01/2028</w:t>
            </w:r>
          </w:p>
        </w:tc>
        <w:tc>
          <w:tcPr>
            <w:tcW w:w="12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40" w:type="dxa"/>
            <w:vAlign w:val="bottom"/>
          </w:tcPr>
          <w:p>
            <w:pPr>
              <w:spacing w:after="0"/>
              <w:rPr>
                <w:sz w:val="13"/>
                <w:szCs w:val="13"/>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1,215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08"/>
        </w:trPr>
        <w:tc>
          <w:tcPr>
            <w:tcW w:w="2860" w:type="dxa"/>
            <w:vAlign w:val="bottom"/>
          </w:tcPr>
          <w:p>
            <w:pPr>
              <w:ind w:left="20"/>
              <w:spacing w:after="0" w:line="108" w:lineRule="exact"/>
              <w:rPr>
                <w:sz w:val="20"/>
                <w:szCs w:val="20"/>
                <w:color w:val="auto"/>
              </w:rPr>
            </w:pPr>
            <w:r>
              <w:rPr>
                <w:rFonts w:ascii="Arial" w:cs="Arial" w:eastAsia="Arial" w:hAnsi="Arial"/>
                <w:sz w:val="11"/>
                <w:szCs w:val="11"/>
                <w:color w:val="auto"/>
              </w:rPr>
              <w:t>System Planning and Analysis, Inc. (f/k/a Management</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color w:val="auto"/>
                <w:w w:val="98"/>
              </w:rPr>
              <w:t>08/16/2027</w:t>
            </w:r>
          </w:p>
        </w:tc>
        <w:tc>
          <w:tcPr>
            <w:tcW w:w="12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vMerge w:val="restart"/>
          </w:tcPr>
          <w:p>
            <w:pPr>
              <w:jc w:val="right"/>
              <w:spacing w:after="0"/>
              <w:rPr>
                <w:sz w:val="20"/>
                <w:szCs w:val="20"/>
                <w:color w:val="auto"/>
              </w:rPr>
            </w:pPr>
            <w:r>
              <w:rPr>
                <w:rFonts w:ascii="Arial" w:cs="Arial" w:eastAsia="Arial" w:hAnsi="Arial"/>
                <w:sz w:val="11"/>
                <w:szCs w:val="11"/>
                <w:color w:val="auto"/>
              </w:rPr>
              <w:t>8.83 %</w:t>
            </w:r>
          </w:p>
        </w:tc>
        <w:tc>
          <w:tcPr>
            <w:tcW w:w="120" w:type="dxa"/>
            <w:vAlign w:val="bottom"/>
          </w:tcPr>
          <w:p>
            <w:pPr>
              <w:spacing w:after="0"/>
              <w:rPr>
                <w:sz w:val="9"/>
                <w:szCs w:val="9"/>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1"/>
                <w:szCs w:val="11"/>
                <w:color w:val="auto"/>
              </w:rPr>
              <w:t>SOFR+600</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6,206</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6,094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6,107</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Consulting &amp; Research, LLC)</w:t>
            </w: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860" w:type="dxa"/>
            <w:vAlign w:val="bottom"/>
          </w:tcPr>
          <w:p>
            <w:pPr>
              <w:ind w:left="20"/>
              <w:spacing w:after="0" w:line="129" w:lineRule="exact"/>
              <w:rPr>
                <w:sz w:val="20"/>
                <w:szCs w:val="20"/>
                <w:color w:val="auto"/>
              </w:rPr>
            </w:pPr>
            <w:r>
              <w:rPr>
                <w:rFonts w:ascii="Arial" w:cs="Arial" w:eastAsia="Arial" w:hAnsi="Arial"/>
                <w:sz w:val="11"/>
                <w:szCs w:val="11"/>
                <w:color w:val="auto"/>
              </w:rPr>
              <w:t xml:space="preserve">System Planning and Analysis, Inc. - (Revolver) </w:t>
            </w:r>
            <w:r>
              <w:rPr>
                <w:rFonts w:ascii="Arial" w:cs="Arial" w:eastAsia="Arial" w:hAnsi="Arial"/>
                <w:sz w:val="14"/>
                <w:szCs w:val="14"/>
                <w:color w:val="auto"/>
                <w:vertAlign w:val="superscript"/>
              </w:rPr>
              <w:t>(7)</w:t>
            </w:r>
            <w:r>
              <w:rPr>
                <w:rFonts w:ascii="Arial" w:cs="Arial" w:eastAsia="Arial" w:hAnsi="Arial"/>
                <w:sz w:val="11"/>
                <w:szCs w:val="11"/>
                <w:color w:val="auto"/>
              </w:rPr>
              <w:t xml:space="preserve"> (f/k/a</w:t>
            </w:r>
          </w:p>
        </w:tc>
        <w:tc>
          <w:tcPr>
            <w:tcW w:w="760" w:type="dxa"/>
            <w:vAlign w:val="bottom"/>
            <w:gridSpan w:val="2"/>
            <w:vMerge w:val="restart"/>
          </w:tcPr>
          <w:p>
            <w:pPr>
              <w:ind w:left="200"/>
              <w:spacing w:after="0"/>
              <w:rPr>
                <w:sz w:val="20"/>
                <w:szCs w:val="20"/>
                <w:color w:val="auto"/>
              </w:rPr>
            </w:pPr>
            <w:r>
              <w:rPr>
                <w:rFonts w:ascii="Arial" w:cs="Arial" w:eastAsia="Arial" w:hAnsi="Arial"/>
                <w:sz w:val="11"/>
                <w:szCs w:val="11"/>
                <w:color w:val="auto"/>
                <w:w w:val="98"/>
              </w:rPr>
              <w:t>08/16/2027</w:t>
            </w:r>
          </w:p>
        </w:tc>
        <w:tc>
          <w:tcPr>
            <w:tcW w:w="120" w:type="dxa"/>
            <w:vAlign w:val="bottom"/>
          </w:tcPr>
          <w:p>
            <w:pPr>
              <w:spacing w:after="0"/>
              <w:rPr>
                <w:sz w:val="11"/>
                <w:szCs w:val="11"/>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1"/>
                <w:szCs w:val="11"/>
                <w:color w:val="auto"/>
              </w:rPr>
            </w:pPr>
          </w:p>
        </w:tc>
        <w:tc>
          <w:tcPr>
            <w:tcW w:w="8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vMerge w:val="restart"/>
          </w:tcPr>
          <w:p>
            <w:pPr>
              <w:jc w:val="right"/>
              <w:ind w:right="66"/>
              <w:spacing w:after="0"/>
              <w:rPr>
                <w:sz w:val="20"/>
                <w:szCs w:val="20"/>
                <w:color w:val="auto"/>
              </w:rPr>
            </w:pPr>
            <w:r>
              <w:rPr>
                <w:rFonts w:ascii="Arial" w:cs="Arial" w:eastAsia="Arial" w:hAnsi="Arial"/>
                <w:sz w:val="11"/>
                <w:szCs w:val="11"/>
                <w:color w:val="auto"/>
              </w:rPr>
              <w:t>2,925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ind w:right="6"/>
              <w:spacing w:after="0"/>
              <w:rPr>
                <w:sz w:val="20"/>
                <w:szCs w:val="20"/>
                <w:color w:val="auto"/>
              </w:rPr>
            </w:pPr>
            <w:r>
              <w:rPr>
                <w:rFonts w:ascii="Arial" w:cs="Arial" w:eastAsia="Arial" w:hAnsi="Arial"/>
                <w:sz w:val="11"/>
                <w:szCs w:val="11"/>
                <w:color w:val="auto"/>
              </w:rPr>
              <w:t>(47 )</w:t>
            </w:r>
          </w:p>
        </w:tc>
        <w:tc>
          <w:tcPr>
            <w:tcW w:w="0" w:type="dxa"/>
            <w:vAlign w:val="bottom"/>
          </w:tcPr>
          <w:p>
            <w:pPr>
              <w:spacing w:after="0"/>
              <w:rPr>
                <w:sz w:val="1"/>
                <w:szCs w:val="1"/>
                <w:color w:val="auto"/>
              </w:rPr>
            </w:pPr>
          </w:p>
        </w:tc>
      </w:tr>
      <w:tr>
        <w:trPr>
          <w:trHeight w:val="115"/>
        </w:trPr>
        <w:tc>
          <w:tcPr>
            <w:tcW w:w="2860" w:type="dxa"/>
            <w:vAlign w:val="bottom"/>
          </w:tcPr>
          <w:p>
            <w:pPr>
              <w:ind w:left="20"/>
              <w:spacing w:after="0" w:line="115" w:lineRule="exact"/>
              <w:rPr>
                <w:sz w:val="20"/>
                <w:szCs w:val="20"/>
                <w:color w:val="auto"/>
              </w:rPr>
            </w:pPr>
            <w:r>
              <w:rPr>
                <w:rFonts w:ascii="Arial" w:cs="Arial" w:eastAsia="Arial" w:hAnsi="Arial"/>
                <w:sz w:val="11"/>
                <w:szCs w:val="11"/>
                <w:color w:val="auto"/>
              </w:rPr>
              <w:t>Management Consulting &amp; Research, LLC)</w:t>
            </w: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w:t>
            </w:r>
          </w:p>
        </w:tc>
        <w:tc>
          <w:tcPr>
            <w:tcW w:w="760" w:type="dxa"/>
            <w:vAlign w:val="bottom"/>
            <w:gridSpan w:val="2"/>
          </w:tcPr>
          <w:p>
            <w:pPr>
              <w:ind w:left="200"/>
              <w:spacing w:after="0"/>
              <w:rPr>
                <w:sz w:val="20"/>
                <w:szCs w:val="20"/>
                <w:color w:val="auto"/>
              </w:rPr>
            </w:pPr>
            <w:r>
              <w:rPr>
                <w:rFonts w:ascii="Arial" w:cs="Arial" w:eastAsia="Arial" w:hAnsi="Arial"/>
                <w:sz w:val="11"/>
                <w:szCs w:val="11"/>
                <w:color w:val="auto"/>
                <w:w w:val="98"/>
              </w:rPr>
              <w:t>03/01/2026</w:t>
            </w:r>
          </w:p>
        </w:tc>
        <w:tc>
          <w:tcPr>
            <w:tcW w:w="12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4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1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620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-6823075</wp:posOffset>
            </wp:positionV>
            <wp:extent cx="7132320" cy="857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-6480175</wp:posOffset>
            </wp:positionV>
            <wp:extent cx="713232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-6223000</wp:posOffset>
            </wp:positionV>
            <wp:extent cx="7132320" cy="857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-5880100</wp:posOffset>
            </wp:positionV>
            <wp:extent cx="713232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-5708650</wp:posOffset>
            </wp:positionV>
            <wp:extent cx="713232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-5537200</wp:posOffset>
            </wp:positionV>
            <wp:extent cx="7132320" cy="85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-5365750</wp:posOffset>
            </wp:positionV>
            <wp:extent cx="7132320"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-5194300</wp:posOffset>
            </wp:positionV>
            <wp:extent cx="7132320" cy="857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-5022850</wp:posOffset>
            </wp:positionV>
            <wp:extent cx="713232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-4851400</wp:posOffset>
            </wp:positionV>
            <wp:extent cx="7132320" cy="857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-4679950</wp:posOffset>
            </wp:positionV>
            <wp:extent cx="7132320" cy="857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-4337050</wp:posOffset>
            </wp:positionV>
            <wp:extent cx="7132320" cy="857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-4165600</wp:posOffset>
            </wp:positionV>
            <wp:extent cx="713232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-3651250</wp:posOffset>
            </wp:positionV>
            <wp:extent cx="713232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-3479800</wp:posOffset>
            </wp:positionV>
            <wp:extent cx="713232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7132320"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-3136900</wp:posOffset>
            </wp:positionV>
            <wp:extent cx="713232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3232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-2279650</wp:posOffset>
            </wp:positionV>
            <wp:extent cx="713232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-1593850</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(Unaudited)—(Continued)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 /</w:t>
            </w:r>
          </w:p>
        </w:tc>
        <w:tc>
          <w:tcPr>
            <w:tcW w:w="24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346"/>
              <w:spacing w:after="0"/>
              <w:rPr>
                <w:sz w:val="20"/>
                <w:szCs w:val="20"/>
                <w:color w:val="auto"/>
              </w:rPr>
            </w:pPr>
            <w:r>
              <w:rPr>
                <w:rFonts w:ascii="Arial" w:cs="Arial" w:eastAsia="Arial" w:hAnsi="Arial"/>
                <w:sz w:val="11"/>
                <w:szCs w:val="11"/>
                <w:b w:val="1"/>
                <w:bCs w:val="1"/>
                <w:color w:val="auto"/>
              </w:rPr>
              <w:t>Current</w:t>
            </w:r>
          </w:p>
        </w:tc>
        <w:tc>
          <w:tcPr>
            <w:tcW w:w="10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8"/>
                <w:szCs w:val="8"/>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(3)</w:t>
            </w:r>
          </w:p>
        </w:tc>
        <w:tc>
          <w:tcPr>
            <w:tcW w:w="0" w:type="dxa"/>
            <w:vAlign w:val="bottom"/>
          </w:tcPr>
          <w:p>
            <w:pPr>
              <w:spacing w:after="0"/>
              <w:rPr>
                <w:sz w:val="1"/>
                <w:szCs w:val="1"/>
                <w:color w:val="auto"/>
              </w:rPr>
            </w:pPr>
          </w:p>
        </w:tc>
      </w:tr>
      <w:tr>
        <w:trPr>
          <w:trHeight w:val="148"/>
        </w:trPr>
        <w:tc>
          <w:tcPr>
            <w:tcW w:w="2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24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346"/>
              <w:spacing w:after="0"/>
              <w:rPr>
                <w:sz w:val="20"/>
                <w:szCs w:val="20"/>
                <w:color w:val="auto"/>
              </w:rPr>
            </w:pPr>
            <w:r>
              <w:rPr>
                <w:rFonts w:ascii="Arial" w:cs="Arial" w:eastAsia="Arial" w:hAnsi="Arial"/>
                <w:sz w:val="11"/>
                <w:szCs w:val="11"/>
                <w:b w:val="1"/>
                <w:bCs w:val="1"/>
                <w:color w:val="auto"/>
              </w:rPr>
              <w:t>Coupon</w:t>
            </w:r>
          </w:p>
        </w:tc>
        <w:tc>
          <w:tcPr>
            <w:tcW w:w="10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2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40" w:type="dxa"/>
            <w:vAlign w:val="bottom"/>
            <w:tcBorders>
              <w:top w:val="single" w:sz="8" w:color="auto"/>
            </w:tcBorders>
          </w:tcPr>
          <w:p>
            <w:pPr>
              <w:ind w:left="20"/>
              <w:spacing w:after="0" w:line="99" w:lineRule="exact"/>
              <w:rPr>
                <w:sz w:val="20"/>
                <w:szCs w:val="20"/>
                <w:color w:val="auto"/>
              </w:rPr>
            </w:pPr>
            <w:r>
              <w:rPr>
                <w:rFonts w:ascii="Arial" w:cs="Arial" w:eastAsia="Arial" w:hAnsi="Arial"/>
                <w:sz w:val="11"/>
                <w:szCs w:val="11"/>
                <w:color w:val="auto"/>
              </w:rPr>
              <w:t>The Bluebird Group LLC</w:t>
            </w:r>
          </w:p>
        </w:tc>
        <w:tc>
          <w:tcPr>
            <w:tcW w:w="120" w:type="dxa"/>
            <w:vAlign w:val="bottom"/>
          </w:tcPr>
          <w:p>
            <w:pPr>
              <w:spacing w:after="0"/>
              <w:rPr>
                <w:sz w:val="8"/>
                <w:szCs w:val="8"/>
                <w:color w:val="auto"/>
              </w:rPr>
            </w:pPr>
          </w:p>
        </w:tc>
        <w:tc>
          <w:tcPr>
            <w:tcW w:w="700" w:type="dxa"/>
            <w:vAlign w:val="bottom"/>
            <w:tcBorders>
              <w:top w:val="single" w:sz="8" w:color="auto"/>
            </w:tcBorders>
          </w:tcPr>
          <w:p>
            <w:pPr>
              <w:ind w:left="100"/>
              <w:spacing w:after="0" w:line="99" w:lineRule="exact"/>
              <w:rPr>
                <w:sz w:val="20"/>
                <w:szCs w:val="20"/>
                <w:color w:val="auto"/>
              </w:rPr>
            </w:pPr>
            <w:r>
              <w:rPr>
                <w:rFonts w:ascii="Arial" w:cs="Arial" w:eastAsia="Arial" w:hAnsi="Arial"/>
                <w:sz w:val="11"/>
                <w:szCs w:val="11"/>
                <w:color w:val="auto"/>
              </w:rPr>
              <w:t>07/27/2026</w:t>
            </w:r>
          </w:p>
        </w:tc>
        <w:tc>
          <w:tcPr>
            <w:tcW w:w="240" w:type="dxa"/>
            <w:vAlign w:val="bottom"/>
          </w:tcPr>
          <w:p>
            <w:pPr>
              <w:spacing w:after="0"/>
              <w:rPr>
                <w:sz w:val="8"/>
                <w:szCs w:val="8"/>
                <w:color w:val="auto"/>
              </w:rPr>
            </w:pPr>
          </w:p>
        </w:tc>
        <w:tc>
          <w:tcPr>
            <w:tcW w:w="234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8.75</w:t>
            </w:r>
          </w:p>
        </w:tc>
        <w:tc>
          <w:tcPr>
            <w:tcW w:w="240" w:type="dxa"/>
            <w:vAlign w:val="bottom"/>
          </w:tcPr>
          <w:p>
            <w:pPr>
              <w:jc w:val="right"/>
              <w:ind w:right="86"/>
              <w:spacing w:after="0" w:line="99" w:lineRule="exact"/>
              <w:rPr>
                <w:sz w:val="20"/>
                <w:szCs w:val="20"/>
                <w:color w:val="auto"/>
              </w:rPr>
            </w:pPr>
            <w:r>
              <w:rPr>
                <w:rFonts w:ascii="Arial" w:cs="Arial" w:eastAsia="Arial" w:hAnsi="Arial"/>
                <w:sz w:val="11"/>
                <w:szCs w:val="11"/>
                <w:color w:val="auto"/>
                <w:w w:val="81"/>
              </w:rPr>
              <w:t>%</w:t>
            </w:r>
          </w:p>
        </w:tc>
        <w:tc>
          <w:tcPr>
            <w:tcW w:w="104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3M L+650</w:t>
            </w:r>
          </w:p>
        </w:tc>
        <w:tc>
          <w:tcPr>
            <w:tcW w:w="22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4,909</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51"/>
              <w:spacing w:after="0" w:line="99"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4,816</w:t>
            </w:r>
          </w:p>
        </w:tc>
        <w:tc>
          <w:tcPr>
            <w:tcW w:w="220" w:type="dxa"/>
            <w:vAlign w:val="bottom"/>
          </w:tcPr>
          <w:p>
            <w:pPr>
              <w:spacing w:after="0"/>
              <w:rPr>
                <w:sz w:val="8"/>
                <w:szCs w:val="8"/>
                <w:color w:val="auto"/>
              </w:rPr>
            </w:pPr>
          </w:p>
        </w:tc>
        <w:tc>
          <w:tcPr>
            <w:tcW w:w="200" w:type="dxa"/>
            <w:vAlign w:val="bottom"/>
            <w:tcBorders>
              <w:top w:val="single" w:sz="8" w:color="auto"/>
            </w:tcBorders>
          </w:tcPr>
          <w:p>
            <w:pPr>
              <w:jc w:val="right"/>
              <w:ind w:right="89"/>
              <w:spacing w:after="0" w:line="99"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4,958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07/27/2026</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The Vertex Companies, LLC</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08/30/2027</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7.01 %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1,701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1,684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1,671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08/30/2027</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08/30/2027</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03/26/2026</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7"/>
              </w:rPr>
              <w:t>Transportation</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7.67 %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12,897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12,656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12,639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03/26/2026</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Transportation</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06/16/2025</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5"/>
              </w:rPr>
              <w:t>Education</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8.76 %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1,143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1,143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1,137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06/16/2025</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5"/>
              </w:rPr>
              <w:t>Education</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04/01/2026</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Unique Indoor Comfort, LLC</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05/24/2027</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1"/>
              </w:rPr>
              <w:t>Home and Office Furnishings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7.45 %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23,441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23,094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23,090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Unique Indoor Comfort, LLC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05/24/2027</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Home and Office Furnishings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(150 )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Unique Indoor Comfort, LLC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05/24/2027</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Home and Office Furnishings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(45 )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03/31/2027</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1"/>
              </w:rPr>
              <w:t>Home and Office Furnishings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11.00 %</w:t>
            </w:r>
          </w:p>
        </w:tc>
        <w:tc>
          <w:tcPr>
            <w:tcW w:w="1040" w:type="dxa"/>
            <w:vAlign w:val="bottom"/>
          </w:tcPr>
          <w:p>
            <w:pPr>
              <w:jc w:val="right"/>
              <w:spacing w:after="0"/>
              <w:rPr>
                <w:sz w:val="20"/>
                <w:szCs w:val="20"/>
                <w:color w:val="auto"/>
              </w:rPr>
            </w:pPr>
            <w:r>
              <w:rPr>
                <w:rFonts w:ascii="Arial" w:cs="Arial" w:eastAsia="Arial" w:hAnsi="Arial"/>
                <w:sz w:val="11"/>
                <w:szCs w:val="11"/>
                <w:color w:val="auto"/>
              </w:rPr>
              <w:t>3M L+875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25,238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24,727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24,480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Wildcat Buyerco, Inc.</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02/27/2026</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2"/>
              </w:rPr>
              <w:t>Electronics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7.54 %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2,017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1,994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1,963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Wildcat Buyerco, Inc. Term Loan C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05/11/2023</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Wildcat Buyerco, Inc. (Revolver)</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02/27/2026</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2"/>
              </w:rPr>
              <w:t>Electronics</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6.99 %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02/27/2026</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Zips Car Wash, LLC</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03/01/2024</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8.28 %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3M L+725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15,033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14,903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14,732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Zips Car Wash, LLC Term Loan </w:t>
            </w:r>
            <w:r>
              <w:rPr>
                <w:rFonts w:ascii="Arial" w:cs="Arial" w:eastAsia="Arial" w:hAnsi="Arial"/>
                <w:sz w:val="14"/>
                <w:szCs w:val="14"/>
                <w:color w:val="auto"/>
                <w:vertAlign w:val="superscript"/>
              </w:rPr>
              <w:t>(7)</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03/01/2024</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20" w:type="dxa"/>
            <w:vAlign w:val="bottom"/>
          </w:tcPr>
          <w:p>
            <w:pPr>
              <w:spacing w:after="0"/>
              <w:rPr>
                <w:sz w:val="14"/>
                <w:szCs w:val="14"/>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28"/>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677,462</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675,315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Second Lien Secured Debt—19.5%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Atlas Purchaser, Inc</w:t>
            </w:r>
          </w:p>
        </w:tc>
        <w:tc>
          <w:tcPr>
            <w:tcW w:w="82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05/07/2029</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11.19 %</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16,539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Best Practice Associates LLC</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06/29/2027</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10.04 %</w:t>
            </w:r>
          </w:p>
        </w:tc>
        <w:tc>
          <w:tcPr>
            <w:tcW w:w="1040" w:type="dxa"/>
            <w:vAlign w:val="bottom"/>
          </w:tcPr>
          <w:p>
            <w:pPr>
              <w:jc w:val="right"/>
              <w:spacing w:after="0"/>
              <w:rPr>
                <w:sz w:val="20"/>
                <w:szCs w:val="20"/>
                <w:color w:val="auto"/>
              </w:rPr>
            </w:pPr>
            <w:r>
              <w:rPr>
                <w:rFonts w:ascii="Arial" w:cs="Arial" w:eastAsia="Arial" w:hAnsi="Arial"/>
                <w:sz w:val="11"/>
                <w:szCs w:val="11"/>
                <w:color w:val="auto"/>
              </w:rPr>
              <w:t>3M L+900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17,825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17,493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Data Axle, Inc.</w:t>
            </w:r>
          </w:p>
        </w:tc>
        <w:tc>
          <w:tcPr>
            <w:tcW w:w="82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04/03/2024</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Other Media</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11.50 %</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20,270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ENC Parent Corporation</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08/19/2029</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9.75 %</w:t>
            </w:r>
          </w:p>
        </w:tc>
        <w:tc>
          <w:tcPr>
            <w:tcW w:w="1040" w:type="dxa"/>
            <w:vAlign w:val="bottom"/>
          </w:tcPr>
          <w:p>
            <w:pPr>
              <w:jc w:val="right"/>
              <w:spacing w:after="0"/>
              <w:rPr>
                <w:sz w:val="20"/>
                <w:szCs w:val="20"/>
                <w:color w:val="auto"/>
              </w:rPr>
            </w:pPr>
            <w:r>
              <w:rPr>
                <w:rFonts w:ascii="Arial" w:cs="Arial" w:eastAsia="Arial" w:hAnsi="Arial"/>
                <w:sz w:val="11"/>
                <w:szCs w:val="11"/>
                <w:color w:val="auto"/>
              </w:rPr>
              <w:t>3M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7,430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7,350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Halo Buyer, Inc.</w:t>
            </w:r>
          </w:p>
        </w:tc>
        <w:tc>
          <w:tcPr>
            <w:tcW w:w="82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07/06/2026</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9.92 %</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32,149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30,794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Inventus Power, Inc.</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09/29/2024</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9.73 %</w:t>
            </w:r>
          </w:p>
        </w:tc>
        <w:tc>
          <w:tcPr>
            <w:tcW w:w="1040" w:type="dxa"/>
            <w:vAlign w:val="bottom"/>
          </w:tcPr>
          <w:p>
            <w:pPr>
              <w:jc w:val="right"/>
              <w:spacing w:after="0"/>
              <w:rPr>
                <w:sz w:val="20"/>
                <w:szCs w:val="20"/>
                <w:color w:val="auto"/>
              </w:rPr>
            </w:pPr>
            <w:r>
              <w:rPr>
                <w:rFonts w:ascii="Arial" w:cs="Arial" w:eastAsia="Arial" w:hAnsi="Arial"/>
                <w:sz w:val="11"/>
                <w:szCs w:val="11"/>
                <w:color w:val="auto"/>
              </w:rPr>
              <w:t>3M L+850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16,593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16,363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16,178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82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02/04/2027</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11.12 %</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VT Topco, Inc.</w:t>
            </w:r>
          </w:p>
        </w:tc>
        <w:tc>
          <w:tcPr>
            <w:tcW w:w="820" w:type="dxa"/>
            <w:vAlign w:val="bottom"/>
            <w:gridSpan w:val="2"/>
          </w:tcPr>
          <w:p>
            <w:pPr>
              <w:ind w:left="220"/>
              <w:spacing w:after="0"/>
              <w:rPr>
                <w:sz w:val="20"/>
                <w:szCs w:val="20"/>
                <w:color w:val="auto"/>
              </w:rPr>
            </w:pPr>
            <w:r>
              <w:rPr>
                <w:rFonts w:ascii="Arial" w:cs="Arial" w:eastAsia="Arial" w:hAnsi="Arial"/>
                <w:sz w:val="11"/>
                <w:szCs w:val="11"/>
                <w:color w:val="auto"/>
              </w:rPr>
              <w:t>08/17/2026</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86"/>
              <w:spacing w:after="0"/>
              <w:rPr>
                <w:sz w:val="20"/>
                <w:szCs w:val="20"/>
                <w:color w:val="auto"/>
              </w:rPr>
            </w:pPr>
            <w:r>
              <w:rPr>
                <w:rFonts w:ascii="Arial" w:cs="Arial" w:eastAsia="Arial" w:hAnsi="Arial"/>
                <w:sz w:val="11"/>
                <w:szCs w:val="11"/>
                <w:color w:val="auto"/>
              </w:rPr>
              <w:t>8.59 %</w:t>
            </w:r>
          </w:p>
        </w:tc>
        <w:tc>
          <w:tcPr>
            <w:tcW w:w="1040" w:type="dxa"/>
            <w:vAlign w:val="bottom"/>
          </w:tcPr>
          <w:p>
            <w:pPr>
              <w:jc w:val="right"/>
              <w:spacing w:after="0"/>
              <w:rPr>
                <w:sz w:val="20"/>
                <w:szCs w:val="20"/>
                <w:color w:val="auto"/>
              </w:rPr>
            </w:pPr>
            <w:r>
              <w:rPr>
                <w:rFonts w:ascii="Arial" w:cs="Arial" w:eastAsia="Arial" w:hAnsi="Arial"/>
                <w:sz w:val="11"/>
                <w:szCs w:val="11"/>
                <w:color w:val="auto"/>
              </w:rPr>
              <w:t>3M L+675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14,930</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14,475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125,322</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123,143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Subordinated Debt/Corporate Notes—5.2%</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Flock Financial, LLC</w:t>
            </w:r>
          </w:p>
        </w:tc>
        <w:tc>
          <w:tcPr>
            <w:tcW w:w="820" w:type="dxa"/>
            <w:vAlign w:val="bottom"/>
            <w:tcBorders>
              <w:bottom w:val="single" w:sz="8" w:color="CCECFF"/>
            </w:tcBorders>
            <w:gridSpan w:val="2"/>
            <w:shd w:val="clear" w:color="auto" w:fill="CCECFF"/>
          </w:tcPr>
          <w:p>
            <w:pPr>
              <w:ind w:left="220"/>
              <w:spacing w:after="0"/>
              <w:rPr>
                <w:sz w:val="20"/>
                <w:szCs w:val="20"/>
                <w:color w:val="auto"/>
              </w:rPr>
            </w:pPr>
            <w:r>
              <w:rPr>
                <w:rFonts w:ascii="Arial" w:cs="Arial" w:eastAsia="Arial" w:hAnsi="Arial"/>
                <w:sz w:val="11"/>
                <w:szCs w:val="11"/>
                <w:color w:val="auto"/>
              </w:rPr>
              <w:t>05/26/2027</w:t>
            </w:r>
          </w:p>
        </w:tc>
        <w:tc>
          <w:tcPr>
            <w:tcW w:w="240" w:type="dxa"/>
            <w:vAlign w:val="bottom"/>
            <w:tcBorders>
              <w:bottom w:val="single" w:sz="8" w:color="CCECFF"/>
            </w:tcBorders>
            <w:shd w:val="clear" w:color="auto" w:fill="CCECFF"/>
          </w:tcPr>
          <w:p>
            <w:pPr>
              <w:spacing w:after="0"/>
              <w:rPr>
                <w:sz w:val="11"/>
                <w:szCs w:val="11"/>
                <w:color w:val="auto"/>
              </w:rPr>
            </w:pPr>
          </w:p>
        </w:tc>
        <w:tc>
          <w:tcPr>
            <w:tcW w:w="23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7"/>
              </w:rPr>
              <w:t>Financial Services</w:t>
            </w:r>
          </w:p>
        </w:tc>
        <w:tc>
          <w:tcPr>
            <w:tcW w:w="1060" w:type="dxa"/>
            <w:vAlign w:val="bottom"/>
            <w:tcBorders>
              <w:bottom w:val="single" w:sz="8" w:color="CCECFF"/>
            </w:tcBorders>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12.50 %</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34,000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33,157</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33,150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Subordinated Debt/Corporate Notes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33,157</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33,150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Equity/Partnership Interests—1.1%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4"/>
                <w:szCs w:val="14"/>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AH Newco Equityholdings,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Healthcare, Education and Childcare</w:t>
            </w:r>
          </w:p>
        </w:tc>
        <w:tc>
          <w:tcPr>
            <w:tcW w:w="1060" w:type="dxa"/>
            <w:vAlign w:val="bottom"/>
            <w:gridSpan w:val="3"/>
            <w:shd w:val="clear" w:color="auto" w:fill="CCECFF"/>
          </w:tcPr>
          <w:p>
            <w:pPr>
              <w:jc w:val="right"/>
              <w:ind w:right="86"/>
              <w:spacing w:after="0"/>
              <w:rPr>
                <w:sz w:val="20"/>
                <w:szCs w:val="20"/>
                <w:color w:val="auto"/>
              </w:rPr>
            </w:pPr>
            <w:r>
              <w:rPr>
                <w:rFonts w:ascii="Arial" w:cs="Arial" w:eastAsia="Arial" w:hAnsi="Arial"/>
                <w:sz w:val="11"/>
                <w:szCs w:val="11"/>
                <w:color w:val="auto"/>
              </w:rPr>
              <w:t>6.00 %</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Imagine Topco, LP</w:t>
            </w:r>
          </w:p>
        </w:tc>
        <w:tc>
          <w:tcPr>
            <w:tcW w:w="120" w:type="dxa"/>
            <w:vAlign w:val="bottom"/>
          </w:tcPr>
          <w:p>
            <w:pPr>
              <w:spacing w:after="0"/>
              <w:rPr>
                <w:sz w:val="9"/>
                <w:szCs w:val="9"/>
                <w:color w:val="auto"/>
              </w:rPr>
            </w:pPr>
          </w:p>
        </w:tc>
        <w:tc>
          <w:tcPr>
            <w:tcW w:w="700" w:type="dxa"/>
            <w:vAlign w:val="bottom"/>
          </w:tcPr>
          <w:p>
            <w:pPr>
              <w:ind w:left="58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86"/>
              <w:spacing w:after="0" w:line="105" w:lineRule="exact"/>
              <w:rPr>
                <w:sz w:val="20"/>
                <w:szCs w:val="20"/>
                <w:color w:val="auto"/>
              </w:rPr>
            </w:pPr>
            <w:r>
              <w:rPr>
                <w:rFonts w:ascii="Arial" w:cs="Arial" w:eastAsia="Arial" w:hAnsi="Arial"/>
                <w:sz w:val="11"/>
                <w:szCs w:val="11"/>
                <w:color w:val="auto"/>
              </w:rPr>
              <w:t>8.00 %</w:t>
            </w:r>
          </w:p>
        </w:tc>
        <w:tc>
          <w:tcPr>
            <w:tcW w:w="10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743,826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744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691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Mars Intermediate Holdings II, Inc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4"/>
                <w:szCs w:val="14"/>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1,135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ORL Holdco, Inc.</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06"/>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57</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Signature CR Intermediate Holdco, Inc.</w:t>
            </w:r>
          </w:p>
        </w:tc>
        <w:tc>
          <w:tcPr>
            <w:tcW w:w="120" w:type="dxa"/>
            <w:vAlign w:val="bottom"/>
          </w:tcPr>
          <w:p>
            <w:pPr>
              <w:spacing w:after="0"/>
              <w:rPr>
                <w:sz w:val="9"/>
                <w:szCs w:val="9"/>
                <w:color w:val="auto"/>
              </w:rPr>
            </w:pPr>
          </w:p>
        </w:tc>
        <w:tc>
          <w:tcPr>
            <w:tcW w:w="700" w:type="dxa"/>
            <w:vAlign w:val="bottom"/>
          </w:tcPr>
          <w:p>
            <w:pPr>
              <w:ind w:left="58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Chemicals, Plastics and Rubber</w:t>
            </w:r>
          </w:p>
        </w:tc>
        <w:tc>
          <w:tcPr>
            <w:tcW w:w="1060" w:type="dxa"/>
            <w:vAlign w:val="bottom"/>
            <w:gridSpan w:val="3"/>
          </w:tcPr>
          <w:p>
            <w:pPr>
              <w:jc w:val="right"/>
              <w:ind w:right="86"/>
              <w:spacing w:after="0" w:line="115" w:lineRule="exact"/>
              <w:rPr>
                <w:sz w:val="20"/>
                <w:szCs w:val="20"/>
                <w:color w:val="auto"/>
              </w:rPr>
            </w:pPr>
            <w:r>
              <w:rPr>
                <w:rFonts w:ascii="Arial" w:cs="Arial" w:eastAsia="Arial" w:hAnsi="Arial"/>
                <w:sz w:val="11"/>
                <w:szCs w:val="11"/>
                <w:color w:val="auto"/>
              </w:rPr>
              <w:t>12.00 %</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1,527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1,993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(8),(11)</w:t>
            </w:r>
          </w:p>
        </w:tc>
        <w:tc>
          <w:tcPr>
            <w:tcW w:w="12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20" w:type="dxa"/>
            <w:vAlign w:val="bottom"/>
          </w:tcPr>
          <w:p>
            <w:pPr>
              <w:spacing w:after="0"/>
              <w:rPr>
                <w:sz w:val="14"/>
                <w:szCs w:val="14"/>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4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TWD Parent Holdings, LLC</w:t>
            </w:r>
          </w:p>
        </w:tc>
        <w:tc>
          <w:tcPr>
            <w:tcW w:w="120" w:type="dxa"/>
            <w:vAlign w:val="bottom"/>
            <w:shd w:val="clear" w:color="auto" w:fill="CCECFF"/>
          </w:tcPr>
          <w:p>
            <w:pPr>
              <w:spacing w:after="0"/>
              <w:rPr>
                <w:sz w:val="10"/>
                <w:szCs w:val="10"/>
                <w:color w:val="auto"/>
              </w:rPr>
            </w:pPr>
          </w:p>
        </w:tc>
        <w:tc>
          <w:tcPr>
            <w:tcW w:w="700" w:type="dxa"/>
            <w:vAlign w:val="bottom"/>
            <w:shd w:val="clear" w:color="auto" w:fill="CCECFF"/>
          </w:tcPr>
          <w:p>
            <w:pPr>
              <w:ind w:left="58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0"/>
                <w:szCs w:val="10"/>
                <w:color w:val="auto"/>
              </w:rPr>
            </w:pPr>
          </w:p>
        </w:tc>
        <w:tc>
          <w:tcPr>
            <w:tcW w:w="23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06"/>
              <w:spacing w:after="0" w:line="125" w:lineRule="exact"/>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30</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1"/>
                <w:szCs w:val="11"/>
                <w:color w:val="auto"/>
              </w:rPr>
              <w:t>(The Vertex Companies, LLC)</w:t>
            </w: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3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10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40" w:type="dxa"/>
            <w:vAlign w:val="bottom"/>
          </w:tcPr>
          <w:p>
            <w:pPr>
              <w:ind w:left="20"/>
              <w:spacing w:after="0" w:line="114" w:lineRule="exact"/>
              <w:rPr>
                <w:sz w:val="20"/>
                <w:szCs w:val="20"/>
                <w:color w:val="auto"/>
              </w:rPr>
            </w:pPr>
            <w:r>
              <w:rPr>
                <w:rFonts w:ascii="Arial" w:cs="Arial" w:eastAsia="Arial" w:hAnsi="Arial"/>
                <w:sz w:val="11"/>
                <w:szCs w:val="11"/>
                <w:b w:val="1"/>
                <w:bCs w:val="1"/>
                <w:color w:val="auto"/>
              </w:rPr>
              <w:t>Total Preferred Equity/Partnership Interests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5,026</w:t>
            </w: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6,771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Equity/Partnership Interests/Warrants—19.4% </w:t>
            </w:r>
            <w:r>
              <w:rPr>
                <w:rFonts w:ascii="Arial" w:cs="Arial" w:eastAsia="Arial" w:hAnsi="Arial"/>
                <w:sz w:val="12"/>
                <w:szCs w:val="12"/>
                <w:b w:val="1"/>
                <w:bCs w:val="1"/>
                <w:color w:val="auto"/>
                <w:vertAlign w:val="superscript"/>
              </w:rPr>
              <w:t>(6)</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Affinion Group Holdings, Inc. (Warrants)</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04/10/2024</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Consumer Products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77,190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2,126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(9)</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Altamira Intermediate Company II, Inc.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Athletico Holdings, LLC</w:t>
            </w:r>
          </w:p>
        </w:tc>
        <w:tc>
          <w:tcPr>
            <w:tcW w:w="120" w:type="dxa"/>
            <w:vAlign w:val="bottom"/>
          </w:tcPr>
          <w:p>
            <w:pPr>
              <w:spacing w:after="0"/>
              <w:rPr>
                <w:sz w:val="9"/>
                <w:szCs w:val="9"/>
                <w:color w:val="auto"/>
              </w:rPr>
            </w:pPr>
          </w:p>
        </w:tc>
        <w:tc>
          <w:tcPr>
            <w:tcW w:w="700" w:type="dxa"/>
            <w:vAlign w:val="bottom"/>
          </w:tcPr>
          <w:p>
            <w:pPr>
              <w:ind w:left="58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8"/>
              </w:rPr>
              <w:t>Healthcare, Education and Childcare</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9,357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10,000</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10,023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Atlas Investment Aggregator, LLC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4"/>
                <w:szCs w:val="14"/>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Cartessa Aesthetics,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8"/>
              </w:rPr>
              <w:t>Distribution</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3,562,500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CI (Allied) Investment Holdings, LLC</w:t>
            </w:r>
          </w:p>
        </w:tc>
        <w:tc>
          <w:tcPr>
            <w:tcW w:w="120" w:type="dxa"/>
            <w:vAlign w:val="bottom"/>
          </w:tcPr>
          <w:p>
            <w:pPr>
              <w:spacing w:after="0"/>
              <w:rPr>
                <w:sz w:val="9"/>
                <w:szCs w:val="9"/>
                <w:color w:val="auto"/>
              </w:rPr>
            </w:pPr>
          </w:p>
        </w:tc>
        <w:tc>
          <w:tcPr>
            <w:tcW w:w="700" w:type="dxa"/>
            <w:vAlign w:val="bottom"/>
          </w:tcPr>
          <w:p>
            <w:pPr>
              <w:ind w:left="58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120,962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1,243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882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Parent,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57,416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Cowboy Parent LLC</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98"/>
              </w:rPr>
              <w:t>Distribution</w:t>
            </w:r>
          </w:p>
        </w:tc>
        <w:tc>
          <w:tcPr>
            <w:tcW w:w="120" w:type="dxa"/>
            <w:vAlign w:val="bottom"/>
          </w:tcPr>
          <w:p>
            <w:pPr>
              <w:spacing w:after="0"/>
              <w:rPr>
                <w:sz w:val="10"/>
                <w:szCs w:val="10"/>
                <w:color w:val="auto"/>
              </w:rPr>
            </w:pPr>
          </w:p>
        </w:tc>
        <w:tc>
          <w:tcPr>
            <w:tcW w:w="940" w:type="dxa"/>
            <w:vAlign w:val="bottom"/>
            <w:gridSpan w:val="2"/>
          </w:tcPr>
          <w:p>
            <w:pPr>
              <w:jc w:val="right"/>
              <w:ind w:right="206"/>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26,360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2,782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3,690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100"/>
              <w:spacing w:after="0"/>
              <w:rPr>
                <w:sz w:val="20"/>
                <w:szCs w:val="20"/>
                <w:color w:val="auto"/>
              </w:rPr>
            </w:pPr>
            <w:r>
              <w:rPr>
                <w:rFonts w:ascii="Arial" w:cs="Arial" w:eastAsia="Arial" w:hAnsi="Arial"/>
                <w:sz w:val="11"/>
                <w:szCs w:val="11"/>
                <w:color w:val="auto"/>
              </w:rPr>
              <w:t>(Blackhawk Industrial Distribution, Inc.)</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Crane 1 Acquisition Parent Holdings, L.P.</w:t>
            </w:r>
          </w:p>
        </w:tc>
        <w:tc>
          <w:tcPr>
            <w:tcW w:w="120" w:type="dxa"/>
            <w:vAlign w:val="bottom"/>
          </w:tcPr>
          <w:p>
            <w:pPr>
              <w:spacing w:after="0"/>
              <w:rPr>
                <w:sz w:val="9"/>
                <w:szCs w:val="9"/>
                <w:color w:val="auto"/>
              </w:rPr>
            </w:pPr>
          </w:p>
        </w:tc>
        <w:tc>
          <w:tcPr>
            <w:tcW w:w="700" w:type="dxa"/>
            <w:vAlign w:val="bottom"/>
          </w:tcPr>
          <w:p>
            <w:pPr>
              <w:ind w:left="58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6"/>
              </w:rPr>
              <w:t>Personal, Food and Miscellaneous Services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113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Crash Champion Holdings,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Delta InvestCo LP</w:t>
            </w:r>
          </w:p>
        </w:tc>
        <w:tc>
          <w:tcPr>
            <w:tcW w:w="120" w:type="dxa"/>
            <w:vAlign w:val="bottom"/>
          </w:tcPr>
          <w:p>
            <w:pPr>
              <w:spacing w:after="0"/>
              <w:rPr>
                <w:sz w:val="9"/>
                <w:szCs w:val="9"/>
                <w:color w:val="auto"/>
              </w:rPr>
            </w:pPr>
          </w:p>
        </w:tc>
        <w:tc>
          <w:tcPr>
            <w:tcW w:w="700" w:type="dxa"/>
            <w:vAlign w:val="bottom"/>
          </w:tcPr>
          <w:p>
            <w:pPr>
              <w:ind w:left="58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698,889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684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1,271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(Sigma Defense Systems, LLC)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3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0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9"/>
                <w:szCs w:val="9"/>
                <w:color w:val="auto"/>
              </w:rPr>
              <w:t xml:space="preserve">Delta InvestCo LP </w:t>
            </w:r>
            <w:r>
              <w:rPr>
                <w:rFonts w:ascii="Arial" w:cs="Arial" w:eastAsia="Arial" w:hAnsi="Arial"/>
                <w:sz w:val="12"/>
                <w:szCs w:val="12"/>
                <w:color w:val="auto"/>
                <w:vertAlign w:val="superscript"/>
              </w:rPr>
              <w:t>(7)</w:t>
            </w:r>
          </w:p>
        </w:tc>
        <w:tc>
          <w:tcPr>
            <w:tcW w:w="120" w:type="dxa"/>
            <w:vAlign w:val="bottom"/>
          </w:tcPr>
          <w:p>
            <w:pPr>
              <w:spacing w:after="0"/>
              <w:rPr>
                <w:sz w:val="9"/>
                <w:szCs w:val="9"/>
                <w:color w:val="auto"/>
              </w:rPr>
            </w:pPr>
          </w:p>
        </w:tc>
        <w:tc>
          <w:tcPr>
            <w:tcW w:w="700" w:type="dxa"/>
            <w:vAlign w:val="bottom"/>
          </w:tcPr>
          <w:p>
            <w:pPr>
              <w:ind w:left="58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05" w:lineRule="exact"/>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0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442,155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2"/>
          </w:tcPr>
          <w:p>
            <w:pPr>
              <w:jc w:val="right"/>
              <w:ind w:right="120"/>
              <w:spacing w:after="0" w:line="10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(Sigma Defense Systems, LLC) </w:t>
            </w:r>
            <w:r>
              <w:rPr>
                <w:rFonts w:ascii="Arial" w:cs="Arial" w:eastAsia="Arial" w:hAnsi="Arial"/>
                <w:sz w:val="14"/>
                <w:szCs w:val="14"/>
                <w:color w:val="auto"/>
                <w:vertAlign w:val="superscript"/>
              </w:rPr>
              <w:t>(7), (9)</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92"/>
              </w:rPr>
              <w:t>Electronics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167,537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(11)</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7"/>
              </w:rPr>
              <w:t>Financial Services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Exigo, LLC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1,458,333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478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(7),(9)</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6,384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FedHC InvestCo II LP </w:t>
            </w:r>
            <w:r>
              <w:rPr>
                <w:rFonts w:ascii="Arial" w:cs="Arial" w:eastAsia="Arial" w:hAnsi="Arial"/>
                <w:sz w:val="14"/>
                <w:szCs w:val="14"/>
                <w:color w:val="auto"/>
                <w:vertAlign w:val="superscript"/>
              </w:rPr>
              <w:t>(9)</w:t>
            </w:r>
          </w:p>
        </w:tc>
        <w:tc>
          <w:tcPr>
            <w:tcW w:w="12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20,357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2,290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Consumer Products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889,376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Gauge Schlesinger Coinvest,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Transportation</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810,645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100"/>
              <w:spacing w:after="0" w:line="105" w:lineRule="exact"/>
              <w:rPr>
                <w:sz w:val="20"/>
                <w:szCs w:val="20"/>
                <w:color w:val="auto"/>
              </w:rPr>
            </w:pPr>
            <w:r>
              <w:rPr>
                <w:rFonts w:ascii="Arial" w:cs="Arial" w:eastAsia="Arial" w:hAnsi="Arial"/>
                <w:sz w:val="11"/>
                <w:szCs w:val="11"/>
                <w:color w:val="auto"/>
              </w:rPr>
              <w:t>(TVC Enterprises, LLC)</w:t>
            </w: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3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0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52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(9)</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06"/>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2,434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1,003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550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20" w:type="dxa"/>
            <w:vAlign w:val="bottom"/>
          </w:tcPr>
          <w:p>
            <w:pPr>
              <w:spacing w:after="0"/>
              <w:rPr>
                <w:sz w:val="9"/>
                <w:szCs w:val="9"/>
                <w:color w:val="auto"/>
              </w:rPr>
            </w:pPr>
          </w:p>
        </w:tc>
        <w:tc>
          <w:tcPr>
            <w:tcW w:w="700" w:type="dxa"/>
            <w:vAlign w:val="bottom"/>
          </w:tcPr>
          <w:p>
            <w:pPr>
              <w:ind w:left="58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34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120" w:type="dxa"/>
            <w:vAlign w:val="bottom"/>
          </w:tcPr>
          <w:p>
            <w:pPr>
              <w:spacing w:after="0"/>
              <w:rPr>
                <w:sz w:val="9"/>
                <w:szCs w:val="9"/>
                <w:color w:val="auto"/>
              </w:rPr>
            </w:pPr>
          </w:p>
        </w:tc>
        <w:tc>
          <w:tcPr>
            <w:tcW w:w="940" w:type="dxa"/>
            <w:vAlign w:val="bottom"/>
            <w:gridSpan w:val="2"/>
          </w:tcPr>
          <w:p>
            <w:pPr>
              <w:jc w:val="right"/>
              <w:ind w:right="206"/>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675,325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675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750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(9)</w:t>
            </w: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Green Veracity Holdings, LP - Class A</w:t>
            </w:r>
          </w:p>
        </w:tc>
        <w:tc>
          <w:tcPr>
            <w:tcW w:w="120" w:type="dxa"/>
            <w:vAlign w:val="bottom"/>
          </w:tcPr>
          <w:p>
            <w:pPr>
              <w:spacing w:after="0"/>
              <w:rPr>
                <w:sz w:val="10"/>
                <w:szCs w:val="10"/>
                <w:color w:val="auto"/>
              </w:rPr>
            </w:pPr>
          </w:p>
        </w:tc>
        <w:tc>
          <w:tcPr>
            <w:tcW w:w="700" w:type="dxa"/>
            <w:vAlign w:val="bottom"/>
          </w:tcPr>
          <w:p>
            <w:pPr>
              <w:ind w:left="58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3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06"/>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5,346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100"/>
              <w:spacing w:after="0" w:line="115" w:lineRule="exact"/>
              <w:rPr>
                <w:sz w:val="20"/>
                <w:szCs w:val="20"/>
                <w:color w:val="auto"/>
              </w:rPr>
            </w:pPr>
            <w:r>
              <w:rPr>
                <w:rFonts w:ascii="Arial" w:cs="Arial" w:eastAsia="Arial" w:hAnsi="Arial"/>
                <w:sz w:val="11"/>
                <w:szCs w:val="11"/>
                <w:color w:val="auto"/>
              </w:rPr>
              <w:t>(VT Topco, Inc.)</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(9)</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840" w:type="dxa"/>
            <w:vAlign w:val="bottom"/>
          </w:tcPr>
          <w:p>
            <w:pPr>
              <w:ind w:left="20"/>
              <w:spacing w:after="0"/>
              <w:rPr>
                <w:sz w:val="20"/>
                <w:szCs w:val="20"/>
                <w:color w:val="auto"/>
              </w:rPr>
            </w:pPr>
            <w:r>
              <w:rPr>
                <w:rFonts w:ascii="Arial" w:cs="Arial" w:eastAsia="Arial" w:hAnsi="Arial"/>
                <w:sz w:val="11"/>
                <w:szCs w:val="11"/>
                <w:color w:val="auto"/>
              </w:rPr>
              <w:t>HV Watterson Holdings, LLC</w:t>
            </w:r>
          </w:p>
        </w:tc>
        <w:tc>
          <w:tcPr>
            <w:tcW w:w="120" w:type="dxa"/>
            <w:vAlign w:val="bottom"/>
          </w:tcPr>
          <w:p>
            <w:pPr>
              <w:spacing w:after="0"/>
              <w:rPr>
                <w:sz w:val="11"/>
                <w:szCs w:val="11"/>
                <w:color w:val="auto"/>
              </w:rPr>
            </w:pPr>
          </w:p>
        </w:tc>
        <w:tc>
          <w:tcPr>
            <w:tcW w:w="700" w:type="dxa"/>
            <w:vAlign w:val="bottom"/>
          </w:tcPr>
          <w:p>
            <w:pPr>
              <w:ind w:left="58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0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1,600,000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-7263130</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-7091680</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-6920230</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-6748780</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-6577330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-6405880</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-6234430</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-6062980</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-5891530</wp:posOffset>
            </wp:positionV>
            <wp:extent cx="713232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-5720080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-5451475</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-5451475</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-4577080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-4397375</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-4397375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-4297045</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-3954145</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-3611245</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-3265805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-3265805</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-3165475</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-2994025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-2822575</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-2651125</wp:posOffset>
            </wp:positionV>
            <wp:extent cx="7132320" cy="857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-1793875</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-1451610</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-1280160</wp:posOffset>
            </wp:positionV>
            <wp:extent cx="713232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-1108710</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180022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02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(Unaudited)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 /</w:t>
            </w: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Current</w:t>
            </w: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2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26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840" w:type="dxa"/>
            <w:vAlign w:val="bottom"/>
            <w:tcBorders>
              <w:top w:val="single" w:sz="8" w:color="auto"/>
            </w:tcBorders>
            <w:gridSpan w:val="2"/>
          </w:tcPr>
          <w:p>
            <w:pPr>
              <w:ind w:left="20"/>
              <w:spacing w:after="0" w:line="99" w:lineRule="exact"/>
              <w:rPr>
                <w:sz w:val="20"/>
                <w:szCs w:val="20"/>
                <w:color w:val="auto"/>
              </w:rPr>
            </w:pPr>
            <w:r>
              <w:rPr>
                <w:rFonts w:ascii="Arial" w:cs="Arial" w:eastAsia="Arial" w:hAnsi="Arial"/>
                <w:sz w:val="11"/>
                <w:szCs w:val="11"/>
                <w:color w:val="auto"/>
              </w:rPr>
              <w:t>Icon Partners V C, L.P.</w:t>
            </w:r>
          </w:p>
        </w:tc>
        <w:tc>
          <w:tcPr>
            <w:tcW w:w="140" w:type="dxa"/>
            <w:vAlign w:val="bottom"/>
          </w:tcPr>
          <w:p>
            <w:pPr>
              <w:spacing w:after="0"/>
              <w:rPr>
                <w:sz w:val="8"/>
                <w:szCs w:val="8"/>
                <w:color w:val="auto"/>
              </w:rPr>
            </w:pPr>
          </w:p>
        </w:tc>
        <w:tc>
          <w:tcPr>
            <w:tcW w:w="680" w:type="dxa"/>
            <w:vAlign w:val="bottom"/>
            <w:tcBorders>
              <w:top w:val="single" w:sz="8" w:color="auto"/>
            </w:tcBorders>
          </w:tcPr>
          <w:p>
            <w:pPr>
              <w:ind w:left="560"/>
              <w:spacing w:after="0" w:line="99"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8"/>
                <w:szCs w:val="8"/>
                <w:color w:val="auto"/>
              </w:rPr>
            </w:pPr>
          </w:p>
        </w:tc>
        <w:tc>
          <w:tcPr>
            <w:tcW w:w="236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8"/>
                <w:szCs w:val="8"/>
                <w:color w:val="auto"/>
              </w:rPr>
            </w:pPr>
          </w:p>
        </w:tc>
        <w:tc>
          <w:tcPr>
            <w:tcW w:w="70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9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1,111,111</w:t>
            </w:r>
          </w:p>
        </w:tc>
        <w:tc>
          <w:tcPr>
            <w:tcW w:w="220" w:type="dxa"/>
            <w:vAlign w:val="bottom"/>
          </w:tcPr>
          <w:p>
            <w:pPr>
              <w:spacing w:after="0"/>
              <w:rPr>
                <w:sz w:val="8"/>
                <w:szCs w:val="8"/>
                <w:color w:val="auto"/>
              </w:rPr>
            </w:pPr>
          </w:p>
        </w:tc>
        <w:tc>
          <w:tcPr>
            <w:tcW w:w="160" w:type="dxa"/>
            <w:vAlign w:val="bottom"/>
            <w:tcBorders>
              <w:top w:val="single" w:sz="8" w:color="auto"/>
            </w:tcBorders>
          </w:tcPr>
          <w:p>
            <w:pPr>
              <w:jc w:val="right"/>
              <w:ind w:right="26"/>
              <w:spacing w:after="0" w:line="99" w:lineRule="exact"/>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1,111</w:t>
            </w:r>
          </w:p>
        </w:tc>
        <w:tc>
          <w:tcPr>
            <w:tcW w:w="220" w:type="dxa"/>
            <w:vAlign w:val="bottom"/>
          </w:tcPr>
          <w:p>
            <w:pPr>
              <w:spacing w:after="0"/>
              <w:rPr>
                <w:sz w:val="8"/>
                <w:szCs w:val="8"/>
                <w:color w:val="auto"/>
              </w:rPr>
            </w:pPr>
          </w:p>
        </w:tc>
        <w:tc>
          <w:tcPr>
            <w:tcW w:w="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color w:val="auto"/>
              </w:rPr>
              <w:t>1,221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Icon Partners V C, L.P. </w:t>
            </w:r>
            <w:r>
              <w:rPr>
                <w:rFonts w:ascii="Arial" w:cs="Arial" w:eastAsia="Arial" w:hAnsi="Arial"/>
                <w:sz w:val="14"/>
                <w:szCs w:val="14"/>
                <w:color w:val="auto"/>
                <w:vertAlign w:val="superscript"/>
              </w:rPr>
              <w:t>(7),(9)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388,889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Imagine Topco, LP</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743,826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Infogroup Parent Holdings, Inc.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92"/>
              </w:rPr>
              <w:t>Other Media</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181,495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2,042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3,761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(Data Axle, Inc.)</w:t>
            </w:r>
          </w:p>
        </w:tc>
        <w:tc>
          <w:tcPr>
            <w:tcW w:w="140" w:type="dxa"/>
            <w:vAlign w:val="bottom"/>
          </w:tcPr>
          <w:p>
            <w:pPr>
              <w:spacing w:after="0"/>
              <w:rPr>
                <w:sz w:val="12"/>
                <w:szCs w:val="12"/>
                <w:color w:val="auto"/>
              </w:rPr>
            </w:pPr>
          </w:p>
        </w:tc>
        <w:tc>
          <w:tcPr>
            <w:tcW w:w="680" w:type="dxa"/>
            <w:vAlign w:val="bottom"/>
            <w:vMerge w:val="restart"/>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4,566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450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40" w:type="dxa"/>
            <w:vAlign w:val="bottom"/>
            <w:gridSpan w:val="2"/>
            <w:shd w:val="clear" w:color="auto" w:fill="CCECFF"/>
          </w:tcPr>
          <w:p>
            <w:pPr>
              <w:ind w:left="20"/>
              <w:spacing w:after="0" w:line="110" w:lineRule="exact"/>
              <w:rPr>
                <w:sz w:val="20"/>
                <w:szCs w:val="20"/>
                <w:color w:val="auto"/>
              </w:rPr>
            </w:pPr>
            <w:r>
              <w:rPr>
                <w:rFonts w:ascii="Arial" w:cs="Arial" w:eastAsia="Arial" w:hAnsi="Arial"/>
                <w:sz w:val="11"/>
                <w:szCs w:val="11"/>
                <w:color w:val="auto"/>
              </w:rPr>
              <w:t>Ironclad Holdco, LLC</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gridSpan w:val="2"/>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ITC Infusion Co-invest, LP</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82,895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829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gridSpan w:val="2"/>
            <w:shd w:val="clear" w:color="auto" w:fill="CCECFF"/>
          </w:tcPr>
          <w:p>
            <w:pPr>
              <w:ind w:left="20"/>
              <w:spacing w:after="0" w:line="115" w:lineRule="exact"/>
              <w:rPr>
                <w:sz w:val="20"/>
                <w:szCs w:val="20"/>
                <w:color w:val="auto"/>
              </w:rPr>
            </w:pPr>
            <w:r>
              <w:rPr>
                <w:rFonts w:ascii="Arial" w:cs="Arial" w:eastAsia="Arial" w:hAnsi="Arial"/>
                <w:sz w:val="11"/>
                <w:szCs w:val="11"/>
                <w:color w:val="auto"/>
              </w:rPr>
              <w:t>ITC Rumba, LLC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375,675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8</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21,863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gridSpan w:val="2"/>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(Cano Health,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gridSpan w:val="2"/>
          </w:tcPr>
          <w:p>
            <w:pPr>
              <w:ind w:left="20"/>
              <w:spacing w:after="0" w:line="105" w:lineRule="exact"/>
              <w:rPr>
                <w:sz w:val="20"/>
                <w:szCs w:val="20"/>
                <w:color w:val="auto"/>
              </w:rPr>
            </w:pPr>
            <w:r>
              <w:rPr>
                <w:rFonts w:ascii="Arial" w:cs="Arial" w:eastAsia="Arial" w:hAnsi="Arial"/>
                <w:sz w:val="11"/>
                <w:szCs w:val="11"/>
                <w:color w:val="auto"/>
              </w:rPr>
              <w:t>JWC-WE Holdings, L.P.</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9"/>
              </w:rPr>
              <w:t>Home and Office Furnishings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2,688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783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right"/>
              <w:ind w:right="120"/>
              <w:spacing w:after="0" w:line="10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Kentucky Racing Holdco, LLC (Warrants)</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161,252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Kinetic Purchaser,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1,308,814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1,309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1,818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KL Stockton Co-Invest LP</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382,353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382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525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gridSpan w:val="2"/>
            <w:vMerge w:val="restart"/>
          </w:tcPr>
          <w:p>
            <w:pPr>
              <w:ind w:left="10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840" w:type="dxa"/>
            <w:vAlign w:val="bottom"/>
            <w:gridSpan w:val="2"/>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9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14"/>
                <w:szCs w:val="14"/>
                <w:color w:val="auto"/>
                <w:vertAlign w:val="superscript"/>
              </w:rPr>
              <w:t>(9)</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363,656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240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1,289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Lightspeed Investment Holdco LLC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273,143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273</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443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Mars Intermidiate Holdings II, Inc.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Meadowlark Title,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815,385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815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Municipal Emergency Services, Inc.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3,920,145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3,984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gridSpan w:val="2"/>
          </w:tcPr>
          <w:p>
            <w:pPr>
              <w:ind w:left="20"/>
              <w:spacing w:after="0" w:line="105" w:lineRule="exact"/>
              <w:rPr>
                <w:sz w:val="20"/>
                <w:szCs w:val="20"/>
                <w:color w:val="auto"/>
              </w:rPr>
            </w:pPr>
            <w:r>
              <w:rPr>
                <w:rFonts w:ascii="Arial" w:cs="Arial" w:eastAsia="Arial" w:hAnsi="Arial"/>
                <w:sz w:val="11"/>
                <w:szCs w:val="11"/>
                <w:color w:val="auto"/>
              </w:rPr>
              <w:t>NEPRT Parent Holdings, LLC</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1,299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1,261</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583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 xml:space="preserve">(Recteq,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North Haven Saints Equity Holdings, LP</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351,553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NXOF Holdings, Inc.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3,261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(Tyto Athene, LLC)</w:t>
            </w:r>
          </w:p>
        </w:tc>
        <w:tc>
          <w:tcPr>
            <w:tcW w:w="140" w:type="dxa"/>
            <w:vAlign w:val="bottom"/>
          </w:tcPr>
          <w:p>
            <w:pPr>
              <w:spacing w:after="0"/>
              <w:rPr>
                <w:sz w:val="12"/>
                <w:szCs w:val="12"/>
                <w:color w:val="auto"/>
              </w:rPr>
            </w:pPr>
          </w:p>
        </w:tc>
        <w:tc>
          <w:tcPr>
            <w:tcW w:w="680" w:type="dxa"/>
            <w:vAlign w:val="bottom"/>
            <w:vMerge w:val="restart"/>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360" w:type="dxa"/>
            <w:vAlign w:val="bottom"/>
            <w:vMerge w:val="restart"/>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98,286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979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1,727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40" w:type="dxa"/>
            <w:vAlign w:val="bottom"/>
            <w:gridSpan w:val="2"/>
            <w:shd w:val="clear" w:color="auto" w:fill="CCECFF"/>
          </w:tcPr>
          <w:p>
            <w:pPr>
              <w:ind w:left="20"/>
              <w:spacing w:after="0" w:line="110" w:lineRule="exact"/>
              <w:rPr>
                <w:sz w:val="20"/>
                <w:szCs w:val="20"/>
                <w:color w:val="auto"/>
              </w:rPr>
            </w:pPr>
            <w:r>
              <w:rPr>
                <w:rFonts w:ascii="Arial" w:cs="Arial" w:eastAsia="Arial" w:hAnsi="Arial"/>
                <w:sz w:val="11"/>
                <w:szCs w:val="11"/>
                <w:color w:val="auto"/>
              </w:rPr>
              <w:t>OceanSound Discovery Equity, LP</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40" w:type="dxa"/>
            <w:vAlign w:val="bottom"/>
            <w:gridSpan w:val="2"/>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40" w:type="dxa"/>
            <w:vAlign w:val="bottom"/>
            <w:gridSpan w:val="2"/>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gridSpan w:val="2"/>
          </w:tcPr>
          <w:p>
            <w:pPr>
              <w:ind w:left="20"/>
              <w:spacing w:after="0" w:line="105" w:lineRule="exact"/>
              <w:rPr>
                <w:sz w:val="20"/>
                <w:szCs w:val="20"/>
                <w:color w:val="auto"/>
              </w:rPr>
            </w:pPr>
            <w:r>
              <w:rPr>
                <w:rFonts w:ascii="Arial" w:cs="Arial" w:eastAsia="Arial" w:hAnsi="Arial"/>
                <w:sz w:val="11"/>
                <w:szCs w:val="11"/>
                <w:color w:val="auto"/>
              </w:rPr>
              <w:t>OHCP V BC COI, L.P.</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446,250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446</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OHCP V BC COI, L.P. </w:t>
            </w:r>
            <w:r>
              <w:rPr>
                <w:rFonts w:ascii="Arial" w:cs="Arial" w:eastAsia="Arial" w:hAnsi="Arial"/>
                <w:sz w:val="14"/>
                <w:szCs w:val="14"/>
                <w:color w:val="auto"/>
                <w:vertAlign w:val="superscript"/>
              </w:rPr>
              <w:t>(7),(9)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303,750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2,904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ORL Holdco, Inc.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gridSpan w:val="2"/>
          </w:tcPr>
          <w:p>
            <w:pPr>
              <w:ind w:left="20"/>
              <w:spacing w:after="0" w:line="105" w:lineRule="exact"/>
              <w:rPr>
                <w:sz w:val="20"/>
                <w:szCs w:val="20"/>
                <w:color w:val="auto"/>
              </w:rPr>
            </w:pPr>
            <w:r>
              <w:rPr>
                <w:rFonts w:ascii="Arial" w:cs="Arial" w:eastAsia="Arial" w:hAnsi="Arial"/>
                <w:sz w:val="11"/>
                <w:szCs w:val="11"/>
                <w:color w:val="auto"/>
              </w:rPr>
              <w:t>PennantPark-TSO Senior Loan Fund II, LP</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w w:val="94"/>
              </w:rPr>
              <w:t>15,038,871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15,039</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15,363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Pink Lily Holdco,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Retail</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1,044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840" w:type="dxa"/>
            <w:vAlign w:val="bottom"/>
            <w:gridSpan w:val="2"/>
            <w:shd w:val="clear" w:color="auto" w:fill="CCECFF"/>
          </w:tcPr>
          <w:p>
            <w:pPr>
              <w:ind w:left="20"/>
              <w:spacing w:after="0" w:line="125" w:lineRule="exact"/>
              <w:rPr>
                <w:sz w:val="20"/>
                <w:szCs w:val="20"/>
                <w:color w:val="auto"/>
              </w:rPr>
            </w:pPr>
            <w:r>
              <w:rPr>
                <w:rFonts w:ascii="Arial" w:cs="Arial" w:eastAsia="Arial" w:hAnsi="Arial"/>
                <w:sz w:val="11"/>
                <w:szCs w:val="11"/>
                <w:color w:val="auto"/>
              </w:rPr>
              <w:t>RFMG Parent, LP</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0"/>
                <w:szCs w:val="10"/>
                <w:color w:val="auto"/>
              </w:rPr>
            </w:pPr>
          </w:p>
        </w:tc>
        <w:tc>
          <w:tcPr>
            <w:tcW w:w="236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1,050</w:t>
            </w: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6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1,279</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40" w:type="dxa"/>
            <w:vAlign w:val="bottom"/>
            <w:gridSpan w:val="2"/>
            <w:shd w:val="clear" w:color="auto" w:fill="CCECFF"/>
          </w:tcPr>
          <w:p>
            <w:pPr>
              <w:ind w:left="100"/>
              <w:spacing w:after="0"/>
              <w:rPr>
                <w:sz w:val="20"/>
                <w:szCs w:val="20"/>
                <w:color w:val="auto"/>
              </w:rPr>
            </w:pPr>
            <w:r>
              <w:rPr>
                <w:rFonts w:ascii="Arial" w:cs="Arial" w:eastAsia="Arial" w:hAnsi="Arial"/>
                <w:sz w:val="11"/>
                <w:szCs w:val="11"/>
                <w:color w:val="auto"/>
              </w:rPr>
              <w:t>(Rancho Health MSO, Inc.)</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SBI Holdings Investments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36,585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366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385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(Sales Benchmark Index LLC)</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Seaway Topco, LP</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2"/>
                <w:szCs w:val="12"/>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2,518</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2,518</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Signature CR Intermediate Holdco, Inc.</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SP L2 Holdings,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881,966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SSC Dominion Holdings,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Class A (US Dominion, Inc.)</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4,103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840" w:type="dxa"/>
            <w:vAlign w:val="bottom"/>
            <w:gridSpan w:val="2"/>
            <w:shd w:val="clear" w:color="auto" w:fill="CCECFF"/>
          </w:tcPr>
          <w:p>
            <w:pPr>
              <w:ind w:left="100"/>
              <w:spacing w:after="0"/>
              <w:rPr>
                <w:sz w:val="20"/>
                <w:szCs w:val="20"/>
                <w:color w:val="auto"/>
              </w:rPr>
            </w:pPr>
            <w:r>
              <w:rPr>
                <w:rFonts w:ascii="Arial" w:cs="Arial" w:eastAsia="Arial" w:hAnsi="Arial"/>
                <w:sz w:val="11"/>
                <w:szCs w:val="11"/>
                <w:color w:val="auto"/>
              </w:rPr>
              <w:t>Class B (US Dominion, Inc.)</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color w:val="auto"/>
              </w:rPr>
              <w:t>StellPen Holdings,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0"/>
                <w:szCs w:val="10"/>
                <w:color w:val="auto"/>
              </w:rPr>
            </w:pPr>
          </w:p>
        </w:tc>
        <w:tc>
          <w:tcPr>
            <w:tcW w:w="2360" w:type="dxa"/>
            <w:vAlign w:val="bottom"/>
          </w:tcPr>
          <w:p>
            <w:pPr>
              <w:jc w:val="center"/>
              <w:spacing w:after="0" w:line="12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153,846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5" w:lineRule="exact"/>
              <w:rPr>
                <w:sz w:val="20"/>
                <w:szCs w:val="20"/>
                <w:color w:val="auto"/>
              </w:rPr>
            </w:pPr>
            <w:r>
              <w:rPr>
                <w:rFonts w:ascii="Arial" w:cs="Arial" w:eastAsia="Arial" w:hAnsi="Arial"/>
                <w:sz w:val="11"/>
                <w:szCs w:val="11"/>
                <w:color w:val="auto"/>
              </w:rPr>
              <w:t>154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auto"/>
              </w:rPr>
              <w:t>138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gridSpan w:val="2"/>
          </w:tcPr>
          <w:p>
            <w:pPr>
              <w:ind w:left="100"/>
              <w:spacing w:after="0" w:line="115" w:lineRule="exact"/>
              <w:rPr>
                <w:sz w:val="20"/>
                <w:szCs w:val="20"/>
                <w:color w:val="auto"/>
              </w:rPr>
            </w:pPr>
            <w:r>
              <w:rPr>
                <w:rFonts w:ascii="Arial" w:cs="Arial" w:eastAsia="Arial" w:hAnsi="Arial"/>
                <w:sz w:val="11"/>
                <w:szCs w:val="11"/>
                <w:color w:val="auto"/>
              </w:rPr>
              <w:t>(CF512, Inc.)</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232,558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Tower Arch Infolinks Media,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531,293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line="135" w:lineRule="exact"/>
              <w:rPr>
                <w:sz w:val="20"/>
                <w:szCs w:val="20"/>
                <w:color w:val="auto"/>
              </w:rPr>
            </w:pPr>
            <w:r>
              <w:rPr>
                <w:rFonts w:ascii="Arial" w:cs="Arial" w:eastAsia="Arial" w:hAnsi="Arial"/>
                <w:sz w:val="11"/>
                <w:szCs w:val="11"/>
                <w:color w:val="auto"/>
              </w:rPr>
              <w:t xml:space="preserve">Tower Arch Infolinks Media, LP </w:t>
            </w:r>
            <w:r>
              <w:rPr>
                <w:rFonts w:ascii="Arial" w:cs="Arial" w:eastAsia="Arial" w:hAnsi="Arial"/>
                <w:sz w:val="14"/>
                <w:szCs w:val="14"/>
                <w:color w:val="auto"/>
                <w:vertAlign w:val="superscript"/>
              </w:rPr>
              <w:t>(7), (9)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364,151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 (11)</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shd w:val="clear" w:color="auto" w:fill="CCECFF"/>
          </w:tcPr>
          <w:p>
            <w:pPr>
              <w:ind w:left="20"/>
              <w:spacing w:after="0"/>
              <w:rPr>
                <w:sz w:val="20"/>
                <w:szCs w:val="20"/>
                <w:color w:val="auto"/>
              </w:rPr>
            </w:pPr>
            <w:r>
              <w:rPr>
                <w:rFonts w:ascii="Arial" w:cs="Arial" w:eastAsia="Arial" w:hAnsi="Arial"/>
                <w:sz w:val="11"/>
                <w:szCs w:val="11"/>
                <w:color w:val="auto"/>
              </w:rPr>
              <w:t>TWD Parent Holdings,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gridSpan w:val="2"/>
          </w:tcPr>
          <w:p>
            <w:pPr>
              <w:ind w:left="100"/>
              <w:spacing w:after="0" w:line="105" w:lineRule="exact"/>
              <w:rPr>
                <w:sz w:val="20"/>
                <w:szCs w:val="20"/>
                <w:color w:val="auto"/>
              </w:rPr>
            </w:pPr>
            <w:r>
              <w:rPr>
                <w:rFonts w:ascii="Arial" w:cs="Arial" w:eastAsia="Arial" w:hAnsi="Arial"/>
                <w:sz w:val="11"/>
                <w:szCs w:val="11"/>
                <w:color w:val="auto"/>
              </w:rPr>
              <w:t>(The Vertex Companies, LLC)</w:t>
            </w:r>
          </w:p>
        </w:tc>
        <w:tc>
          <w:tcPr>
            <w:tcW w:w="14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60" w:type="dxa"/>
            <w:vAlign w:val="bottom"/>
            <w:tcBorders>
              <w:bottom w:val="single" w:sz="8" w:color="CCECFF"/>
            </w:tcBorders>
            <w:shd w:val="clear" w:color="auto" w:fill="CCECFF"/>
          </w:tcPr>
          <w:p>
            <w:pPr>
              <w:spacing w:after="0"/>
              <w:rPr>
                <w:sz w:val="10"/>
                <w:szCs w:val="10"/>
                <w:color w:val="auto"/>
              </w:rPr>
            </w:pPr>
          </w:p>
        </w:tc>
        <w:tc>
          <w:tcPr>
            <w:tcW w:w="236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9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6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40" w:type="dxa"/>
            <w:vAlign w:val="bottom"/>
            <w:gridSpan w:val="2"/>
          </w:tcPr>
          <w:p>
            <w:pPr>
              <w:ind w:left="20"/>
              <w:spacing w:after="0" w:line="105" w:lineRule="exact"/>
              <w:rPr>
                <w:sz w:val="20"/>
                <w:szCs w:val="20"/>
                <w:color w:val="auto"/>
              </w:rPr>
            </w:pPr>
            <w:r>
              <w:rPr>
                <w:rFonts w:ascii="Arial" w:cs="Arial" w:eastAsia="Arial" w:hAnsi="Arial"/>
                <w:sz w:val="9"/>
                <w:szCs w:val="9"/>
                <w:color w:val="auto"/>
              </w:rPr>
              <w:t xml:space="preserve">U.S. Well Services, Inc. - Class A </w:t>
            </w:r>
            <w:r>
              <w:rPr>
                <w:rFonts w:ascii="Arial" w:cs="Arial" w:eastAsia="Arial" w:hAnsi="Arial"/>
                <w:sz w:val="12"/>
                <w:szCs w:val="12"/>
                <w:color w:val="auto"/>
                <w:vertAlign w:val="superscript"/>
              </w:rPr>
              <w:t>(5), (11)</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360,343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3,022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338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UniVista Insurance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386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4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WCP Ivyrehab QP CF Feeder, LP</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1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3,762,257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3,762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3,762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WCP Ivyrehab QP CF Feeder, LP - Unfunded </w:t>
            </w:r>
            <w:r>
              <w:rPr>
                <w:rFonts w:ascii="Arial" w:cs="Arial" w:eastAsia="Arial" w:hAnsi="Arial"/>
                <w:sz w:val="14"/>
                <w:szCs w:val="14"/>
                <w:color w:val="auto"/>
                <w:vertAlign w:val="superscript"/>
              </w:rPr>
              <w:t>(7)</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237,743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Wildcat Parent, LP</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2,314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40" w:type="dxa"/>
            <w:vAlign w:val="bottom"/>
            <w:gridSpan w:val="2"/>
          </w:tcPr>
          <w:p>
            <w:pPr>
              <w:ind w:left="100"/>
              <w:spacing w:after="0"/>
              <w:rPr>
                <w:sz w:val="20"/>
                <w:szCs w:val="20"/>
                <w:color w:val="auto"/>
              </w:rPr>
            </w:pPr>
            <w:r>
              <w:rPr>
                <w:rFonts w:ascii="Arial" w:cs="Arial" w:eastAsia="Arial" w:hAnsi="Arial"/>
                <w:sz w:val="11"/>
                <w:szCs w:val="11"/>
                <w:color w:val="auto"/>
              </w:rPr>
              <w:t>(Wildcat Buyerco, Inc.)</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81,000</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122,653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4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rPr>
              <w:t>Total Investments in Non-Controlled, Non-Affiliated</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921,967</w:t>
            </w: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961,032</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840" w:type="dxa"/>
            <w:vAlign w:val="bottom"/>
            <w:gridSpan w:val="2"/>
          </w:tcPr>
          <w:p>
            <w:pPr>
              <w:ind w:left="20"/>
              <w:spacing w:after="0" w:line="117" w:lineRule="exact"/>
              <w:rPr>
                <w:sz w:val="20"/>
                <w:szCs w:val="20"/>
                <w:color w:val="auto"/>
              </w:rPr>
            </w:pPr>
            <w:r>
              <w:rPr>
                <w:rFonts w:ascii="Arial" w:cs="Arial" w:eastAsia="Arial" w:hAnsi="Arial"/>
                <w:sz w:val="11"/>
                <w:szCs w:val="11"/>
                <w:b w:val="1"/>
                <w:bCs w:val="1"/>
                <w:color w:val="auto"/>
              </w:rPr>
              <w:t>Portfolio Companies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660" w:type="dxa"/>
            <w:vAlign w:val="bottom"/>
            <w:gridSpan w:val="4"/>
          </w:tcPr>
          <w:p>
            <w:pPr>
              <w:ind w:left="20"/>
              <w:spacing w:after="0" w:line="103" w:lineRule="exact"/>
              <w:rPr>
                <w:sz w:val="20"/>
                <w:szCs w:val="20"/>
                <w:color w:val="auto"/>
              </w:rPr>
            </w:pPr>
            <w:r>
              <w:rPr>
                <w:rFonts w:ascii="Arial" w:cs="Arial" w:eastAsia="Arial" w:hAnsi="Arial"/>
                <w:sz w:val="9"/>
                <w:szCs w:val="9"/>
                <w:b w:val="1"/>
                <w:bCs w:val="1"/>
                <w:color w:val="auto"/>
              </w:rPr>
              <w:t xml:space="preserve">Investments in Non-Controlled, Affiliated Portfolio Companies—7.8% </w:t>
            </w:r>
            <w:r>
              <w:rPr>
                <w:rFonts w:ascii="Arial" w:cs="Arial" w:eastAsia="Arial" w:hAnsi="Arial"/>
                <w:sz w:val="11"/>
                <w:szCs w:val="11"/>
                <w:b w:val="1"/>
                <w:bCs w:val="1"/>
                <w:color w:val="auto"/>
                <w:vertAlign w:val="superscript"/>
              </w:rPr>
              <w:t>(1), (2)</w:t>
            </w:r>
          </w:p>
        </w:tc>
        <w:tc>
          <w:tcPr>
            <w:tcW w:w="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840" w:type="dxa"/>
            <w:vAlign w:val="bottom"/>
            <w:gridSpan w:val="2"/>
          </w:tcPr>
          <w:p>
            <w:pPr>
              <w:ind w:left="20"/>
              <w:spacing w:after="0" w:line="137" w:lineRule="exact"/>
              <w:rPr>
                <w:sz w:val="20"/>
                <w:szCs w:val="20"/>
                <w:color w:val="auto"/>
              </w:rPr>
            </w:pPr>
            <w:r>
              <w:rPr>
                <w:rFonts w:ascii="Arial" w:cs="Arial" w:eastAsia="Arial" w:hAnsi="Arial"/>
                <w:sz w:val="11"/>
                <w:szCs w:val="11"/>
                <w:b w:val="1"/>
                <w:bCs w:val="1"/>
                <w:color w:val="auto"/>
              </w:rPr>
              <w:t xml:space="preserve">Preferred Equity/Partnership Interests—7.8% </w:t>
            </w:r>
            <w:r>
              <w:rPr>
                <w:rFonts w:ascii="Arial" w:cs="Arial" w:eastAsia="Arial" w:hAnsi="Arial"/>
                <w:sz w:val="14"/>
                <w:szCs w:val="14"/>
                <w:b w:val="1"/>
                <w:bCs w:val="1"/>
                <w:color w:val="auto"/>
                <w:vertAlign w:val="superscript"/>
              </w:rPr>
              <w:t>(6)</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840" w:type="dxa"/>
            <w:vAlign w:val="bottom"/>
            <w:gridSpan w:val="2"/>
          </w:tcPr>
          <w:p>
            <w:pPr>
              <w:ind w:left="20"/>
              <w:spacing w:after="0" w:line="155" w:lineRule="exact"/>
              <w:rPr>
                <w:sz w:val="20"/>
                <w:szCs w:val="20"/>
                <w:color w:val="auto"/>
              </w:rPr>
            </w:pPr>
            <w:r>
              <w:rPr>
                <w:rFonts w:ascii="Arial" w:cs="Arial" w:eastAsia="Arial" w:hAnsi="Arial"/>
                <w:sz w:val="11"/>
                <w:szCs w:val="11"/>
                <w:color w:val="auto"/>
              </w:rPr>
              <w:t xml:space="preserve">Cascade Environmental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3"/>
                <w:szCs w:val="13"/>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5,887,236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32,791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32,791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MidOcean JF Holdings Corp. (Series B)</w:t>
            </w:r>
          </w:p>
        </w:tc>
        <w:tc>
          <w:tcPr>
            <w:tcW w:w="14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10,739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1,074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MidOcean JF Holdings Corp.</w:t>
            </w:r>
          </w:p>
        </w:tc>
        <w:tc>
          <w:tcPr>
            <w:tcW w:w="1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23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143,183</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14,318</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10,937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40" w:type="dxa"/>
            <w:vAlign w:val="bottom"/>
            <w:gridSpan w:val="2"/>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48,183</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49,097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w w:val="96"/>
              </w:rPr>
              <w:t xml:space="preserve">Common Equity/Partnership Interests/Warrants—0% </w:t>
            </w:r>
            <w:r>
              <w:rPr>
                <w:rFonts w:ascii="Arial" w:cs="Arial" w:eastAsia="Arial" w:hAnsi="Arial"/>
                <w:sz w:val="14"/>
                <w:szCs w:val="14"/>
                <w:b w:val="1"/>
                <w:bCs w:val="1"/>
                <w:color w:val="auto"/>
                <w:w w:val="96"/>
                <w:vertAlign w:val="superscript"/>
              </w:rPr>
              <w:t>(6)</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Cascade Environmental Holdings, LLC</w:t>
            </w:r>
          </w:p>
        </w:tc>
        <w:tc>
          <w:tcPr>
            <w:tcW w:w="14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7,444,347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2,852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8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color w:val="auto"/>
              </w:rPr>
              <w:t>MidOcean JF Holdings Corp.</w:t>
            </w:r>
          </w:p>
        </w:tc>
        <w:tc>
          <w:tcPr>
            <w:tcW w:w="1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23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24,790</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27,642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8"/>
        </w:trPr>
        <w:tc>
          <w:tcPr>
            <w:tcW w:w="2840" w:type="dxa"/>
            <w:vAlign w:val="bottom"/>
            <w:gridSpan w:val="2"/>
            <w:shd w:val="clear" w:color="auto" w:fill="CCECFF"/>
          </w:tcPr>
          <w:p>
            <w:pPr>
              <w:ind w:left="20"/>
              <w:spacing w:after="0" w:line="88" w:lineRule="exact"/>
              <w:rPr>
                <w:sz w:val="20"/>
                <w:szCs w:val="20"/>
                <w:color w:val="auto"/>
              </w:rPr>
            </w:pPr>
            <w:r>
              <w:rPr>
                <w:rFonts w:ascii="Arial" w:cs="Arial" w:eastAsia="Arial" w:hAnsi="Arial"/>
                <w:sz w:val="10"/>
                <w:szCs w:val="10"/>
                <w:b w:val="1"/>
                <w:bCs w:val="1"/>
                <w:color w:val="auto"/>
              </w:rPr>
              <w:t>Total Investments in Non-Controlled, Affiliated Portfolio</w:t>
            </w:r>
          </w:p>
        </w:tc>
        <w:tc>
          <w:tcPr>
            <w:tcW w:w="14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23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56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8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1"/>
                <w:szCs w:val="11"/>
                <w:color w:val="auto"/>
              </w:rPr>
              <w:t>75,825</w:t>
            </w:r>
          </w:p>
        </w:tc>
        <w:tc>
          <w:tcPr>
            <w:tcW w:w="220" w:type="dxa"/>
            <w:vAlign w:val="bottom"/>
            <w:shd w:val="clear" w:color="auto" w:fill="CCECFF"/>
          </w:tcPr>
          <w:p>
            <w:pPr>
              <w:spacing w:after="0"/>
              <w:rPr>
                <w:sz w:val="7"/>
                <w:szCs w:val="7"/>
                <w:color w:val="auto"/>
              </w:rPr>
            </w:pPr>
          </w:p>
        </w:tc>
        <w:tc>
          <w:tcPr>
            <w:tcW w:w="60" w:type="dxa"/>
            <w:vAlign w:val="bottom"/>
            <w:tcBorders>
              <w:top w:val="single" w:sz="8" w:color="auto"/>
            </w:tcBorders>
            <w:shd w:val="clear" w:color="auto" w:fill="CCECFF"/>
          </w:tcPr>
          <w:p>
            <w:pPr>
              <w:spacing w:after="0"/>
              <w:rPr>
                <w:sz w:val="7"/>
                <w:szCs w:val="7"/>
                <w:color w:val="auto"/>
              </w:rPr>
            </w:pPr>
          </w:p>
        </w:tc>
        <w:tc>
          <w:tcPr>
            <w:tcW w:w="680" w:type="dxa"/>
            <w:vAlign w:val="bottom"/>
            <w:tcBorders>
              <w:top w:val="single" w:sz="8" w:color="auto"/>
            </w:tcBorders>
            <w:vMerge w:val="restart"/>
            <w:shd w:val="clear" w:color="auto" w:fill="CCECFF"/>
          </w:tcPr>
          <w:p>
            <w:pPr>
              <w:jc w:val="right"/>
              <w:spacing w:after="0"/>
              <w:rPr>
                <w:sz w:val="20"/>
                <w:szCs w:val="20"/>
                <w:color w:val="auto"/>
              </w:rPr>
            </w:pPr>
            <w:r>
              <w:rPr>
                <w:rFonts w:ascii="Arial" w:cs="Arial" w:eastAsia="Arial" w:hAnsi="Arial"/>
                <w:sz w:val="11"/>
                <w:szCs w:val="11"/>
                <w:color w:val="auto"/>
              </w:rPr>
              <w:t>49,097</w:t>
            </w: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Companies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vMerge w:val="continue"/>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vMerge w:val="continue"/>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40" w:type="dxa"/>
            <w:vAlign w:val="bottom"/>
            <w:gridSpan w:val="2"/>
          </w:tcPr>
          <w:p>
            <w:pPr>
              <w:ind w:left="20"/>
              <w:spacing w:after="0" w:line="88" w:lineRule="exact"/>
              <w:rPr>
                <w:sz w:val="20"/>
                <w:szCs w:val="20"/>
                <w:color w:val="auto"/>
              </w:rPr>
            </w:pPr>
            <w:r>
              <w:rPr>
                <w:rFonts w:ascii="Arial" w:cs="Arial" w:eastAsia="Arial" w:hAnsi="Arial"/>
                <w:sz w:val="10"/>
                <w:szCs w:val="10"/>
                <w:b w:val="1"/>
                <w:bCs w:val="1"/>
                <w:color w:val="auto"/>
                <w:w w:val="99"/>
              </w:rPr>
              <w:t>Investments in Controlled, Affiliated Portfolio Companies—</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40" w:type="dxa"/>
            <w:vAlign w:val="bottom"/>
          </w:tcPr>
          <w:p>
            <w:pPr>
              <w:ind w:left="20"/>
              <w:spacing w:after="0"/>
              <w:rPr>
                <w:sz w:val="20"/>
                <w:szCs w:val="20"/>
                <w:color w:val="auto"/>
              </w:rPr>
            </w:pPr>
            <w:r>
              <w:rPr>
                <w:rFonts w:ascii="Arial" w:cs="Arial" w:eastAsia="Arial" w:hAnsi="Arial"/>
                <w:sz w:val="11"/>
                <w:szCs w:val="11"/>
                <w:b w:val="1"/>
                <w:bCs w:val="1"/>
                <w:color w:val="auto"/>
                <w:w w:val="96"/>
              </w:rPr>
              <w:t>48.2%</w:t>
            </w:r>
          </w:p>
        </w:tc>
        <w:tc>
          <w:tcPr>
            <w:tcW w:w="2500" w:type="dxa"/>
            <w:vAlign w:val="bottom"/>
          </w:tcPr>
          <w:p>
            <w:pPr>
              <w:jc w:val="right"/>
              <w:ind w:right="2244"/>
              <w:spacing w:after="0"/>
              <w:rPr>
                <w:sz w:val="20"/>
                <w:szCs w:val="20"/>
                <w:color w:val="auto"/>
              </w:rPr>
            </w:pPr>
            <w:r>
              <w:rPr>
                <w:rFonts w:ascii="Arial" w:cs="Arial" w:eastAsia="Arial" w:hAnsi="Arial"/>
                <w:sz w:val="7"/>
                <w:szCs w:val="7"/>
                <w:b w:val="1"/>
                <w:bCs w:val="1"/>
                <w:color w:val="auto"/>
                <w:w w:val="95"/>
              </w:rPr>
              <w:t>(1), (2)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First Lien Secured Debt—7.4%</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840" w:type="dxa"/>
            <w:vAlign w:val="bottom"/>
            <w:gridSpan w:val="2"/>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820" w:type="dxa"/>
            <w:vAlign w:val="bottom"/>
            <w:gridSpan w:val="2"/>
          </w:tcPr>
          <w:p>
            <w:pPr>
              <w:ind w:left="240"/>
              <w:spacing w:after="0"/>
              <w:rPr>
                <w:sz w:val="20"/>
                <w:szCs w:val="20"/>
                <w:color w:val="auto"/>
              </w:rPr>
            </w:pPr>
            <w:r>
              <w:rPr>
                <w:rFonts w:ascii="Arial" w:cs="Arial" w:eastAsia="Arial" w:hAnsi="Arial"/>
                <w:sz w:val="11"/>
                <w:szCs w:val="11"/>
                <w:color w:val="auto"/>
              </w:rPr>
              <w:t>03/13/2024</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8.26 %</w:t>
            </w:r>
          </w:p>
        </w:tc>
        <w:tc>
          <w:tcPr>
            <w:tcW w:w="980" w:type="dxa"/>
            <w:vAlign w:val="bottom"/>
          </w:tcPr>
          <w:p>
            <w:pPr>
              <w:jc w:val="right"/>
              <w:spacing w:after="0"/>
              <w:rPr>
                <w:sz w:val="20"/>
                <w:szCs w:val="20"/>
                <w:color w:val="auto"/>
              </w:rPr>
            </w:pPr>
            <w:r>
              <w:rPr>
                <w:rFonts w:ascii="Arial" w:cs="Arial" w:eastAsia="Arial" w:hAnsi="Arial"/>
                <w:sz w:val="11"/>
                <w:szCs w:val="11"/>
                <w:color w:val="auto"/>
              </w:rPr>
              <w:t>3M L+700</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38,250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52,792</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46,453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4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52,792</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46,453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-7131685</wp:posOffset>
            </wp:positionV>
            <wp:extent cx="7132320" cy="857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-6703060</wp:posOffset>
            </wp:positionV>
            <wp:extent cx="713232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-6445885</wp:posOffset>
            </wp:positionV>
            <wp:extent cx="713232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-5931535</wp:posOffset>
            </wp:positionV>
            <wp:extent cx="713232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-5674360</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-5502910</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-4817110</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-4559935</wp:posOffset>
            </wp:positionV>
            <wp:extent cx="713232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-2588260</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18002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002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-1633855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-1042035</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-1042035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-681990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-433705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-433705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-5080</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color w:val="auto"/>
        </w:rPr>
        <w:t>SEE NOTES TO CONSOLIDATED FINANCIAL STATEMENTS</w:t>
      </w:r>
    </w:p>
    <w:p>
      <w:pPr>
        <w:sectPr>
          <w:pgSz w:w="11900" w:h="16838" w:orient="portrait"/>
          <w:cols w:equalWidth="0" w:num="1">
            <w:col w:w="9019"/>
          </w:cols>
          <w:pgMar w:left="1440" w:top="526" w:right="1440"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83185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(Unaudited)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-6985</wp:posOffset>
            </wp:positionV>
            <wp:extent cx="93980" cy="2565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93980" cy="25654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-6985</wp:posOffset>
            </wp:positionV>
            <wp:extent cx="93980" cy="2565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2565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2"/>
        </w:trPr>
        <w:tc>
          <w:tcPr>
            <w:tcW w:w="2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Maturity /</w:t>
            </w:r>
          </w:p>
        </w:tc>
        <w:tc>
          <w:tcPr>
            <w:tcW w:w="2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1"/>
                <w:szCs w:val="11"/>
                <w:b w:val="1"/>
                <w:bCs w:val="1"/>
                <w:color w:val="auto"/>
              </w:rPr>
              <w:t>Current</w:t>
            </w:r>
          </w:p>
        </w:tc>
        <w:tc>
          <w:tcPr>
            <w:tcW w:w="98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Basis Point</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1"/>
                <w:szCs w:val="11"/>
                <w:b w:val="1"/>
                <w:bCs w:val="1"/>
                <w:color w:val="auto"/>
                <w:w w:val="86"/>
              </w:rPr>
              <w:t xml:space="preserve">Fair Value </w:t>
            </w:r>
            <w:r>
              <w:rPr>
                <w:rFonts w:ascii="Arial" w:cs="Arial" w:eastAsia="Arial" w:hAnsi="Arial"/>
                <w:sz w:val="14"/>
                <w:szCs w:val="14"/>
                <w:b w:val="1"/>
                <w:bCs w:val="1"/>
                <w:color w:val="auto"/>
                <w:w w:val="86"/>
                <w:vertAlign w:val="superscript"/>
              </w:rPr>
              <w:t>(3)</w:t>
            </w:r>
          </w:p>
        </w:tc>
        <w:tc>
          <w:tcPr>
            <w:tcW w:w="0" w:type="dxa"/>
            <w:vAlign w:val="bottom"/>
          </w:tcPr>
          <w:p>
            <w:pPr>
              <w:spacing w:after="0"/>
              <w:rPr>
                <w:sz w:val="1"/>
                <w:szCs w:val="1"/>
                <w:color w:val="auto"/>
              </w:rPr>
            </w:pPr>
          </w:p>
        </w:tc>
      </w:tr>
      <w:tr>
        <w:trPr>
          <w:trHeight w:val="148"/>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2"/>
                <w:szCs w:val="12"/>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2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2"/>
                <w:szCs w:val="12"/>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98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Second Lien Secured Debt—1.0%</w:t>
            </w: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Mailsouth Inc.</w:t>
            </w:r>
          </w:p>
        </w:tc>
        <w:tc>
          <w:tcPr>
            <w:tcW w:w="820" w:type="dxa"/>
            <w:vAlign w:val="bottom"/>
            <w:gridSpan w:val="2"/>
          </w:tcPr>
          <w:p>
            <w:pPr>
              <w:ind w:left="240"/>
              <w:spacing w:after="0"/>
              <w:rPr>
                <w:sz w:val="20"/>
                <w:szCs w:val="20"/>
                <w:color w:val="auto"/>
              </w:rPr>
            </w:pPr>
            <w:r>
              <w:rPr>
                <w:rFonts w:ascii="Arial" w:cs="Arial" w:eastAsia="Arial" w:hAnsi="Arial"/>
                <w:sz w:val="11"/>
                <w:szCs w:val="11"/>
                <w:color w:val="auto"/>
              </w:rPr>
              <w:t>04/23/2025</w:t>
            </w:r>
          </w:p>
        </w:tc>
        <w:tc>
          <w:tcPr>
            <w:tcW w:w="260" w:type="dxa"/>
            <w:vAlign w:val="bottom"/>
          </w:tcPr>
          <w:p>
            <w:pPr>
              <w:spacing w:after="0"/>
              <w:rPr>
                <w:sz w:val="11"/>
                <w:szCs w:val="11"/>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0"/>
              </w:rPr>
              <w:t>Printing and Publishing</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12,383</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12,383</w:t>
            </w:r>
          </w:p>
        </w:tc>
        <w:tc>
          <w:tcPr>
            <w:tcW w:w="28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6,561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Borders>
              <w:top w:val="single" w:sz="8" w:color="CCECFF"/>
              <w:bottom w:val="single" w:sz="8" w:color="CCECFF"/>
            </w:tcBorders>
            <w:shd w:val="clear" w:color="auto" w:fill="CCECFF"/>
          </w:tcPr>
          <w:p>
            <w:pPr>
              <w:ind w:left="20"/>
              <w:spacing w:after="0" w:line="115" w:lineRule="exact"/>
              <w:rPr>
                <w:sz w:val="20"/>
                <w:szCs w:val="20"/>
                <w:color w:val="auto"/>
              </w:rPr>
            </w:pPr>
            <w:r>
              <w:rPr>
                <w:rFonts w:ascii="Arial" w:cs="Arial" w:eastAsia="Arial" w:hAnsi="Arial"/>
                <w:sz w:val="11"/>
                <w:szCs w:val="11"/>
                <w:b w:val="1"/>
                <w:bCs w:val="1"/>
                <w:color w:val="auto"/>
              </w:rPr>
              <w:t>Total Second Lien Secured Debt</w:t>
            </w: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680" w:type="dxa"/>
            <w:vAlign w:val="bottom"/>
            <w:tcBorders>
              <w:top w:val="single" w:sz="8" w:color="CCECFF"/>
              <w:bottom w:val="single" w:sz="8" w:color="CCECFF"/>
            </w:tcBorders>
            <w:shd w:val="clear" w:color="auto" w:fill="CCECFF"/>
          </w:tcPr>
          <w:p>
            <w:pPr>
              <w:spacing w:after="0"/>
              <w:rPr>
                <w:sz w:val="10"/>
                <w:szCs w:val="10"/>
                <w:color w:val="auto"/>
              </w:rPr>
            </w:pPr>
          </w:p>
        </w:tc>
        <w:tc>
          <w:tcPr>
            <w:tcW w:w="260" w:type="dxa"/>
            <w:vAlign w:val="bottom"/>
            <w:tcBorders>
              <w:top w:val="single" w:sz="8" w:color="CCECFF"/>
              <w:bottom w:val="single" w:sz="8" w:color="CCECFF"/>
            </w:tcBorders>
            <w:shd w:val="clear" w:color="auto" w:fill="CCECFF"/>
          </w:tcPr>
          <w:p>
            <w:pPr>
              <w:spacing w:after="0"/>
              <w:rPr>
                <w:sz w:val="10"/>
                <w:szCs w:val="10"/>
                <w:color w:val="auto"/>
              </w:rPr>
            </w:pPr>
          </w:p>
        </w:tc>
        <w:tc>
          <w:tcPr>
            <w:tcW w:w="2360" w:type="dxa"/>
            <w:vAlign w:val="bottom"/>
            <w:tcBorders>
              <w:top w:val="single" w:sz="8" w:color="CCECFF"/>
              <w:bottom w:val="single" w:sz="8" w:color="CCECFF"/>
            </w:tcBorders>
            <w:shd w:val="clear" w:color="auto" w:fill="CCECFF"/>
          </w:tcPr>
          <w:p>
            <w:pPr>
              <w:spacing w:after="0"/>
              <w:rPr>
                <w:sz w:val="10"/>
                <w:szCs w:val="10"/>
                <w:color w:val="auto"/>
              </w:rPr>
            </w:pPr>
          </w:p>
        </w:tc>
        <w:tc>
          <w:tcPr>
            <w:tcW w:w="120" w:type="dxa"/>
            <w:vAlign w:val="bottom"/>
            <w:tcBorders>
              <w:top w:val="single" w:sz="8" w:color="CCECFF"/>
              <w:bottom w:val="single" w:sz="8" w:color="CCECFF"/>
            </w:tcBorders>
            <w:shd w:val="clear" w:color="auto" w:fill="CCECFF"/>
          </w:tcPr>
          <w:p>
            <w:pPr>
              <w:spacing w:after="0"/>
              <w:rPr>
                <w:sz w:val="10"/>
                <w:szCs w:val="10"/>
                <w:color w:val="auto"/>
              </w:rPr>
            </w:pPr>
          </w:p>
        </w:tc>
        <w:tc>
          <w:tcPr>
            <w:tcW w:w="70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98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40" w:type="dxa"/>
            <w:vAlign w:val="bottom"/>
            <w:tcBorders>
              <w:top w:val="single" w:sz="8" w:color="CCECFF"/>
              <w:bottom w:val="single" w:sz="8" w:color="CCECFF"/>
            </w:tcBorders>
            <w:shd w:val="clear" w:color="auto" w:fill="CCECFF"/>
          </w:tcPr>
          <w:p>
            <w:pPr>
              <w:spacing w:after="0"/>
              <w:rPr>
                <w:sz w:val="10"/>
                <w:szCs w:val="10"/>
                <w:color w:val="auto"/>
              </w:rPr>
            </w:pPr>
          </w:p>
        </w:tc>
        <w:tc>
          <w:tcPr>
            <w:tcW w:w="560" w:type="dxa"/>
            <w:vAlign w:val="bottom"/>
            <w:tcBorders>
              <w:top w:val="single" w:sz="8" w:color="CCECFF"/>
              <w:bottom w:val="single" w:sz="8" w:color="CCECFF"/>
            </w:tcBorders>
            <w:shd w:val="clear" w:color="auto" w:fill="CCECFF"/>
          </w:tcPr>
          <w:p>
            <w:pPr>
              <w:spacing w:after="0"/>
              <w:rPr>
                <w:sz w:val="10"/>
                <w:szCs w:val="10"/>
                <w:color w:val="auto"/>
              </w:rPr>
            </w:pP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160" w:type="dxa"/>
            <w:vAlign w:val="bottom"/>
            <w:tcBorders>
              <w:top w:val="single" w:sz="8" w:color="auto"/>
              <w:bottom w:val="single" w:sz="8" w:color="auto"/>
            </w:tcBorders>
            <w:shd w:val="clear" w:color="auto" w:fill="CCECFF"/>
          </w:tcPr>
          <w:p>
            <w:pPr>
              <w:spacing w:after="0"/>
              <w:rPr>
                <w:sz w:val="10"/>
                <w:szCs w:val="10"/>
                <w:color w:val="auto"/>
              </w:rPr>
            </w:pPr>
          </w:p>
        </w:tc>
        <w:tc>
          <w:tcPr>
            <w:tcW w:w="58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Arial" w:cs="Arial" w:eastAsia="Arial" w:hAnsi="Arial"/>
                <w:sz w:val="11"/>
                <w:szCs w:val="11"/>
                <w:color w:val="auto"/>
              </w:rPr>
              <w:t>12,383</w:t>
            </w:r>
          </w:p>
        </w:tc>
        <w:tc>
          <w:tcPr>
            <w:tcW w:w="220" w:type="dxa"/>
            <w:vAlign w:val="bottom"/>
            <w:tcBorders>
              <w:top w:val="single" w:sz="8" w:color="CCECFF"/>
              <w:bottom w:val="single" w:sz="8" w:color="CCECFF"/>
            </w:tcBorders>
            <w:shd w:val="clear" w:color="auto" w:fill="CCECFF"/>
          </w:tcPr>
          <w:p>
            <w:pPr>
              <w:spacing w:after="0"/>
              <w:rPr>
                <w:sz w:val="10"/>
                <w:szCs w:val="10"/>
                <w:color w:val="auto"/>
              </w:rPr>
            </w:pPr>
          </w:p>
        </w:tc>
        <w:tc>
          <w:tcPr>
            <w:tcW w:w="60" w:type="dxa"/>
            <w:vAlign w:val="bottom"/>
            <w:tcBorders>
              <w:top w:val="single" w:sz="8" w:color="auto"/>
              <w:bottom w:val="single" w:sz="8" w:color="auto"/>
            </w:tcBorders>
            <w:shd w:val="clear" w:color="auto" w:fill="CCECFF"/>
          </w:tcPr>
          <w:p>
            <w:pPr>
              <w:spacing w:after="0"/>
              <w:rPr>
                <w:sz w:val="10"/>
                <w:szCs w:val="10"/>
                <w:color w:val="auto"/>
              </w:rPr>
            </w:pPr>
          </w:p>
        </w:tc>
        <w:tc>
          <w:tcPr>
            <w:tcW w:w="680" w:type="dxa"/>
            <w:vAlign w:val="bottom"/>
            <w:tcBorders>
              <w:top w:val="single" w:sz="8" w:color="auto"/>
              <w:bottom w:val="single" w:sz="8" w:color="auto"/>
            </w:tcBorders>
            <w:shd w:val="clear" w:color="auto" w:fill="CCECFF"/>
          </w:tcPr>
          <w:p>
            <w:pPr>
              <w:jc w:val="right"/>
              <w:spacing w:after="0" w:line="115" w:lineRule="exact"/>
              <w:rPr>
                <w:sz w:val="20"/>
                <w:szCs w:val="20"/>
                <w:color w:val="auto"/>
              </w:rPr>
            </w:pPr>
            <w:r>
              <w:rPr>
                <w:rFonts w:ascii="Arial" w:cs="Arial" w:eastAsia="Arial" w:hAnsi="Arial"/>
                <w:sz w:val="11"/>
                <w:szCs w:val="11"/>
                <w:color w:val="auto"/>
              </w:rPr>
              <w:t>6,561</w:t>
            </w:r>
          </w:p>
        </w:tc>
        <w:tc>
          <w:tcPr>
            <w:tcW w:w="100" w:type="dxa"/>
            <w:vAlign w:val="bottom"/>
            <w:tcBorders>
              <w:top w:val="single" w:sz="8" w:color="CCECFF"/>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840" w:type="dxa"/>
            <w:vAlign w:val="bottom"/>
          </w:tcPr>
          <w:p>
            <w:pPr>
              <w:ind w:left="20"/>
              <w:spacing w:after="0" w:line="99" w:lineRule="exact"/>
              <w:rPr>
                <w:sz w:val="20"/>
                <w:szCs w:val="20"/>
                <w:color w:val="auto"/>
              </w:rPr>
            </w:pPr>
            <w:r>
              <w:rPr>
                <w:rFonts w:ascii="Arial" w:cs="Arial" w:eastAsia="Arial" w:hAnsi="Arial"/>
                <w:sz w:val="11"/>
                <w:szCs w:val="11"/>
                <w:b w:val="1"/>
                <w:bCs w:val="1"/>
                <w:color w:val="auto"/>
              </w:rPr>
              <w:t>Subordinated Debt—13.9%</w:t>
            </w: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820" w:type="dxa"/>
            <w:vAlign w:val="bottom"/>
            <w:gridSpan w:val="2"/>
          </w:tcPr>
          <w:p>
            <w:pPr>
              <w:ind w:left="240"/>
              <w:spacing w:after="0"/>
              <w:rPr>
                <w:sz w:val="20"/>
                <w:szCs w:val="20"/>
                <w:color w:val="auto"/>
              </w:rPr>
            </w:pPr>
            <w:r>
              <w:rPr>
                <w:rFonts w:ascii="Arial" w:cs="Arial" w:eastAsia="Arial" w:hAnsi="Arial"/>
                <w:sz w:val="11"/>
                <w:szCs w:val="11"/>
                <w:color w:val="auto"/>
              </w:rPr>
              <w:t>07/31/2027</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040" w:type="dxa"/>
            <w:vAlign w:val="bottom"/>
            <w:gridSpan w:val="3"/>
          </w:tcPr>
          <w:p>
            <w:pPr>
              <w:jc w:val="right"/>
              <w:ind w:right="120"/>
              <w:spacing w:after="0"/>
              <w:rPr>
                <w:sz w:val="20"/>
                <w:szCs w:val="20"/>
                <w:color w:val="auto"/>
              </w:rPr>
            </w:pPr>
            <w:r>
              <w:rPr>
                <w:rFonts w:ascii="Arial" w:cs="Arial" w:eastAsia="Arial" w:hAnsi="Arial"/>
                <w:sz w:val="11"/>
                <w:szCs w:val="11"/>
                <w:color w:val="auto"/>
              </w:rPr>
              <w:t>9.29 %</w:t>
            </w:r>
          </w:p>
        </w:tc>
        <w:tc>
          <w:tcPr>
            <w:tcW w:w="980" w:type="dxa"/>
            <w:vAlign w:val="bottom"/>
          </w:tcPr>
          <w:p>
            <w:pPr>
              <w:jc w:val="right"/>
              <w:spacing w:after="0"/>
              <w:rPr>
                <w:sz w:val="20"/>
                <w:szCs w:val="20"/>
                <w:color w:val="auto"/>
              </w:rPr>
            </w:pPr>
            <w:r>
              <w:rPr>
                <w:rFonts w:ascii="Arial" w:cs="Arial" w:eastAsia="Arial" w:hAnsi="Arial"/>
                <w:sz w:val="11"/>
                <w:szCs w:val="11"/>
                <w:color w:val="auto"/>
              </w:rPr>
              <w:t>3M L+800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88,011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88,011</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84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Subordinated Debt</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88,011</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88,011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Equity—25.9%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MSpark,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51,151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16,516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PennantPark Senior Loan Fund, LLC</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9"/>
                <w:szCs w:val="9"/>
                <w:color w:val="auto"/>
              </w:rPr>
            </w:pPr>
          </w:p>
        </w:tc>
        <w:tc>
          <w:tcPr>
            <w:tcW w:w="2360" w:type="dxa"/>
            <w:vAlign w:val="bottom"/>
          </w:tcPr>
          <w:p>
            <w:pPr>
              <w:jc w:val="center"/>
              <w:spacing w:after="0" w:line="105" w:lineRule="exact"/>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9"/>
                <w:szCs w:val="9"/>
                <w:color w:val="auto"/>
              </w:rPr>
            </w:pP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1"/>
                <w:szCs w:val="11"/>
                <w:color w:val="auto"/>
              </w:rPr>
              <w:t>—</w:t>
            </w:r>
          </w:p>
        </w:tc>
        <w:tc>
          <w:tcPr>
            <w:tcW w:w="98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w w:val="94"/>
              </w:rPr>
              <w:t>49,298,789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5" w:lineRule="exact"/>
              <w:rPr>
                <w:sz w:val="20"/>
                <w:szCs w:val="20"/>
                <w:color w:val="auto"/>
              </w:rPr>
            </w:pPr>
            <w:r>
              <w:rPr>
                <w:rFonts w:ascii="Arial" w:cs="Arial" w:eastAsia="Arial" w:hAnsi="Arial"/>
                <w:sz w:val="11"/>
                <w:szCs w:val="11"/>
                <w:color w:val="auto"/>
              </w:rPr>
              <w:t>49,362</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1"/>
                <w:szCs w:val="11"/>
                <w:color w:val="auto"/>
              </w:rPr>
              <w:t>53,092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RAM Energy Holdings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1"/>
                <w:szCs w:val="11"/>
                <w:color w:val="auto"/>
                <w:w w:val="92"/>
              </w:rPr>
              <w:t>Energy and Utilities</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180,805</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162,708</w:t>
            </w: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109,469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Total Common Equity</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228,718</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163,674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840" w:type="dxa"/>
            <w:vAlign w:val="bottom"/>
            <w:shd w:val="clear" w:color="auto" w:fill="CCECFF"/>
          </w:tcPr>
          <w:p>
            <w:pPr>
              <w:ind w:left="20"/>
              <w:spacing w:after="0" w:line="88" w:lineRule="exact"/>
              <w:rPr>
                <w:sz w:val="20"/>
                <w:szCs w:val="20"/>
                <w:color w:val="auto"/>
              </w:rPr>
            </w:pPr>
            <w:r>
              <w:rPr>
                <w:rFonts w:ascii="Arial" w:cs="Arial" w:eastAsia="Arial" w:hAnsi="Arial"/>
                <w:sz w:val="10"/>
                <w:szCs w:val="10"/>
                <w:b w:val="1"/>
                <w:bCs w:val="1"/>
                <w:color w:val="auto"/>
              </w:rPr>
              <w:t>Total Investments in Controlled, Affiliated Portfolio</w:t>
            </w:r>
          </w:p>
        </w:tc>
        <w:tc>
          <w:tcPr>
            <w:tcW w:w="140" w:type="dxa"/>
            <w:vAlign w:val="bottom"/>
            <w:shd w:val="clear" w:color="auto" w:fill="CCECFF"/>
          </w:tcPr>
          <w:p>
            <w:pPr>
              <w:spacing w:after="0"/>
              <w:rPr>
                <w:sz w:val="7"/>
                <w:szCs w:val="7"/>
                <w:color w:val="auto"/>
              </w:rPr>
            </w:pPr>
          </w:p>
        </w:tc>
        <w:tc>
          <w:tcPr>
            <w:tcW w:w="680" w:type="dxa"/>
            <w:vAlign w:val="bottom"/>
            <w:shd w:val="clear" w:color="auto" w:fill="CCECFF"/>
          </w:tcPr>
          <w:p>
            <w:pPr>
              <w:spacing w:after="0"/>
              <w:rPr>
                <w:sz w:val="7"/>
                <w:szCs w:val="7"/>
                <w:color w:val="auto"/>
              </w:rPr>
            </w:pPr>
          </w:p>
        </w:tc>
        <w:tc>
          <w:tcPr>
            <w:tcW w:w="260" w:type="dxa"/>
            <w:vAlign w:val="bottom"/>
            <w:shd w:val="clear" w:color="auto" w:fill="CCECFF"/>
          </w:tcPr>
          <w:p>
            <w:pPr>
              <w:spacing w:after="0"/>
              <w:rPr>
                <w:sz w:val="7"/>
                <w:szCs w:val="7"/>
                <w:color w:val="auto"/>
              </w:rPr>
            </w:pPr>
          </w:p>
        </w:tc>
        <w:tc>
          <w:tcPr>
            <w:tcW w:w="2360" w:type="dxa"/>
            <w:vAlign w:val="bottom"/>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0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98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560" w:type="dxa"/>
            <w:vAlign w:val="bottom"/>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60" w:type="dxa"/>
            <w:vAlign w:val="bottom"/>
            <w:shd w:val="clear" w:color="auto" w:fill="CCECFF"/>
          </w:tcPr>
          <w:p>
            <w:pPr>
              <w:spacing w:after="0"/>
              <w:rPr>
                <w:sz w:val="7"/>
                <w:szCs w:val="7"/>
                <w:color w:val="auto"/>
              </w:rPr>
            </w:pP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381,904</w:t>
            </w:r>
          </w:p>
        </w:tc>
        <w:tc>
          <w:tcPr>
            <w:tcW w:w="220" w:type="dxa"/>
            <w:vAlign w:val="bottom"/>
            <w:shd w:val="clear" w:color="auto" w:fill="CCECFF"/>
          </w:tcPr>
          <w:p>
            <w:pPr>
              <w:spacing w:after="0"/>
              <w:rPr>
                <w:sz w:val="7"/>
                <w:szCs w:val="7"/>
                <w:color w:val="auto"/>
              </w:rPr>
            </w:pPr>
          </w:p>
        </w:tc>
        <w:tc>
          <w:tcPr>
            <w:tcW w:w="60" w:type="dxa"/>
            <w:vAlign w:val="bottom"/>
            <w:shd w:val="clear" w:color="auto" w:fill="CCECFF"/>
          </w:tcPr>
          <w:p>
            <w:pPr>
              <w:spacing w:after="0"/>
              <w:rPr>
                <w:sz w:val="7"/>
                <w:szCs w:val="7"/>
                <w:color w:val="auto"/>
              </w:rPr>
            </w:pPr>
          </w:p>
        </w:tc>
        <w:tc>
          <w:tcPr>
            <w:tcW w:w="68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304,699</w:t>
            </w: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Companies</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vMerge w:val="continue"/>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vMerge w:val="continue"/>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Total Investments—208.2%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1,379,696</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1,314,828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Equivalents—4.7%</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15,781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BNY Mellon Cash Reserve and Cash</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23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8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13,849</w:t>
            </w:r>
          </w:p>
        </w:tc>
        <w:tc>
          <w:tcPr>
            <w:tcW w:w="220" w:type="dxa"/>
            <w:vAlign w:val="bottom"/>
            <w:tcBorders>
              <w:bottom w:val="single" w:sz="8" w:color="CCECFF"/>
            </w:tcBorders>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13,766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29,630</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29,547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Equivalents—212.9%</w:t>
            </w:r>
          </w:p>
        </w:tc>
        <w:tc>
          <w:tcPr>
            <w:tcW w:w="140" w:type="dxa"/>
            <w:vAlign w:val="bottom"/>
            <w:tcBorders>
              <w:bottom w:val="single" w:sz="8" w:color="CCECFF"/>
            </w:tcBorders>
            <w:shd w:val="clear" w:color="auto" w:fill="CCECFF"/>
          </w:tcPr>
          <w:p>
            <w:pPr>
              <w:spacing w:after="0"/>
              <w:rPr>
                <w:sz w:val="14"/>
                <w:szCs w:val="14"/>
                <w:color w:val="auto"/>
              </w:rPr>
            </w:pPr>
          </w:p>
        </w:tc>
        <w:tc>
          <w:tcPr>
            <w:tcW w:w="6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23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9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1,409,326</w:t>
            </w:r>
          </w:p>
        </w:tc>
        <w:tc>
          <w:tcPr>
            <w:tcW w:w="220" w:type="dxa"/>
            <w:vAlign w:val="bottom"/>
            <w:tcBorders>
              <w:bottom w:val="single" w:sz="8" w:color="CCECFF"/>
            </w:tcBorders>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1,344,375</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840" w:type="dxa"/>
            <w:vAlign w:val="bottom"/>
          </w:tcPr>
          <w:p>
            <w:pPr>
              <w:ind w:left="20"/>
              <w:spacing w:after="0" w:line="116" w:lineRule="exact"/>
              <w:rPr>
                <w:sz w:val="20"/>
                <w:szCs w:val="20"/>
                <w:color w:val="auto"/>
              </w:rPr>
            </w:pPr>
            <w:r>
              <w:rPr>
                <w:rFonts w:ascii="Arial" w:cs="Arial" w:eastAsia="Arial" w:hAnsi="Arial"/>
                <w:sz w:val="11"/>
                <w:szCs w:val="11"/>
                <w:b w:val="1"/>
                <w:bCs w:val="1"/>
                <w:color w:val="auto"/>
              </w:rPr>
              <w:t>Liabilities in Excess of Other Assets—(112.9%)</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(712,865 )</w:t>
            </w:r>
          </w:p>
        </w:tc>
        <w:tc>
          <w:tcPr>
            <w:tcW w:w="0" w:type="dxa"/>
            <w:vAlign w:val="bottom"/>
          </w:tcPr>
          <w:p>
            <w:pPr>
              <w:spacing w:after="0"/>
              <w:rPr>
                <w:sz w:val="1"/>
                <w:szCs w:val="1"/>
                <w:color w:val="auto"/>
              </w:rPr>
            </w:pPr>
          </w:p>
        </w:tc>
      </w:tr>
      <w:tr>
        <w:trPr>
          <w:trHeight w:val="175"/>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14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23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9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5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631,510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6447155</wp:posOffset>
            </wp:positionH>
            <wp:positionV relativeFrom="paragraph">
              <wp:posOffset>-1829435</wp:posOffset>
            </wp:positionV>
            <wp:extent cx="93980" cy="1193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-1829435</wp:posOffset>
            </wp:positionV>
            <wp:extent cx="93980" cy="1193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3980" cy="1193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946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946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-767715</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-767715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-407670</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-407670</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-222250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-205105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360" w:right="20" w:hanging="339"/>
        <w:spacing w:after="0" w:line="181"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spacing w:after="0" w:line="28" w:lineRule="exact"/>
        <w:rPr>
          <w:rFonts w:ascii="Arial" w:cs="Arial" w:eastAsia="Arial" w:hAnsi="Arial"/>
          <w:sz w:val="20"/>
          <w:szCs w:val="20"/>
          <w:color w:val="auto"/>
          <w:vertAlign w:val="superscript"/>
        </w:rPr>
      </w:pPr>
    </w:p>
    <w:p>
      <w:pPr>
        <w:ind w:left="360" w:right="20" w:hanging="339"/>
        <w:spacing w:after="0" w:line="181"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60" w:hanging="339"/>
        <w:spacing w:after="0" w:line="183"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Valued based on our accounting policy (See Note 2).</w:t>
      </w:r>
    </w:p>
    <w:p>
      <w:pPr>
        <w:spacing w:after="0" w:line="37" w:lineRule="exact"/>
        <w:rPr>
          <w:rFonts w:ascii="Arial" w:cs="Arial" w:eastAsia="Arial" w:hAnsi="Arial"/>
          <w:sz w:val="20"/>
          <w:szCs w:val="20"/>
          <w:color w:val="auto"/>
          <w:vertAlign w:val="superscript"/>
        </w:rPr>
      </w:pPr>
    </w:p>
    <w:p>
      <w:pPr>
        <w:ind w:left="360" w:right="80" w:hanging="339"/>
        <w:spacing w:after="0" w:line="190" w:lineRule="auto"/>
        <w:tabs>
          <w:tab w:leader="none" w:pos="360" w:val="left"/>
        </w:tabs>
        <w:numPr>
          <w:ilvl w:val="0"/>
          <w:numId w:val="3"/>
        </w:numPr>
        <w:rPr>
          <w:rFonts w:ascii="Arial" w:cs="Arial" w:eastAsia="Arial" w:hAnsi="Arial"/>
          <w:sz w:val="22"/>
          <w:szCs w:val="22"/>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2" w:lineRule="exact"/>
        <w:rPr>
          <w:rFonts w:ascii="Arial" w:cs="Arial" w:eastAsia="Arial" w:hAnsi="Arial"/>
          <w:sz w:val="22"/>
          <w:szCs w:val="22"/>
          <w:color w:val="auto"/>
          <w:vertAlign w:val="superscript"/>
        </w:rPr>
      </w:pPr>
    </w:p>
    <w:p>
      <w:pPr>
        <w:ind w:left="360" w:hanging="339"/>
        <w:spacing w:after="0" w:line="183"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20"/>
          <w:szCs w:val="20"/>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Non-income producing securities.</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Non-U.S. company or principal place of business outside the United States.</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Investment is held through our Taxable Subsidiary (See Note 1).</w:t>
      </w:r>
    </w:p>
    <w:p>
      <w:pPr>
        <w:spacing w:after="0" w:line="37" w:lineRule="exact"/>
        <w:rPr>
          <w:rFonts w:ascii="Arial" w:cs="Arial" w:eastAsia="Arial" w:hAnsi="Arial"/>
          <w:sz w:val="16"/>
          <w:szCs w:val="16"/>
          <w:color w:val="auto"/>
          <w:vertAlign w:val="superscript"/>
        </w:rPr>
      </w:pPr>
    </w:p>
    <w:p>
      <w:pPr>
        <w:ind w:left="360" w:hanging="339"/>
        <w:spacing w:after="0" w:line="180" w:lineRule="auto"/>
        <w:tabs>
          <w:tab w:leader="none" w:pos="360" w:val="left"/>
        </w:tabs>
        <w:numPr>
          <w:ilvl w:val="0"/>
          <w:numId w:val="3"/>
        </w:numPr>
        <w:rPr>
          <w:rFonts w:ascii="Arial" w:cs="Arial" w:eastAsia="Arial" w:hAnsi="Arial"/>
          <w:sz w:val="16"/>
          <w:szCs w:val="16"/>
          <w:color w:val="auto"/>
          <w:vertAlign w:val="superscript"/>
        </w:rPr>
      </w:pPr>
      <w:r>
        <w:rPr>
          <w:rFonts w:ascii="Arial" w:cs="Arial" w:eastAsia="Arial" w:hAnsi="Arial"/>
          <w:sz w:val="9"/>
          <w:szCs w:val="9"/>
          <w:color w:val="auto"/>
        </w:rPr>
        <w:t>Par / Shares amount is denominated in British Pounds (£) as denoted.</w:t>
      </w:r>
    </w:p>
    <w:p>
      <w:pPr>
        <w:spacing w:after="0" w:line="37" w:lineRule="exact"/>
        <w:rPr>
          <w:rFonts w:ascii="Arial" w:cs="Arial" w:eastAsia="Arial" w:hAnsi="Arial"/>
          <w:sz w:val="16"/>
          <w:szCs w:val="16"/>
          <w:color w:val="auto"/>
          <w:vertAlign w:val="superscript"/>
        </w:rPr>
      </w:pPr>
    </w:p>
    <w:p>
      <w:pPr>
        <w:ind w:left="360" w:right="40" w:hanging="339"/>
        <w:spacing w:after="0" w:line="186" w:lineRule="auto"/>
        <w:tabs>
          <w:tab w:leader="none" w:pos="360" w:val="left"/>
        </w:tabs>
        <w:numPr>
          <w:ilvl w:val="0"/>
          <w:numId w:val="3"/>
        </w:numPr>
        <w:rPr>
          <w:rFonts w:ascii="Arial" w:cs="Arial" w:eastAsia="Arial" w:hAnsi="Arial"/>
          <w:sz w:val="19"/>
          <w:szCs w:val="19"/>
          <w:color w:val="auto"/>
          <w:vertAlign w:val="superscript"/>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2022, qualifying assets represent 83% of the Company’s total assets and non-qualifying assets represent 17%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1"/>
                <w:szCs w:val="11"/>
                <w:b w:val="1"/>
                <w:bCs w:val="1"/>
                <w:color w:val="auto"/>
              </w:rPr>
              <w:t>Current</w:t>
            </w: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8"/>
                <w:szCs w:val="8"/>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70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(3)</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30"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7"/>
              </w:rPr>
              <w:t>Investments in Non-Controlled, Non-Affiliated Portfolio</w:t>
            </w:r>
          </w:p>
        </w:tc>
        <w:tc>
          <w:tcPr>
            <w:tcW w:w="740" w:type="dxa"/>
            <w:vAlign w:val="bottom"/>
            <w:gridSpan w:val="2"/>
          </w:tcPr>
          <w:p>
            <w:pPr>
              <w:spacing w:after="0"/>
              <w:rPr>
                <w:sz w:val="20"/>
                <w:szCs w:val="20"/>
                <w:color w:val="auto"/>
              </w:rPr>
            </w:pPr>
            <w:r>
              <w:rPr>
                <w:rFonts w:ascii="Arial" w:cs="Arial" w:eastAsia="Arial" w:hAnsi="Arial"/>
                <w:sz w:val="10"/>
                <w:szCs w:val="10"/>
                <w:b w:val="1"/>
                <w:bCs w:val="1"/>
                <w:color w:val="auto"/>
                <w:w w:val="73"/>
              </w:rPr>
              <w:t>Companies—124.3%</w:t>
            </w:r>
          </w:p>
        </w:tc>
        <w:tc>
          <w:tcPr>
            <w:tcW w:w="2620" w:type="dxa"/>
            <w:vAlign w:val="bottom"/>
            <w:gridSpan w:val="2"/>
          </w:tcPr>
          <w:p>
            <w:pPr>
              <w:jc w:val="right"/>
              <w:ind w:right="2306"/>
              <w:spacing w:after="0" w:line="61" w:lineRule="exact"/>
              <w:rPr>
                <w:sz w:val="20"/>
                <w:szCs w:val="20"/>
                <w:color w:val="auto"/>
              </w:rPr>
            </w:pPr>
            <w:r>
              <w:rPr>
                <w:rFonts w:ascii="Arial" w:cs="Arial" w:eastAsia="Arial" w:hAnsi="Arial"/>
                <w:sz w:val="7"/>
                <w:szCs w:val="7"/>
                <w:b w:val="1"/>
                <w:bCs w:val="1"/>
                <w:color w:val="auto"/>
              </w:rPr>
              <w:t>(1), (2)</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840" w:type="dxa"/>
            <w:vAlign w:val="bottom"/>
          </w:tcPr>
          <w:p>
            <w:pPr>
              <w:ind w:left="20"/>
              <w:spacing w:after="0"/>
              <w:rPr>
                <w:sz w:val="20"/>
                <w:szCs w:val="20"/>
                <w:color w:val="auto"/>
              </w:rPr>
            </w:pPr>
            <w:r>
              <w:rPr>
                <w:rFonts w:ascii="Arial" w:cs="Arial" w:eastAsia="Arial" w:hAnsi="Arial"/>
                <w:sz w:val="11"/>
                <w:szCs w:val="11"/>
                <w:b w:val="1"/>
                <w:bCs w:val="1"/>
                <w:color w:val="auto"/>
              </w:rPr>
              <w:t>First Lien Secured Debt—77.5%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18 Freemont Street Acquisition, LLC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08/11/2025</w:t>
            </w:r>
          </w:p>
        </w:tc>
        <w:tc>
          <w:tcPr>
            <w:tcW w:w="12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7,433</w:t>
            </w:r>
          </w:p>
        </w:tc>
        <w:tc>
          <w:tcPr>
            <w:tcW w:w="38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6,815</w:t>
            </w:r>
          </w:p>
        </w:tc>
        <w:tc>
          <w:tcPr>
            <w:tcW w:w="440" w:type="dxa"/>
            <w:vAlign w:val="bottom"/>
            <w:gridSpan w:val="2"/>
            <w:shd w:val="clear" w:color="auto" w:fill="CCECFF"/>
          </w:tcPr>
          <w:p>
            <w:pPr>
              <w:jc w:val="right"/>
              <w:ind w:right="86"/>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Ad.net Acquisition, LLC (Revolver)</w:t>
            </w:r>
          </w:p>
        </w:tc>
        <w:tc>
          <w:tcPr>
            <w:tcW w:w="740" w:type="dxa"/>
            <w:vAlign w:val="bottom"/>
            <w:gridSpan w:val="2"/>
          </w:tcPr>
          <w:p>
            <w:pPr>
              <w:ind w:left="180"/>
              <w:spacing w:after="0" w:line="105" w:lineRule="exact"/>
              <w:rPr>
                <w:sz w:val="20"/>
                <w:szCs w:val="20"/>
                <w:color w:val="auto"/>
              </w:rPr>
            </w:pPr>
            <w:r>
              <w:rPr>
                <w:rFonts w:ascii="Arial" w:cs="Arial" w:eastAsia="Arial" w:hAnsi="Arial"/>
                <w:sz w:val="11"/>
                <w:szCs w:val="11"/>
                <w:color w:val="auto"/>
                <w:w w:val="98"/>
              </w:rPr>
              <w:t>05/06/2026</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76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76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Ad.net Acquisition,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05/06/2026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Altamira Technologies, LLC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07/24/2025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50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07/24/2025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(9 )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American Insulated Glass, LLC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12/21/2023</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2"/>
              </w:rPr>
              <w:t>Building Materials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6.50 %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15,795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15,639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15,637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Any Hour Services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07/21/2027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3,824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(38 )</w:t>
            </w: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Any Hour Services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07/21/2027</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1,147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07/31/2025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6.25 %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Apex Service Partners, LLC Term Loan C</w:t>
            </w:r>
          </w:p>
        </w:tc>
        <w:tc>
          <w:tcPr>
            <w:tcW w:w="740" w:type="dxa"/>
            <w:vAlign w:val="bottom"/>
            <w:gridSpan w:val="2"/>
          </w:tcPr>
          <w:p>
            <w:pPr>
              <w:ind w:left="180"/>
              <w:spacing w:after="0" w:line="105" w:lineRule="exact"/>
              <w:rPr>
                <w:sz w:val="20"/>
                <w:szCs w:val="20"/>
                <w:color w:val="auto"/>
              </w:rPr>
            </w:pPr>
            <w:r>
              <w:rPr>
                <w:rFonts w:ascii="Arial" w:cs="Arial" w:eastAsia="Arial" w:hAnsi="Arial"/>
                <w:sz w:val="11"/>
                <w:szCs w:val="11"/>
                <w:color w:val="auto"/>
                <w:w w:val="98"/>
              </w:rPr>
              <w:t>07/31/2025</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5,592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5,509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5,536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Apex Service Partners, LLC Term Loan 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01/31/2022</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6,658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Apex Service Partners, LLC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07/29/2024</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239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239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235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Apex Service Partners,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07/29/2024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Applied Technical Services, LLC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06/29/2022</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(55 )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Applied Technical Services,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12/29/2026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(20 )</w:t>
            </w:r>
          </w:p>
        </w:tc>
        <w:tc>
          <w:tcPr>
            <w:tcW w:w="0" w:type="dxa"/>
            <w:vAlign w:val="bottom"/>
          </w:tcPr>
          <w:p>
            <w:pPr>
              <w:spacing w:after="0"/>
              <w:rPr>
                <w:sz w:val="1"/>
                <w:szCs w:val="1"/>
                <w:color w:val="auto"/>
              </w:rPr>
            </w:pPr>
          </w:p>
        </w:tc>
      </w:tr>
      <w:tr>
        <w:trPr>
          <w:trHeight w:val="140"/>
        </w:trPr>
        <w:tc>
          <w:tcPr>
            <w:tcW w:w="2840" w:type="dxa"/>
            <w:vAlign w:val="bottom"/>
          </w:tcPr>
          <w:p>
            <w:pPr>
              <w:ind w:left="20"/>
              <w:spacing w:after="0"/>
              <w:rPr>
                <w:sz w:val="20"/>
                <w:szCs w:val="20"/>
                <w:color w:val="auto"/>
              </w:rPr>
            </w:pPr>
            <w:r>
              <w:rPr>
                <w:rFonts w:ascii="Arial" w:cs="Arial" w:eastAsia="Arial" w:hAnsi="Arial"/>
                <w:sz w:val="11"/>
                <w:szCs w:val="11"/>
                <w:color w:val="auto"/>
              </w:rPr>
              <w:t>Bottom Line Systems, LLC</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02/13/2023</w:t>
            </w:r>
          </w:p>
        </w:tc>
        <w:tc>
          <w:tcPr>
            <w:tcW w:w="120" w:type="dxa"/>
            <w:vAlign w:val="bottom"/>
          </w:tcPr>
          <w:p>
            <w:pPr>
              <w:spacing w:after="0"/>
              <w:rPr>
                <w:sz w:val="12"/>
                <w:szCs w:val="12"/>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6,153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6,128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Broder Bros., Co.</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12/02/2022</w:t>
            </w:r>
          </w:p>
        </w:tc>
        <w:tc>
          <w:tcPr>
            <w:tcW w:w="12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25,333</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25,333</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25,333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CF512, Inc.</w:t>
            </w:r>
          </w:p>
        </w:tc>
        <w:tc>
          <w:tcPr>
            <w:tcW w:w="740" w:type="dxa"/>
            <w:vAlign w:val="bottom"/>
            <w:gridSpan w:val="2"/>
          </w:tcPr>
          <w:p>
            <w:pPr>
              <w:ind w:left="180"/>
              <w:spacing w:after="0" w:line="105" w:lineRule="exact"/>
              <w:rPr>
                <w:sz w:val="20"/>
                <w:szCs w:val="20"/>
                <w:color w:val="auto"/>
              </w:rPr>
            </w:pPr>
            <w:r>
              <w:rPr>
                <w:rFonts w:ascii="Arial" w:cs="Arial" w:eastAsia="Arial" w:hAnsi="Arial"/>
                <w:sz w:val="11"/>
                <w:szCs w:val="11"/>
                <w:color w:val="auto"/>
                <w:w w:val="98"/>
              </w:rPr>
              <w:t>08/20/2026</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10,000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9,802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9,800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CF512, Inc.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08/20/2026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2,727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(27 )</w:t>
            </w: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CF512, Inc.(Revolver)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08/20/2026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Compex Legal Services, Inc.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02/09/2026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6.75 %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3,570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3,514</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Compex Legal Services, Inc. (Revolver)</w:t>
            </w:r>
          </w:p>
        </w:tc>
        <w:tc>
          <w:tcPr>
            <w:tcW w:w="740" w:type="dxa"/>
            <w:vAlign w:val="bottom"/>
            <w:gridSpan w:val="2"/>
          </w:tcPr>
          <w:p>
            <w:pPr>
              <w:ind w:left="180"/>
              <w:spacing w:after="0" w:line="105" w:lineRule="exact"/>
              <w:rPr>
                <w:sz w:val="20"/>
                <w:szCs w:val="20"/>
                <w:color w:val="auto"/>
              </w:rPr>
            </w:pPr>
            <w:r>
              <w:rPr>
                <w:rFonts w:ascii="Arial" w:cs="Arial" w:eastAsia="Arial" w:hAnsi="Arial"/>
                <w:sz w:val="11"/>
                <w:szCs w:val="11"/>
                <w:color w:val="auto"/>
                <w:w w:val="98"/>
              </w:rPr>
              <w:t>02/07/2025</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459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459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454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02/07/2025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07/13/2027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11,766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11,760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01/13/2023</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3,158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(32 )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Connatix Buyer, Inc.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07/13/2027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186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Connatix Buyer,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07/13/2027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Crane 1 Services,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08/16/2027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1,847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1,820</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1,829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Crane 1 Services, Inc.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08/16/2023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Crane 1 Services,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08/16/2027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Crash Champions, LLC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08/05/2025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0"/>
              </w:rPr>
              <w:t>Auto Sector</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4,751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4,704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4,656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Crash Champions, LLC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05/14/2022</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6,749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(67 )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DermaRite Industries LLC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03/03/2022</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Dr. Squatch, LLC</w:t>
            </w:r>
          </w:p>
        </w:tc>
        <w:tc>
          <w:tcPr>
            <w:tcW w:w="740" w:type="dxa"/>
            <w:vAlign w:val="bottom"/>
            <w:gridSpan w:val="2"/>
          </w:tcPr>
          <w:p>
            <w:pPr>
              <w:ind w:left="180"/>
              <w:spacing w:after="0" w:line="125" w:lineRule="exact"/>
              <w:rPr>
                <w:sz w:val="20"/>
                <w:szCs w:val="20"/>
                <w:color w:val="auto"/>
              </w:rPr>
            </w:pPr>
            <w:r>
              <w:rPr>
                <w:rFonts w:ascii="Arial" w:cs="Arial" w:eastAsia="Arial" w:hAnsi="Arial"/>
                <w:sz w:val="11"/>
                <w:szCs w:val="11"/>
                <w:color w:val="auto"/>
                <w:w w:val="98"/>
              </w:rPr>
              <w:t>08/27/2026</w:t>
            </w:r>
          </w:p>
        </w:tc>
        <w:tc>
          <w:tcPr>
            <w:tcW w:w="120" w:type="dxa"/>
            <w:vAlign w:val="bottom"/>
          </w:tcPr>
          <w:p>
            <w:pPr>
              <w:spacing w:after="0"/>
              <w:rPr>
                <w:sz w:val="10"/>
                <w:szCs w:val="10"/>
                <w:color w:val="auto"/>
              </w:rPr>
            </w:pPr>
          </w:p>
        </w:tc>
        <w:tc>
          <w:tcPr>
            <w:tcW w:w="2500" w:type="dxa"/>
            <w:vAlign w:val="bottom"/>
          </w:tcPr>
          <w:p>
            <w:pPr>
              <w:jc w:val="center"/>
              <w:spacing w:after="0" w:line="125" w:lineRule="exact"/>
              <w:rPr>
                <w:sz w:val="20"/>
                <w:szCs w:val="20"/>
                <w:color w:val="auto"/>
              </w:rPr>
            </w:pPr>
            <w:r>
              <w:rPr>
                <w:rFonts w:ascii="Arial" w:cs="Arial" w:eastAsia="Arial" w:hAnsi="Arial"/>
                <w:sz w:val="11"/>
                <w:szCs w:val="11"/>
                <w:color w:val="auto"/>
                <w:w w:val="88"/>
              </w:rPr>
              <w:t>Personal and Non-Durable Consumer Products</w:t>
            </w:r>
          </w:p>
        </w:tc>
        <w:tc>
          <w:tcPr>
            <w:tcW w:w="108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13,515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13,247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13,244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Dr. Squatch, LLC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08/27/2026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8"/>
              </w:rPr>
              <w:t>Personal and Non-Durable Consumer Products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1,706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1,706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1,671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 Squatch,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08/27/2026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8"/>
              </w:rPr>
              <w:t>Personal and Non-Durable Consumer Products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DRS Holdings III,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11/03/2025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9,975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9,882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9,905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11/03/2025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1,783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(12 )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ECL Entertainment, LLC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03/31/2028</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Hotels, Motels, Inns and Gaming</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8.25 %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8,747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8,664</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8,944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ECM Industries,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12/23/2025</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518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Fairbanks Morse Defense</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06/17/2028</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5.50 %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3,487</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Gantech Acquisition Corp.</w:t>
            </w:r>
          </w:p>
        </w:tc>
        <w:tc>
          <w:tcPr>
            <w:tcW w:w="740" w:type="dxa"/>
            <w:vAlign w:val="bottom"/>
            <w:gridSpan w:val="2"/>
          </w:tcPr>
          <w:p>
            <w:pPr>
              <w:ind w:left="180"/>
              <w:spacing w:after="0" w:line="125" w:lineRule="exact"/>
              <w:rPr>
                <w:sz w:val="20"/>
                <w:szCs w:val="20"/>
                <w:color w:val="auto"/>
              </w:rPr>
            </w:pPr>
            <w:r>
              <w:rPr>
                <w:rFonts w:ascii="Arial" w:cs="Arial" w:eastAsia="Arial" w:hAnsi="Arial"/>
                <w:sz w:val="11"/>
                <w:szCs w:val="11"/>
                <w:color w:val="auto"/>
                <w:w w:val="98"/>
              </w:rPr>
              <w:t>05/14/2026</w:t>
            </w:r>
          </w:p>
        </w:tc>
        <w:tc>
          <w:tcPr>
            <w:tcW w:w="120" w:type="dxa"/>
            <w:vAlign w:val="bottom"/>
          </w:tcPr>
          <w:p>
            <w:pPr>
              <w:spacing w:after="0"/>
              <w:rPr>
                <w:sz w:val="10"/>
                <w:szCs w:val="10"/>
                <w:color w:val="auto"/>
              </w:rPr>
            </w:pPr>
          </w:p>
        </w:tc>
        <w:tc>
          <w:tcPr>
            <w:tcW w:w="250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19,900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19,522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19,502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Gantech Acquisition Corp.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05/14/2026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498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Gantech Acquisition Corp.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05/14/2026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1,493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Graffiti Buyer,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08/10/2027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1,994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1,955</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1,964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08/10/2023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Graffiti Buyer,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08/10/2027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Hancock Roofing and Construction L.L.C.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12/31/2022</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Roofing and Construction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12/31/2026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HW Holdco, LLC</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12/10/2024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5.50 %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2,541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2,526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HW Holdco, LLC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12/10/2024</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5.50 %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1,219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1,219</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1,207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12/10/2024</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2,168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(22 )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IG Investments Holdings, LLC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09/22/2028</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4,518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4,428</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4,428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IG Investments Holdings,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09/22/2027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IMIA Holdings,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04/09/2027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13,589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13,341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13,317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04/09/2027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1,674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Integrity Marketing Acquisition, LLC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08/27/2025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Insurance</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6.49 %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17,220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17,116</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17,134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Integrity Marketing Acquisition, LLC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07/09/2023</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4,278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Juniper Landscaping of Florida, LLC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12/22/2021</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6.50 %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2,615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2,611</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K2 Pure Solutions NoCal, L.P.</w:t>
            </w:r>
          </w:p>
        </w:tc>
        <w:tc>
          <w:tcPr>
            <w:tcW w:w="740" w:type="dxa"/>
            <w:vAlign w:val="bottom"/>
            <w:gridSpan w:val="2"/>
          </w:tcPr>
          <w:p>
            <w:pPr>
              <w:ind w:left="180"/>
              <w:spacing w:after="0" w:line="125" w:lineRule="exact"/>
              <w:rPr>
                <w:sz w:val="20"/>
                <w:szCs w:val="20"/>
                <w:color w:val="auto"/>
              </w:rPr>
            </w:pPr>
            <w:r>
              <w:rPr>
                <w:rFonts w:ascii="Arial" w:cs="Arial" w:eastAsia="Arial" w:hAnsi="Arial"/>
                <w:sz w:val="11"/>
                <w:szCs w:val="11"/>
                <w:color w:val="auto"/>
                <w:w w:val="98"/>
              </w:rPr>
              <w:t>12/20/2023</w:t>
            </w:r>
          </w:p>
        </w:tc>
        <w:tc>
          <w:tcPr>
            <w:tcW w:w="120" w:type="dxa"/>
            <w:vAlign w:val="bottom"/>
          </w:tcPr>
          <w:p>
            <w:pPr>
              <w:spacing w:after="0"/>
              <w:rPr>
                <w:sz w:val="10"/>
                <w:szCs w:val="10"/>
                <w:color w:val="auto"/>
              </w:rPr>
            </w:pPr>
          </w:p>
        </w:tc>
        <w:tc>
          <w:tcPr>
            <w:tcW w:w="2500" w:type="dxa"/>
            <w:vAlign w:val="bottom"/>
          </w:tcPr>
          <w:p>
            <w:pPr>
              <w:jc w:val="center"/>
              <w:spacing w:after="0" w:line="12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11,800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11,712</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11,486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K2 Pure Solutions NoCal, L.P. (Revolver)</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12/20/2023</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872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872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849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12/20/2023</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(28 )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Lash OpCo, LLC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02/18/2027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29,335</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Lash OpCo, LLC (Revolver)</w:t>
            </w:r>
          </w:p>
        </w:tc>
        <w:tc>
          <w:tcPr>
            <w:tcW w:w="740" w:type="dxa"/>
            <w:vAlign w:val="bottom"/>
            <w:gridSpan w:val="2"/>
          </w:tcPr>
          <w:p>
            <w:pPr>
              <w:ind w:left="180"/>
              <w:spacing w:after="0" w:line="105" w:lineRule="exact"/>
              <w:rPr>
                <w:sz w:val="20"/>
                <w:szCs w:val="20"/>
                <w:color w:val="auto"/>
              </w:rPr>
            </w:pPr>
            <w:r>
              <w:rPr>
                <w:rFonts w:ascii="Arial" w:cs="Arial" w:eastAsia="Arial" w:hAnsi="Arial"/>
                <w:sz w:val="11"/>
                <w:szCs w:val="11"/>
                <w:color w:val="auto"/>
                <w:w w:val="98"/>
              </w:rPr>
              <w:t>08/16/2026</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6"/>
              </w:rPr>
              <w:t>Consumer Products</w:t>
            </w:r>
          </w:p>
        </w:tc>
        <w:tc>
          <w:tcPr>
            <w:tcW w:w="108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1M L+700</w:t>
            </w:r>
          </w:p>
        </w:tc>
        <w:tc>
          <w:tcPr>
            <w:tcW w:w="92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291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291</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285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08/19/2026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(31 )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10/31/2024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8.50 %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790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785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(PIK 5.00%)</w:t>
            </w: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Lightspeed Buyer Inc.</w:t>
            </w:r>
          </w:p>
        </w:tc>
        <w:tc>
          <w:tcPr>
            <w:tcW w:w="740" w:type="dxa"/>
            <w:vAlign w:val="bottom"/>
            <w:gridSpan w:val="2"/>
          </w:tcPr>
          <w:p>
            <w:pPr>
              <w:ind w:left="180"/>
              <w:spacing w:after="0" w:line="115" w:lineRule="exact"/>
              <w:rPr>
                <w:sz w:val="20"/>
                <w:szCs w:val="20"/>
                <w:color w:val="auto"/>
              </w:rPr>
            </w:pPr>
            <w:r>
              <w:rPr>
                <w:rFonts w:ascii="Arial" w:cs="Arial" w:eastAsia="Arial" w:hAnsi="Arial"/>
                <w:sz w:val="11"/>
                <w:szCs w:val="11"/>
                <w:color w:val="auto"/>
                <w:w w:val="98"/>
              </w:rPr>
              <w:t>02/03/2026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4,994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4,922</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4,994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Lightspeed Buyer Inc. (Revolver) </w:t>
            </w:r>
            <w:r>
              <w:rPr>
                <w:rFonts w:ascii="Arial" w:cs="Arial" w:eastAsia="Arial" w:hAnsi="Arial"/>
                <w:sz w:val="14"/>
                <w:szCs w:val="14"/>
                <w:color w:val="auto"/>
                <w:vertAlign w:val="superscript"/>
              </w:rPr>
              <w:t>(7)</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02/03/2026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1,166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Lombart Brothers, Inc.</w:t>
            </w:r>
          </w:p>
        </w:tc>
        <w:tc>
          <w:tcPr>
            <w:tcW w:w="740" w:type="dxa"/>
            <w:vAlign w:val="bottom"/>
            <w:gridSpan w:val="2"/>
            <w:shd w:val="clear" w:color="auto" w:fill="CCECFF"/>
          </w:tcPr>
          <w:p>
            <w:pPr>
              <w:ind w:left="180"/>
              <w:spacing w:after="0"/>
              <w:rPr>
                <w:sz w:val="20"/>
                <w:szCs w:val="20"/>
                <w:color w:val="auto"/>
              </w:rPr>
            </w:pPr>
            <w:r>
              <w:rPr>
                <w:rFonts w:ascii="Arial" w:cs="Arial" w:eastAsia="Arial" w:hAnsi="Arial"/>
                <w:sz w:val="11"/>
                <w:szCs w:val="11"/>
                <w:color w:val="auto"/>
                <w:w w:val="98"/>
              </w:rPr>
              <w:t>04/13/2023</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1,036</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40" w:type="dxa"/>
            <w:vAlign w:val="bottom"/>
          </w:tcPr>
          <w:p>
            <w:pPr>
              <w:ind w:left="20"/>
              <w:spacing w:after="0"/>
              <w:rPr>
                <w:sz w:val="20"/>
                <w:szCs w:val="20"/>
                <w:color w:val="auto"/>
              </w:rPr>
            </w:pPr>
            <w:r>
              <w:rPr>
                <w:rFonts w:ascii="Arial" w:cs="Arial" w:eastAsia="Arial" w:hAnsi="Arial"/>
                <w:sz w:val="11"/>
                <w:szCs w:val="11"/>
                <w:color w:val="auto"/>
              </w:rPr>
              <w:t>Lombart Brothers, Inc. (Revolver)</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w w:val="98"/>
              </w:rPr>
              <w:t>04/13/2023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80" w:type="dxa"/>
            <w:vAlign w:val="bottom"/>
            <w:gridSpan w:val="3"/>
          </w:tcPr>
          <w:p>
            <w:pPr>
              <w:jc w:val="right"/>
              <w:ind w:right="140"/>
              <w:spacing w:after="0"/>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737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-6266815</wp:posOffset>
            </wp:positionV>
            <wp:extent cx="7132320" cy="939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-5915025</wp:posOffset>
            </wp:positionV>
            <wp:extent cx="7132320" cy="85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-5743575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-5572125</wp:posOffset>
            </wp:positionV>
            <wp:extent cx="7132320" cy="857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-5229225</wp:posOffset>
            </wp:positionV>
            <wp:extent cx="7132320" cy="857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-5057775</wp:posOffset>
            </wp:positionV>
            <wp:extent cx="7132320" cy="857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-4886325</wp:posOffset>
            </wp:positionV>
            <wp:extent cx="7132320" cy="857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-4543425</wp:posOffset>
            </wp:positionV>
            <wp:extent cx="7132320" cy="857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-4200525</wp:posOffset>
            </wp:positionV>
            <wp:extent cx="7132320" cy="857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-4029075</wp:posOffset>
            </wp:positionV>
            <wp:extent cx="7132320" cy="857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-3857625</wp:posOffset>
            </wp:positionV>
            <wp:extent cx="7132320" cy="857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-3686175</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-3514725</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-3171825</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-3000375</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-2828925</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-2486025</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-2314575</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-1971675</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-1457325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-1285875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-942975</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Maturity /</w:t>
            </w:r>
          </w:p>
        </w:tc>
        <w:tc>
          <w:tcPr>
            <w:tcW w:w="1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11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240" w:type="dxa"/>
            <w:vAlign w:val="bottom"/>
          </w:tcPr>
          <w:p>
            <w:pPr>
              <w:spacing w:after="0"/>
              <w:rPr>
                <w:sz w:val="8"/>
                <w:szCs w:val="8"/>
                <w:color w:val="auto"/>
              </w:rPr>
            </w:pPr>
          </w:p>
        </w:tc>
        <w:tc>
          <w:tcPr>
            <w:tcW w:w="70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0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142"/>
        </w:trPr>
        <w:tc>
          <w:tcPr>
            <w:tcW w:w="2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120" w:type="dxa"/>
            <w:vAlign w:val="bottom"/>
          </w:tcPr>
          <w:p>
            <w:pPr>
              <w:jc w:val="center"/>
              <w:spacing w:after="0" w:line="132"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40" w:type="dxa"/>
            <w:vAlign w:val="bottom"/>
          </w:tcPr>
          <w:p>
            <w:pPr>
              <w:spacing w:after="0"/>
              <w:rPr>
                <w:sz w:val="12"/>
                <w:szCs w:val="12"/>
                <w:color w:val="auto"/>
              </w:rPr>
            </w:pPr>
          </w:p>
        </w:tc>
        <w:tc>
          <w:tcPr>
            <w:tcW w:w="70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9"/>
                <w:szCs w:val="9"/>
                <w:color w:val="auto"/>
              </w:rPr>
              <w:t>Mars Acquisition Holdings Corp. (Revolver)</w:t>
            </w:r>
            <w:r>
              <w:rPr>
                <w:rFonts w:ascii="Arial" w:cs="Arial" w:eastAsia="Arial" w:hAnsi="Arial"/>
                <w:sz w:val="12"/>
                <w:szCs w:val="12"/>
                <w:color w:val="auto"/>
                <w:vertAlign w:val="superscript"/>
              </w:rPr>
              <w:t>(7)</w:t>
            </w:r>
          </w:p>
        </w:tc>
        <w:tc>
          <w:tcPr>
            <w:tcW w:w="120" w:type="dxa"/>
            <w:vAlign w:val="bottom"/>
          </w:tcPr>
          <w:p>
            <w:pPr>
              <w:spacing w:after="0"/>
              <w:rPr>
                <w:sz w:val="9"/>
                <w:szCs w:val="9"/>
                <w:color w:val="auto"/>
              </w:rPr>
            </w:pPr>
          </w:p>
        </w:tc>
        <w:tc>
          <w:tcPr>
            <w:tcW w:w="62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89"/>
              </w:rPr>
              <w:t>5/14/2026</w:t>
            </w:r>
          </w:p>
        </w:tc>
        <w:tc>
          <w:tcPr>
            <w:tcW w:w="120" w:type="dxa"/>
            <w:vAlign w:val="bottom"/>
          </w:tcPr>
          <w:p>
            <w:pPr>
              <w:spacing w:after="0"/>
              <w:rPr>
                <w:sz w:val="9"/>
                <w:szCs w:val="9"/>
                <w:color w:val="auto"/>
              </w:rPr>
            </w:pPr>
          </w:p>
        </w:tc>
        <w:tc>
          <w:tcPr>
            <w:tcW w:w="25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1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7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806</w:t>
            </w:r>
          </w:p>
        </w:tc>
        <w:tc>
          <w:tcPr>
            <w:tcW w:w="220" w:type="dxa"/>
            <w:vAlign w:val="bottom"/>
          </w:tcPr>
          <w:p>
            <w:pPr>
              <w:spacing w:after="0"/>
              <w:rPr>
                <w:sz w:val="9"/>
                <w:szCs w:val="9"/>
                <w:color w:val="auto"/>
              </w:rPr>
            </w:pPr>
          </w:p>
        </w:tc>
        <w:tc>
          <w:tcPr>
            <w:tcW w:w="160" w:type="dxa"/>
            <w:vAlign w:val="bottom"/>
            <w:tcBorders>
              <w:top w:val="single" w:sz="8" w:color="auto"/>
            </w:tcBorders>
          </w:tcPr>
          <w:p>
            <w:pPr>
              <w:jc w:val="right"/>
              <w:ind w:right="51"/>
              <w:spacing w:after="0" w:line="105" w:lineRule="exact"/>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9"/>
                <w:szCs w:val="9"/>
                <w:color w:val="auto"/>
              </w:rPr>
            </w:pPr>
          </w:p>
        </w:tc>
        <w:tc>
          <w:tcPr>
            <w:tcW w:w="20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spacing w:after="0" w:line="105" w:lineRule="exact"/>
              <w:rPr>
                <w:sz w:val="20"/>
                <w:szCs w:val="20"/>
                <w:color w:val="auto"/>
              </w:rPr>
            </w:pPr>
            <w:r>
              <w:rPr>
                <w:rFonts w:ascii="Arial" w:cs="Arial" w:eastAsia="Arial" w:hAnsi="Arial"/>
                <w:sz w:val="11"/>
                <w:szCs w:val="11"/>
                <w:color w:val="auto"/>
              </w:rPr>
              <w:t>(8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MBS Holdings,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04/16/2027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MeritDirect,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6.50 %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2,759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2,736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2,732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2,518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(25 )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09/28/2027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6,953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6,814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6,814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Municipal Emergency Services, Inc.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Municipal Emergency Services,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NBH Group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08/19/2026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6.50 %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7,561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7,413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7,410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NBH Group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08/19/2026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OIS Management Services,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07/09/2026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5.75 %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L+475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3,893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3,843</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3,834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OIS Management Services, LLC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07/09/2023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1,433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OIS Management Services,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07/09/2026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One Stop Mailing,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05/07/2027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Cargo Transport</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14,920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14,631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ORL Acquisition, Inc.</w:t>
            </w:r>
          </w:p>
        </w:tc>
        <w:tc>
          <w:tcPr>
            <w:tcW w:w="74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09/03/2027</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5,041</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4,941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4,940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ORL Acquisition,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09/03/2027</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597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Ox Two,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15,671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15,435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15,358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Ox Two, LLC (Revolver)</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05/18/2026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2"/>
              </w:rPr>
              <w:t>Building Materials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L+600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645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645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05/18/2026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1,774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(35 )</w:t>
            </w:r>
          </w:p>
        </w:tc>
        <w:tc>
          <w:tcPr>
            <w:tcW w:w="0" w:type="dxa"/>
            <w:vAlign w:val="bottom"/>
          </w:tcPr>
          <w:p>
            <w:pPr>
              <w:spacing w:after="0"/>
              <w:rPr>
                <w:sz w:val="1"/>
                <w:szCs w:val="1"/>
                <w:color w:val="auto"/>
              </w:rPr>
            </w:pPr>
          </w:p>
        </w:tc>
      </w:tr>
      <w:tr>
        <w:trPr>
          <w:trHeight w:val="125"/>
        </w:trPr>
        <w:tc>
          <w:tcPr>
            <w:tcW w:w="284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PRA Events, Inc.</w:t>
            </w:r>
          </w:p>
        </w:tc>
        <w:tc>
          <w:tcPr>
            <w:tcW w:w="740" w:type="dxa"/>
            <w:vAlign w:val="bottom"/>
            <w:gridSpan w:val="2"/>
            <w:shd w:val="clear" w:color="auto" w:fill="CCECFF"/>
          </w:tcPr>
          <w:p>
            <w:pPr>
              <w:jc w:val="center"/>
              <w:ind w:left="66"/>
              <w:spacing w:after="0" w:line="125" w:lineRule="exact"/>
              <w:rPr>
                <w:sz w:val="20"/>
                <w:szCs w:val="20"/>
                <w:color w:val="auto"/>
              </w:rPr>
            </w:pPr>
            <w:r>
              <w:rPr>
                <w:rFonts w:ascii="Arial" w:cs="Arial" w:eastAsia="Arial" w:hAnsi="Arial"/>
                <w:sz w:val="11"/>
                <w:szCs w:val="11"/>
                <w:color w:val="auto"/>
                <w:w w:val="90"/>
              </w:rPr>
              <w:t>08/07/2025</w:t>
            </w:r>
          </w:p>
        </w:tc>
        <w:tc>
          <w:tcPr>
            <w:tcW w:w="120" w:type="dxa"/>
            <w:vAlign w:val="bottom"/>
            <w:shd w:val="clear" w:color="auto" w:fill="CCECFF"/>
          </w:tcPr>
          <w:p>
            <w:pPr>
              <w:spacing w:after="0"/>
              <w:rPr>
                <w:sz w:val="10"/>
                <w:szCs w:val="10"/>
                <w:color w:val="auto"/>
              </w:rPr>
            </w:pPr>
          </w:p>
        </w:tc>
        <w:tc>
          <w:tcPr>
            <w:tcW w:w="250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11.50 %</w:t>
            </w:r>
          </w:p>
        </w:tc>
        <w:tc>
          <w:tcPr>
            <w:tcW w:w="11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3M L+1,050</w:t>
            </w:r>
          </w:p>
        </w:tc>
        <w:tc>
          <w:tcPr>
            <w:tcW w:w="94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23,675</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20,421</w:t>
            </w:r>
          </w:p>
        </w:tc>
        <w:tc>
          <w:tcPr>
            <w:tcW w:w="22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22,373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11.50%)</w:t>
            </w:r>
          </w:p>
        </w:tc>
        <w:tc>
          <w:tcPr>
            <w:tcW w:w="11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40" w:type="dxa"/>
            <w:vAlign w:val="bottom"/>
          </w:tcPr>
          <w:p>
            <w:pPr>
              <w:ind w:left="20"/>
              <w:spacing w:after="0" w:line="125" w:lineRule="exact"/>
              <w:rPr>
                <w:sz w:val="20"/>
                <w:szCs w:val="20"/>
                <w:color w:val="auto"/>
              </w:rPr>
            </w:pPr>
            <w:r>
              <w:rPr>
                <w:rFonts w:ascii="Arial" w:cs="Arial" w:eastAsia="Arial" w:hAnsi="Arial"/>
                <w:sz w:val="11"/>
                <w:szCs w:val="11"/>
                <w:color w:val="auto"/>
              </w:rPr>
              <w:t>PRA Events, Inc. (Revolver)</w:t>
            </w:r>
          </w:p>
        </w:tc>
        <w:tc>
          <w:tcPr>
            <w:tcW w:w="74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08/07/2025</w:t>
            </w:r>
          </w:p>
        </w:tc>
        <w:tc>
          <w:tcPr>
            <w:tcW w:w="120" w:type="dxa"/>
            <w:vAlign w:val="bottom"/>
          </w:tcPr>
          <w:p>
            <w:pPr>
              <w:spacing w:after="0"/>
              <w:rPr>
                <w:sz w:val="10"/>
                <w:szCs w:val="10"/>
                <w:color w:val="auto"/>
              </w:rPr>
            </w:pPr>
          </w:p>
        </w:tc>
        <w:tc>
          <w:tcPr>
            <w:tcW w:w="250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11.50 %</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3M L+1,050</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2,461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2,123</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jc w:val="right"/>
              <w:spacing w:after="0" w:line="125" w:lineRule="exact"/>
              <w:rPr>
                <w:sz w:val="20"/>
                <w:szCs w:val="20"/>
                <w:color w:val="auto"/>
              </w:rPr>
            </w:pPr>
            <w:r>
              <w:rPr>
                <w:rFonts w:ascii="Arial" w:cs="Arial" w:eastAsia="Arial" w:hAnsi="Arial"/>
                <w:sz w:val="11"/>
                <w:szCs w:val="11"/>
                <w:color w:val="auto"/>
              </w:rPr>
              <w:t>2,326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11.50%)</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Quantic Electronics,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11/19/2026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6,188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6,095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6,064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Quantic Electronics, LLC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11/19/2026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(21 )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Quantic Electronics,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11/19/2026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Questex,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21,825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21,584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20,516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Questex, LLC (Revolver)</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2,154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2,154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2,025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(86 )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Radius Aerospace,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2,227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(63 )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1,050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Rancho Health MSO,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Recteq,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01/29/2026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(11 )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Horizons,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06/28/2022</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7.25 %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28,796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Research Now Group, Inc. and Dynata, LLC</w:t>
            </w:r>
          </w:p>
        </w:tc>
        <w:tc>
          <w:tcPr>
            <w:tcW w:w="74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6.50 %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2,884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2,884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2,847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Riverside Assessments,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03/10/2025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16,174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15,952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15,769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01/03/2025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732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Sargent &amp; Greenleaf Inc. (Revolver)</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299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299</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299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299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Schlesinger Global,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489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1.00%)</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Schlesinger Global, Inc.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2"/>
                <w:szCs w:val="12"/>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w:t>
            </w:r>
          </w:p>
        </w:tc>
        <w:tc>
          <w:tcPr>
            <w:tcW w:w="22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vMerge w:val="restart"/>
          </w:tcPr>
          <w:p>
            <w:pPr>
              <w:ind w:left="20"/>
              <w:spacing w:after="0"/>
              <w:rPr>
                <w:sz w:val="20"/>
                <w:szCs w:val="20"/>
                <w:color w:val="auto"/>
              </w:rPr>
            </w:pPr>
            <w:r>
              <w:rPr>
                <w:rFonts w:ascii="Arial" w:cs="Arial" w:eastAsia="Arial" w:hAnsi="Arial"/>
                <w:sz w:val="11"/>
                <w:szCs w:val="11"/>
                <w:color w:val="auto"/>
              </w:rPr>
              <w:t>Schlesinger Global, Inc. (Revolver)</w:t>
            </w:r>
            <w:r>
              <w:rPr>
                <w:rFonts w:ascii="Arial" w:cs="Arial" w:eastAsia="Arial" w:hAnsi="Arial"/>
                <w:sz w:val="14"/>
                <w:szCs w:val="14"/>
                <w:color w:val="auto"/>
                <w:vertAlign w:val="superscript"/>
              </w:rPr>
              <w:t>(7)</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1.00%)</w:t>
            </w:r>
          </w:p>
        </w:tc>
        <w:tc>
          <w:tcPr>
            <w:tcW w:w="1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vMerge w:val="continue"/>
          </w:tcPr>
          <w:p>
            <w:pPr>
              <w:spacing w:after="0"/>
              <w:rPr>
                <w:sz w:val="10"/>
                <w:szCs w:val="10"/>
                <w:color w:val="auto"/>
              </w:rPr>
            </w:pPr>
          </w:p>
        </w:tc>
        <w:tc>
          <w:tcPr>
            <w:tcW w:w="740" w:type="dxa"/>
            <w:vAlign w:val="bottom"/>
            <w:gridSpan w:val="2"/>
          </w:tcPr>
          <w:p>
            <w:pPr>
              <w:jc w:val="center"/>
              <w:ind w:left="66"/>
              <w:spacing w:after="0" w:line="125" w:lineRule="exact"/>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0"/>
                <w:szCs w:val="10"/>
                <w:color w:val="auto"/>
              </w:rPr>
            </w:pPr>
          </w:p>
        </w:tc>
        <w:tc>
          <w:tcPr>
            <w:tcW w:w="250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1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tcPr>
          <w:p>
            <w:pPr>
              <w:jc w:val="right"/>
              <w:ind w:right="22"/>
              <w:spacing w:after="0" w:line="125" w:lineRule="exact"/>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Sigma Defense Systems,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12/18/2025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Telecommunications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9.75 %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L+875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6,520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6,378</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6,406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Sigma Defense Systems,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12/18/2025</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(17 )</w:t>
            </w: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 - Term Loan II</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12/31/2021</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8.50 %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840" w:type="dxa"/>
            <w:vAlign w:val="bottom"/>
          </w:tcPr>
          <w:p>
            <w:pPr>
              <w:ind w:left="20"/>
              <w:spacing w:after="0" w:line="105" w:lineRule="exact"/>
              <w:rPr>
                <w:sz w:val="20"/>
                <w:szCs w:val="20"/>
                <w:color w:val="auto"/>
              </w:rPr>
            </w:pPr>
            <w:r>
              <w:rPr>
                <w:rFonts w:ascii="Arial" w:cs="Arial" w:eastAsia="Arial" w:hAnsi="Arial"/>
                <w:sz w:val="11"/>
                <w:szCs w:val="11"/>
                <w:color w:val="auto"/>
              </w:rPr>
              <w:t>Signature Systems Holding Company (Revolver)</w:t>
            </w:r>
          </w:p>
        </w:tc>
        <w:tc>
          <w:tcPr>
            <w:tcW w:w="740" w:type="dxa"/>
            <w:vAlign w:val="bottom"/>
            <w:gridSpan w:val="2"/>
          </w:tcPr>
          <w:p>
            <w:pPr>
              <w:jc w:val="center"/>
              <w:ind w:left="66"/>
              <w:spacing w:after="0" w:line="105" w:lineRule="exact"/>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9"/>
                <w:szCs w:val="9"/>
                <w:color w:val="auto"/>
              </w:rPr>
            </w:pPr>
          </w:p>
        </w:tc>
        <w:tc>
          <w:tcPr>
            <w:tcW w:w="2500" w:type="dxa"/>
            <w:vAlign w:val="bottom"/>
          </w:tcPr>
          <w:p>
            <w:pPr>
              <w:jc w:val="center"/>
              <w:spacing w:after="0" w:line="105" w:lineRule="exact"/>
              <w:rPr>
                <w:sz w:val="20"/>
                <w:szCs w:val="20"/>
                <w:color w:val="auto"/>
              </w:rPr>
            </w:pPr>
            <w:r>
              <w:rPr>
                <w:rFonts w:ascii="Arial" w:cs="Arial" w:eastAsia="Arial" w:hAnsi="Arial"/>
                <w:sz w:val="11"/>
                <w:szCs w:val="11"/>
                <w:color w:val="auto"/>
                <w:w w:val="87"/>
              </w:rPr>
              <w:t>Chemicals, Plastics and Rubber</w:t>
            </w:r>
          </w:p>
        </w:tc>
        <w:tc>
          <w:tcPr>
            <w:tcW w:w="1060" w:type="dxa"/>
            <w:vAlign w:val="bottom"/>
            <w:gridSpan w:val="3"/>
          </w:tcPr>
          <w:p>
            <w:pPr>
              <w:jc w:val="right"/>
              <w:ind w:right="140"/>
              <w:spacing w:after="0" w:line="105" w:lineRule="exact"/>
              <w:rPr>
                <w:sz w:val="20"/>
                <w:szCs w:val="20"/>
                <w:color w:val="auto"/>
              </w:rPr>
            </w:pPr>
            <w:r>
              <w:rPr>
                <w:rFonts w:ascii="Arial" w:cs="Arial" w:eastAsia="Arial" w:hAnsi="Arial"/>
                <w:sz w:val="11"/>
                <w:szCs w:val="11"/>
                <w:color w:val="auto"/>
              </w:rPr>
              <w:t>8.50 %</w:t>
            </w:r>
          </w:p>
        </w:tc>
        <w:tc>
          <w:tcPr>
            <w:tcW w:w="1120" w:type="dxa"/>
            <w:vAlign w:val="bottom"/>
          </w:tcPr>
          <w:p>
            <w:pPr>
              <w:jc w:val="right"/>
              <w:spacing w:after="0" w:line="105" w:lineRule="exact"/>
              <w:rPr>
                <w:sz w:val="20"/>
                <w:szCs w:val="20"/>
                <w:color w:val="auto"/>
              </w:rPr>
            </w:pPr>
            <w:r>
              <w:rPr>
                <w:rFonts w:ascii="Arial" w:cs="Arial" w:eastAsia="Arial" w:hAnsi="Arial"/>
                <w:sz w:val="11"/>
                <w:szCs w:val="11"/>
                <w:color w:val="auto"/>
              </w:rPr>
              <w:t>3M L+750</w:t>
            </w:r>
          </w:p>
        </w:tc>
        <w:tc>
          <w:tcPr>
            <w:tcW w:w="94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484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05" w:lineRule="exact"/>
              <w:rPr>
                <w:sz w:val="20"/>
                <w:szCs w:val="20"/>
                <w:color w:val="auto"/>
              </w:rPr>
            </w:pPr>
            <w:r>
              <w:rPr>
                <w:rFonts w:ascii="Arial" w:cs="Arial" w:eastAsia="Arial" w:hAnsi="Arial"/>
                <w:sz w:val="11"/>
                <w:szCs w:val="11"/>
                <w:color w:val="auto"/>
              </w:rPr>
              <w:t>484</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05" w:lineRule="exact"/>
              <w:rPr>
                <w:sz w:val="20"/>
                <w:szCs w:val="20"/>
                <w:color w:val="auto"/>
              </w:rPr>
            </w:pPr>
            <w:r>
              <w:rPr>
                <w:rFonts w:ascii="Arial" w:cs="Arial" w:eastAsia="Arial" w:hAnsi="Arial"/>
                <w:sz w:val="11"/>
                <w:szCs w:val="11"/>
                <w:color w:val="auto"/>
              </w:rPr>
              <w:t>479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(15 )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Spear Education,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02/26/2025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14,898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14,781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14,898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02/26/2022</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6,875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Spectacle Gary Holdings,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0"/>
              </w:rPr>
              <w:t>Hotels, Motels, Inns and Gaming</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11.00 %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L+900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21,546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20,972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23,391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TAC LifePort Purchaser,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03/01/2026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(0 )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The Bluebird Group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07/27/2026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8.00 %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L+700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5,606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5,496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5,570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The Bluebird Group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07/27/2026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The Vertex Companies,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08/30/2027</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6.50 %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L+550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4,577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4,486</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4,491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The Vertex Companies,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08/30/2027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(14 )</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w w:val="98"/>
              </w:rPr>
              <w:t xml:space="preserve">TPC Canada Parent, Inc. and TPC US Parent, LLC </w:t>
            </w:r>
            <w:r>
              <w:rPr>
                <w:rFonts w:ascii="Arial" w:cs="Arial" w:eastAsia="Arial" w:hAnsi="Arial"/>
                <w:sz w:val="14"/>
                <w:szCs w:val="14"/>
                <w:color w:val="auto"/>
                <w:w w:val="98"/>
                <w:vertAlign w:val="superscript"/>
              </w:rPr>
              <w:t>(8),(11)</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11/24/2025</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6.25 %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1,771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1,771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1,718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TVC Enterprises, LLC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03/26/2026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90"/>
              </w:rPr>
              <w:t>Transportation</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L+575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15,506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15,347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15,506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03/26/2026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2,702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TWS Acquisition Corporation</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Education</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7.25 %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1M L+625</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4,137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4,137</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4,137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284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04/01/2026</w:t>
            </w: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Walker Edison Furniture Company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03/31/2027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Home and Office Furnishings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24,875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24,293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23,942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840" w:type="dxa"/>
            <w:vAlign w:val="bottom"/>
          </w:tcPr>
          <w:p>
            <w:pPr>
              <w:ind w:left="20"/>
              <w:spacing w:after="0" w:line="115" w:lineRule="exact"/>
              <w:rPr>
                <w:sz w:val="20"/>
                <w:szCs w:val="20"/>
                <w:color w:val="auto"/>
              </w:rPr>
            </w:pPr>
            <w:r>
              <w:rPr>
                <w:rFonts w:ascii="Arial" w:cs="Arial" w:eastAsia="Arial" w:hAnsi="Arial"/>
                <w:sz w:val="11"/>
                <w:szCs w:val="11"/>
                <w:color w:val="auto"/>
              </w:rPr>
              <w:t>Wildcat Buyerco, Inc.</w:t>
            </w:r>
          </w:p>
        </w:tc>
        <w:tc>
          <w:tcPr>
            <w:tcW w:w="740" w:type="dxa"/>
            <w:vAlign w:val="bottom"/>
            <w:gridSpan w:val="2"/>
          </w:tcPr>
          <w:p>
            <w:pPr>
              <w:jc w:val="center"/>
              <w:ind w:left="66"/>
              <w:spacing w:after="0" w:line="115" w:lineRule="exact"/>
              <w:rPr>
                <w:sz w:val="20"/>
                <w:szCs w:val="20"/>
                <w:color w:val="auto"/>
              </w:rPr>
            </w:pPr>
            <w:r>
              <w:rPr>
                <w:rFonts w:ascii="Arial" w:cs="Arial" w:eastAsia="Arial" w:hAnsi="Arial"/>
                <w:sz w:val="11"/>
                <w:szCs w:val="11"/>
                <w:color w:val="auto"/>
                <w:w w:val="90"/>
              </w:rPr>
              <w:t>02/27/2026</w:t>
            </w:r>
          </w:p>
        </w:tc>
        <w:tc>
          <w:tcPr>
            <w:tcW w:w="120" w:type="dxa"/>
            <w:vAlign w:val="bottom"/>
          </w:tcPr>
          <w:p>
            <w:pPr>
              <w:spacing w:after="0"/>
              <w:rPr>
                <w:sz w:val="9"/>
                <w:szCs w:val="9"/>
                <w:color w:val="auto"/>
              </w:rPr>
            </w:pPr>
          </w:p>
        </w:tc>
        <w:tc>
          <w:tcPr>
            <w:tcW w:w="2500" w:type="dxa"/>
            <w:vAlign w:val="bottom"/>
          </w:tcPr>
          <w:p>
            <w:pPr>
              <w:jc w:val="center"/>
              <w:spacing w:after="0" w:line="115" w:lineRule="exact"/>
              <w:rPr>
                <w:sz w:val="20"/>
                <w:szCs w:val="20"/>
                <w:color w:val="auto"/>
              </w:rPr>
            </w:pPr>
            <w:r>
              <w:rPr>
                <w:rFonts w:ascii="Arial" w:cs="Arial" w:eastAsia="Arial" w:hAnsi="Arial"/>
                <w:sz w:val="11"/>
                <w:szCs w:val="11"/>
                <w:color w:val="auto"/>
                <w:w w:val="89"/>
              </w:rPr>
              <w:t>Electronics</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6.00 %</w:t>
            </w:r>
          </w:p>
        </w:tc>
        <w:tc>
          <w:tcPr>
            <w:tcW w:w="1120" w:type="dxa"/>
            <w:vAlign w:val="bottom"/>
          </w:tcPr>
          <w:p>
            <w:pPr>
              <w:jc w:val="right"/>
              <w:spacing w:after="0" w:line="115" w:lineRule="exact"/>
              <w:rPr>
                <w:sz w:val="20"/>
                <w:szCs w:val="20"/>
                <w:color w:val="auto"/>
              </w:rPr>
            </w:pPr>
            <w:r>
              <w:rPr>
                <w:rFonts w:ascii="Arial" w:cs="Arial" w:eastAsia="Arial" w:hAnsi="Arial"/>
                <w:sz w:val="11"/>
                <w:szCs w:val="11"/>
                <w:color w:val="auto"/>
              </w:rPr>
              <w:t>3M L+500</w:t>
            </w:r>
          </w:p>
        </w:tc>
        <w:tc>
          <w:tcPr>
            <w:tcW w:w="9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1,629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jc w:val="right"/>
              <w:spacing w:after="0" w:line="115" w:lineRule="exact"/>
              <w:rPr>
                <w:sz w:val="20"/>
                <w:szCs w:val="20"/>
                <w:color w:val="auto"/>
              </w:rPr>
            </w:pPr>
            <w:r>
              <w:rPr>
                <w:rFonts w:ascii="Arial" w:cs="Arial" w:eastAsia="Arial" w:hAnsi="Arial"/>
                <w:sz w:val="11"/>
                <w:szCs w:val="11"/>
                <w:color w:val="auto"/>
              </w:rPr>
              <w:t>1,612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jc w:val="right"/>
              <w:spacing w:after="0" w:line="115" w:lineRule="exact"/>
              <w:rPr>
                <w:sz w:val="20"/>
                <w:szCs w:val="20"/>
                <w:color w:val="auto"/>
              </w:rPr>
            </w:pPr>
            <w:r>
              <w:rPr>
                <w:rFonts w:ascii="Arial" w:cs="Arial" w:eastAsia="Arial" w:hAnsi="Arial"/>
                <w:sz w:val="11"/>
                <w:szCs w:val="11"/>
                <w:color w:val="auto"/>
              </w:rPr>
              <w:t>1,621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02/27/2022</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2,574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0"/>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14"/>
                <w:szCs w:val="14"/>
                <w:color w:val="auto"/>
                <w:vertAlign w:val="superscript"/>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02/27/2026</w:t>
            </w:r>
          </w:p>
        </w:tc>
        <w:tc>
          <w:tcPr>
            <w:tcW w:w="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551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1"/>
                <w:szCs w:val="11"/>
                <w:color w:val="auto"/>
              </w:rPr>
              <w:t>(7 )</w:t>
            </w: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509,046</w:t>
            </w:r>
          </w:p>
        </w:tc>
        <w:tc>
          <w:tcPr>
            <w:tcW w:w="2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511,405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Second Lien Secured Debt—16.2%</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Atlas Purchaser,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05/07/2029</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9.75 %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L+900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17,000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16,506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Data Axle,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2"/>
              </w:rPr>
              <w:t>Other Media</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10.25 %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L+925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20,220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ENC Parent Corporation</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08/19/2029</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8.25 %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7,426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Halo Buyer,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07/06/2026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9.25 %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32,106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Inventus Power,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09/29/2024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9.50 %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L+850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16,593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16,292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16,261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CFF"/>
          </w:tcPr>
          <w:p>
            <w:pPr>
              <w:ind w:left="20"/>
              <w:spacing w:after="0"/>
              <w:rPr>
                <w:sz w:val="20"/>
                <w:szCs w:val="20"/>
                <w:color w:val="auto"/>
              </w:rPr>
            </w:pPr>
            <w:r>
              <w:rPr>
                <w:rFonts w:ascii="Arial" w:cs="Arial" w:eastAsia="Arial" w:hAnsi="Arial"/>
                <w:sz w:val="11"/>
                <w:szCs w:val="11"/>
                <w:color w:val="auto"/>
              </w:rPr>
              <w:t>QuantiTech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02/04/2027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11.00 %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L+1,000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rPr>
                <w:sz w:val="20"/>
                <w:szCs w:val="20"/>
                <w:color w:val="auto"/>
              </w:rPr>
            </w:pPr>
            <w:r>
              <w:rPr>
                <w:rFonts w:ascii="Arial" w:cs="Arial" w:eastAsia="Arial" w:hAnsi="Arial"/>
                <w:sz w:val="11"/>
                <w:szCs w:val="11"/>
                <w:color w:val="auto"/>
              </w:rPr>
              <w:t>VT Topco,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08/17/2026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7.06 %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14,922</w:t>
            </w: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107,620</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107,225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-6814185</wp:posOffset>
            </wp:positionV>
            <wp:extent cx="7132320" cy="939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-6634480</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-6463030</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-5948680</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7132320" cy="857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857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-4234180</wp:posOffset>
            </wp:positionV>
            <wp:extent cx="713232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1800225" cy="171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002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857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-5080</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-5080</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tbl>
      <w:tblPr>
        <w:tblLayout w:type="fixed"/>
        <w:tblInd w:w="0" w:type="dxa"/>
        <w:tblCellMar>
          <w:top w:w="0" w:type="dxa"/>
          <w:left w:w="0" w:type="dxa"/>
          <w:bottom w:w="0" w:type="dxa"/>
          <w:right w:w="0" w:type="dxa"/>
        </w:tblCellMar>
      </w:tblPr>
      <w:tr>
        <w:trPr>
          <w:trHeight w:val="102"/>
        </w:trPr>
        <w:tc>
          <w:tcPr>
            <w:tcW w:w="2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Maturity /</w:t>
            </w:r>
          </w:p>
        </w:tc>
        <w:tc>
          <w:tcPr>
            <w:tcW w:w="2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10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6"/>
              </w:rPr>
              <w:t>Basis Point</w:t>
            </w:r>
          </w:p>
        </w:tc>
        <w:tc>
          <w:tcPr>
            <w:tcW w:w="200" w:type="dxa"/>
            <w:vAlign w:val="bottom"/>
          </w:tcPr>
          <w:p>
            <w:pPr>
              <w:spacing w:after="0"/>
              <w:rPr>
                <w:sz w:val="8"/>
                <w:szCs w:val="8"/>
                <w:color w:val="auto"/>
              </w:rPr>
            </w:pPr>
          </w:p>
        </w:tc>
        <w:tc>
          <w:tcPr>
            <w:tcW w:w="68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(3)</w:t>
            </w: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24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(4)</w:t>
            </w:r>
          </w:p>
        </w:tc>
        <w:tc>
          <w:tcPr>
            <w:tcW w:w="200" w:type="dxa"/>
            <w:vAlign w:val="bottom"/>
          </w:tcPr>
          <w:p>
            <w:pPr>
              <w:spacing w:after="0"/>
              <w:rPr>
                <w:sz w:val="12"/>
                <w:szCs w:val="12"/>
                <w:color w:val="auto"/>
              </w:rPr>
            </w:pPr>
          </w:p>
        </w:tc>
        <w:tc>
          <w:tcPr>
            <w:tcW w:w="680" w:type="dxa"/>
            <w:vAlign w:val="bottom"/>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Subordinated Debt/Corporate Notes—8.6%</w:t>
            </w: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6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Blackhawk Industrial Distribution, Inc.</w:t>
            </w:r>
          </w:p>
        </w:tc>
        <w:tc>
          <w:tcPr>
            <w:tcW w:w="820" w:type="dxa"/>
            <w:vAlign w:val="bottom"/>
            <w:gridSpan w:val="2"/>
          </w:tcPr>
          <w:p>
            <w:pPr>
              <w:ind w:left="220"/>
              <w:spacing w:after="0" w:line="125" w:lineRule="exact"/>
              <w:rPr>
                <w:sz w:val="20"/>
                <w:szCs w:val="20"/>
                <w:color w:val="auto"/>
              </w:rPr>
            </w:pPr>
            <w:r>
              <w:rPr>
                <w:rFonts w:ascii="Arial" w:cs="Arial" w:eastAsia="Arial" w:hAnsi="Arial"/>
                <w:sz w:val="11"/>
                <w:szCs w:val="11"/>
                <w:color w:val="auto"/>
              </w:rPr>
              <w:t>03/17/2025</w:t>
            </w:r>
          </w:p>
        </w:tc>
        <w:tc>
          <w:tcPr>
            <w:tcW w:w="240" w:type="dxa"/>
            <w:vAlign w:val="bottom"/>
          </w:tcPr>
          <w:p>
            <w:pPr>
              <w:spacing w:after="0"/>
              <w:rPr>
                <w:sz w:val="10"/>
                <w:szCs w:val="10"/>
                <w:color w:val="auto"/>
              </w:rPr>
            </w:pPr>
          </w:p>
        </w:tc>
        <w:tc>
          <w:tcPr>
            <w:tcW w:w="2440" w:type="dxa"/>
            <w:vAlign w:val="bottom"/>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06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12.00 %</w:t>
            </w:r>
          </w:p>
        </w:tc>
        <w:tc>
          <w:tcPr>
            <w:tcW w:w="1060" w:type="dxa"/>
            <w:vAlign w:val="bottom"/>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14,335</w:t>
            </w:r>
          </w:p>
        </w:tc>
        <w:tc>
          <w:tcPr>
            <w:tcW w:w="3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auto"/>
              </w:rPr>
              <w:t>$</w:t>
            </w: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14,165</w:t>
            </w:r>
          </w:p>
        </w:tc>
        <w:tc>
          <w:tcPr>
            <w:tcW w:w="440" w:type="dxa"/>
            <w:vAlign w:val="bottom"/>
            <w:gridSpan w:val="2"/>
          </w:tcPr>
          <w:p>
            <w:pPr>
              <w:jc w:val="right"/>
              <w:ind w:right="106"/>
              <w:spacing w:after="0" w:line="125"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14,335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2.00%)</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CFF"/>
          </w:tcPr>
          <w:p>
            <w:pPr>
              <w:ind w:left="20"/>
              <w:spacing w:after="0"/>
              <w:rPr>
                <w:sz w:val="20"/>
                <w:szCs w:val="20"/>
                <w:color w:val="auto"/>
              </w:rPr>
            </w:pPr>
            <w:r>
              <w:rPr>
                <w:rFonts w:ascii="Arial" w:cs="Arial" w:eastAsia="Arial" w:hAnsi="Arial"/>
                <w:sz w:val="11"/>
                <w:szCs w:val="11"/>
                <w:color w:val="auto"/>
              </w:rPr>
              <w:t>Cascade Environmental LLC</w:t>
            </w:r>
          </w:p>
        </w:tc>
        <w:tc>
          <w:tcPr>
            <w:tcW w:w="820" w:type="dxa"/>
            <w:vAlign w:val="bottom"/>
            <w:gridSpan w:val="2"/>
            <w:shd w:val="clear" w:color="auto" w:fill="CCECFF"/>
          </w:tcPr>
          <w:p>
            <w:pPr>
              <w:ind w:left="220"/>
              <w:spacing w:after="0"/>
              <w:rPr>
                <w:sz w:val="20"/>
                <w:szCs w:val="20"/>
                <w:color w:val="auto"/>
              </w:rPr>
            </w:pPr>
            <w:r>
              <w:rPr>
                <w:rFonts w:ascii="Arial" w:cs="Arial" w:eastAsia="Arial" w:hAnsi="Arial"/>
                <w:sz w:val="11"/>
                <w:szCs w:val="11"/>
                <w:color w:val="auto"/>
              </w:rPr>
              <w:t>12/30/2023</w:t>
            </w:r>
          </w:p>
        </w:tc>
        <w:tc>
          <w:tcPr>
            <w:tcW w:w="2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Environmental Services</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13.00 %</w:t>
            </w:r>
          </w:p>
        </w:tc>
        <w:tc>
          <w:tcPr>
            <w:tcW w:w="1060" w:type="dxa"/>
            <w:vAlign w:val="bottom"/>
            <w:shd w:val="clear" w:color="auto" w:fill="CCECFF"/>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42,468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42,150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4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13.00%)</w:t>
            </w:r>
          </w:p>
        </w:tc>
        <w:tc>
          <w:tcPr>
            <w:tcW w:w="106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tcPr>
          <w:p>
            <w:pPr>
              <w:ind w:left="20"/>
              <w:spacing w:after="0" w:line="114" w:lineRule="exact"/>
              <w:rPr>
                <w:sz w:val="20"/>
                <w:szCs w:val="20"/>
                <w:color w:val="auto"/>
              </w:rPr>
            </w:pPr>
            <w:r>
              <w:rPr>
                <w:rFonts w:ascii="Arial" w:cs="Arial" w:eastAsia="Arial" w:hAnsi="Arial"/>
                <w:sz w:val="11"/>
                <w:szCs w:val="11"/>
                <w:b w:val="1"/>
                <w:bCs w:val="1"/>
                <w:color w:val="auto"/>
              </w:rPr>
              <w:t>Total Subordinated Debt/Corporate Notes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56,315</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1"/>
                <w:szCs w:val="11"/>
                <w:color w:val="auto"/>
              </w:rPr>
              <w:t>57,015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780" w:type="dxa"/>
            <w:vAlign w:val="bottom"/>
          </w:tcPr>
          <w:p>
            <w:pPr>
              <w:ind w:left="20"/>
              <w:spacing w:after="0" w:line="105" w:lineRule="exact"/>
              <w:rPr>
                <w:sz w:val="20"/>
                <w:szCs w:val="20"/>
                <w:color w:val="auto"/>
              </w:rPr>
            </w:pPr>
            <w:r>
              <w:rPr>
                <w:rFonts w:ascii="Arial" w:cs="Arial" w:eastAsia="Arial" w:hAnsi="Arial"/>
                <w:sz w:val="9"/>
                <w:szCs w:val="9"/>
                <w:b w:val="1"/>
                <w:bCs w:val="1"/>
                <w:color w:val="auto"/>
              </w:rPr>
              <w:t xml:space="preserve">Preferred Equity/Partnership Interests—3.9% </w:t>
            </w:r>
            <w:r>
              <w:rPr>
                <w:rFonts w:ascii="Arial" w:cs="Arial" w:eastAsia="Arial" w:hAnsi="Arial"/>
                <w:sz w:val="12"/>
                <w:szCs w:val="12"/>
                <w:b w:val="1"/>
                <w:bCs w:val="1"/>
                <w:color w:val="auto"/>
                <w:vertAlign w:val="superscript"/>
              </w:rPr>
              <w:t>(6)</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1"/>
                <w:szCs w:val="11"/>
                <w:color w:val="auto"/>
              </w:rPr>
              <w:t xml:space="preserve">Ad.net Holdings, Inc.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2,400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ind w:left="20"/>
              <w:spacing w:after="0"/>
              <w:rPr>
                <w:sz w:val="20"/>
                <w:szCs w:val="20"/>
                <w:color w:val="auto"/>
              </w:rPr>
            </w:pPr>
            <w:r>
              <w:rPr>
                <w:rFonts w:ascii="Arial" w:cs="Arial" w:eastAsia="Arial" w:hAnsi="Arial"/>
                <w:sz w:val="11"/>
                <w:szCs w:val="11"/>
                <w:color w:val="auto"/>
              </w:rPr>
              <w:t>AH Newco Equityholdings,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shd w:val="clear" w:color="auto" w:fill="CCECFF"/>
          </w:tcPr>
          <w:p>
            <w:pPr>
              <w:jc w:val="right"/>
              <w:ind w:right="140"/>
              <w:spacing w:after="0"/>
              <w:rPr>
                <w:sz w:val="20"/>
                <w:szCs w:val="20"/>
                <w:color w:val="auto"/>
              </w:rPr>
            </w:pPr>
            <w:r>
              <w:rPr>
                <w:rFonts w:ascii="Arial" w:cs="Arial" w:eastAsia="Arial" w:hAnsi="Arial"/>
                <w:sz w:val="11"/>
                <w:szCs w:val="11"/>
                <w:color w:val="auto"/>
              </w:rPr>
              <w:t>6.00 %</w:t>
            </w:r>
          </w:p>
        </w:tc>
        <w:tc>
          <w:tcPr>
            <w:tcW w:w="1060" w:type="dxa"/>
            <w:vAlign w:val="bottom"/>
            <w:shd w:val="clear" w:color="auto" w:fill="CCECFF"/>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Cascade Environmental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40" w:type="dxa"/>
            <w:vAlign w:val="bottom"/>
          </w:tcPr>
          <w:p>
            <w:pPr>
              <w:jc w:val="center"/>
              <w:spacing w:after="0" w:line="125" w:lineRule="exact"/>
              <w:rPr>
                <w:sz w:val="20"/>
                <w:szCs w:val="20"/>
                <w:color w:val="auto"/>
              </w:rPr>
            </w:pPr>
            <w:r>
              <w:rPr>
                <w:rFonts w:ascii="Arial" w:cs="Arial" w:eastAsia="Arial" w:hAnsi="Arial"/>
                <w:sz w:val="11"/>
                <w:szCs w:val="11"/>
                <w:color w:val="auto"/>
                <w:w w:val="89"/>
              </w:rPr>
              <w:t>Environmental Services</w:t>
            </w:r>
          </w:p>
        </w:tc>
        <w:tc>
          <w:tcPr>
            <w:tcW w:w="1060" w:type="dxa"/>
            <w:vAlign w:val="bottom"/>
            <w:gridSpan w:val="3"/>
          </w:tcPr>
          <w:p>
            <w:pPr>
              <w:jc w:val="right"/>
              <w:ind w:right="140"/>
              <w:spacing w:after="0" w:line="125" w:lineRule="exact"/>
              <w:rPr>
                <w:sz w:val="20"/>
                <w:szCs w:val="20"/>
                <w:color w:val="auto"/>
              </w:rPr>
            </w:pPr>
            <w:r>
              <w:rPr>
                <w:rFonts w:ascii="Arial" w:cs="Arial" w:eastAsia="Arial" w:hAnsi="Arial"/>
                <w:sz w:val="11"/>
                <w:szCs w:val="11"/>
                <w:color w:val="auto"/>
              </w:rPr>
              <w:t>16.00 %</w:t>
            </w:r>
          </w:p>
        </w:tc>
        <w:tc>
          <w:tcPr>
            <w:tcW w:w="1060" w:type="dxa"/>
            <w:vAlign w:val="bottom"/>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178,304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17,607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21,133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Mars Intermediate Holdings II, Inc</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414</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432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540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shd w:val="clear" w:color="auto" w:fill="CCECFF"/>
          </w:tcPr>
          <w:p>
            <w:pPr>
              <w:ind w:left="20"/>
              <w:spacing w:after="0"/>
              <w:rPr>
                <w:sz w:val="20"/>
                <w:szCs w:val="20"/>
                <w:color w:val="auto"/>
              </w:rPr>
            </w:pPr>
            <w:r>
              <w:rPr>
                <w:rFonts w:ascii="Arial" w:cs="Arial" w:eastAsia="Arial" w:hAnsi="Arial"/>
                <w:sz w:val="11"/>
                <w:szCs w:val="11"/>
                <w:color w:val="auto"/>
              </w:rPr>
              <w:t>NXOF Holdings, Inc. (Tyto Athene, LLC)</w:t>
            </w: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CFF"/>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ORL Holdco, Inc.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575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57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57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Signature CR Intermediate Holdco,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7"/>
              </w:rPr>
              <w:t>Chemicals, Plastics and Rubber</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12.00 %</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1,527</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1,527</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1,879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(8),(11)</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219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w w:val="97"/>
              </w:rPr>
              <w:t>TWD Parent Holdings, LLC (The Vertex Companies, LLC)</w:t>
            </w: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4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CCECFF"/>
            </w:tcBorders>
            <w:shd w:val="clear" w:color="auto" w:fill="CCECFF"/>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30</w:t>
            </w:r>
          </w:p>
        </w:tc>
        <w:tc>
          <w:tcPr>
            <w:tcW w:w="2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auto"/>
            </w:tcBorders>
            <w:shd w:val="clear" w:color="auto" w:fill="CCECFF"/>
          </w:tcPr>
          <w:p>
            <w:pPr>
              <w:spacing w:after="0"/>
              <w:rPr>
                <w:sz w:val="11"/>
                <w:szCs w:val="11"/>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21,295</w:t>
            </w: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25,873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89"/>
              </w:rPr>
              <w:t xml:space="preserve">Common Equity/Partnership Interests/Warrants—18.0% </w:t>
            </w:r>
            <w:r>
              <w:rPr>
                <w:rFonts w:ascii="Arial" w:cs="Arial" w:eastAsia="Arial" w:hAnsi="Arial"/>
                <w:sz w:val="14"/>
                <w:szCs w:val="14"/>
                <w:b w:val="1"/>
                <w:bCs w:val="1"/>
                <w:color w:val="auto"/>
                <w:w w:val="89"/>
                <w:vertAlign w:val="superscript"/>
              </w:rPr>
              <w:t>(6)</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rPr>
                <w:sz w:val="20"/>
                <w:szCs w:val="20"/>
                <w:color w:val="auto"/>
              </w:rPr>
            </w:pPr>
            <w:r>
              <w:rPr>
                <w:rFonts w:ascii="Arial" w:cs="Arial" w:eastAsia="Arial" w:hAnsi="Arial"/>
                <w:sz w:val="11"/>
                <w:szCs w:val="11"/>
                <w:color w:val="auto"/>
              </w:rPr>
              <w:t>Ad.net Holdings, Inc. (9)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Affinion Group Holdings, Inc. (Warrants)</w:t>
            </w:r>
          </w:p>
        </w:tc>
        <w:tc>
          <w:tcPr>
            <w:tcW w:w="820" w:type="dxa"/>
            <w:vAlign w:val="bottom"/>
            <w:gridSpan w:val="2"/>
          </w:tcPr>
          <w:p>
            <w:pPr>
              <w:ind w:left="220"/>
              <w:spacing w:after="0" w:line="115" w:lineRule="exact"/>
              <w:rPr>
                <w:sz w:val="20"/>
                <w:szCs w:val="20"/>
                <w:color w:val="auto"/>
              </w:rPr>
            </w:pPr>
            <w:r>
              <w:rPr>
                <w:rFonts w:ascii="Arial" w:cs="Arial" w:eastAsia="Arial" w:hAnsi="Arial"/>
                <w:sz w:val="11"/>
                <w:szCs w:val="11"/>
                <w:color w:val="auto"/>
              </w:rPr>
              <w:t>04/10/2024</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77,190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2,126</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AG Investco LP </w:t>
            </w:r>
            <w:r>
              <w:rPr>
                <w:rFonts w:ascii="Arial" w:cs="Arial" w:eastAsia="Arial" w:hAnsi="Arial"/>
                <w:sz w:val="14"/>
                <w:szCs w:val="14"/>
                <w:color w:val="auto"/>
                <w:vertAlign w:val="superscript"/>
              </w:rPr>
              <w:t>(7), (9)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194,836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Altamira Intermediate Company II,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125,000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125</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Atlas Investment Aggregator,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1,700,000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Cascade Environmental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33,901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2,852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78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CI (Allied) Investment Holdings, LLC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120,962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1,243</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475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78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(PRA Events, Inc.)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rPr>
                <w:sz w:val="20"/>
                <w:szCs w:val="20"/>
                <w:color w:val="auto"/>
              </w:rPr>
            </w:pPr>
            <w:r>
              <w:rPr>
                <w:rFonts w:ascii="Arial" w:cs="Arial" w:eastAsia="Arial" w:hAnsi="Arial"/>
                <w:sz w:val="11"/>
                <w:szCs w:val="11"/>
                <w:color w:val="auto"/>
              </w:rPr>
              <w:t>Connatix Parent, LLC</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57,416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8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Cowboy Parent LLC</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4"/>
              </w:rPr>
              <w:t>Distribution</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60" w:type="dxa"/>
            <w:vAlign w:val="bottom"/>
            <w:shd w:val="clear" w:color="auto" w:fill="CCECFF"/>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22,500</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2,250</w:t>
            </w:r>
          </w:p>
        </w:tc>
        <w:tc>
          <w:tcPr>
            <w:tcW w:w="2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1,902</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80" w:type="dxa"/>
            <w:vAlign w:val="bottom"/>
            <w:shd w:val="clear" w:color="auto" w:fill="CCECFF"/>
          </w:tcPr>
          <w:p>
            <w:pPr>
              <w:ind w:left="100"/>
              <w:spacing w:after="0"/>
              <w:rPr>
                <w:sz w:val="20"/>
                <w:szCs w:val="20"/>
                <w:color w:val="auto"/>
              </w:rPr>
            </w:pPr>
            <w:r>
              <w:rPr>
                <w:rFonts w:ascii="Arial" w:cs="Arial" w:eastAsia="Arial" w:hAnsi="Arial"/>
                <w:sz w:val="11"/>
                <w:szCs w:val="11"/>
                <w:color w:val="auto"/>
              </w:rPr>
              <w:t>(Blackhawk Industrial Distribution, Inc.)</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80" w:type="dxa"/>
            <w:vAlign w:val="bottom"/>
          </w:tcPr>
          <w:p>
            <w:pPr>
              <w:ind w:left="20"/>
              <w:spacing w:after="0" w:line="105" w:lineRule="exact"/>
              <w:rPr>
                <w:sz w:val="20"/>
                <w:szCs w:val="20"/>
                <w:color w:val="auto"/>
              </w:rPr>
            </w:pPr>
            <w:r>
              <w:rPr>
                <w:rFonts w:ascii="Arial" w:cs="Arial" w:eastAsia="Arial" w:hAnsi="Arial"/>
                <w:sz w:val="11"/>
                <w:szCs w:val="11"/>
                <w:color w:val="auto"/>
              </w:rPr>
              <w:t>Crane 1 Acquisition Parent Holdings, L.P.</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05" w:lineRule="exact"/>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113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104</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104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Crash Champion Holdings,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Delta InvestCo LP (Sigma Defense Systems,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570,522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w w:val="98"/>
              </w:rPr>
              <w:t xml:space="preserve">Delta InvestCo LP (Sigma Defense Systems, LLC) </w:t>
            </w:r>
            <w:r>
              <w:rPr>
                <w:rFonts w:ascii="Arial" w:cs="Arial" w:eastAsia="Arial" w:hAnsi="Arial"/>
                <w:sz w:val="14"/>
                <w:szCs w:val="14"/>
                <w:color w:val="auto"/>
                <w:w w:val="98"/>
                <w:vertAlign w:val="superscript"/>
              </w:rPr>
              <w:t>(7), (9)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570,522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(82 )</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167,537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14"/>
                <w:szCs w:val="14"/>
                <w:color w:val="auto"/>
                <w:vertAlign w:val="superscript"/>
              </w:rPr>
              <w:t>(11)</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1,005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3,331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FedHC InvestCo LP </w:t>
            </w:r>
            <w:r>
              <w:rPr>
                <w:rFonts w:ascii="Arial" w:cs="Arial" w:eastAsia="Arial" w:hAnsi="Arial"/>
                <w:sz w:val="14"/>
                <w:szCs w:val="14"/>
                <w:color w:val="auto"/>
                <w:vertAlign w:val="superscript"/>
              </w:rPr>
              <w:t>(7),(9)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4,072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780" w:type="dxa"/>
            <w:vAlign w:val="bottom"/>
          </w:tcPr>
          <w:p>
            <w:pPr>
              <w:ind w:left="20"/>
              <w:spacing w:after="0"/>
              <w:rPr>
                <w:sz w:val="20"/>
                <w:szCs w:val="20"/>
                <w:color w:val="auto"/>
              </w:rPr>
            </w:pPr>
            <w:r>
              <w:rPr>
                <w:rFonts w:ascii="Arial" w:cs="Arial" w:eastAsia="Arial" w:hAnsi="Arial"/>
                <w:sz w:val="11"/>
                <w:szCs w:val="11"/>
                <w:color w:val="auto"/>
              </w:rPr>
              <w:t>Gauge Lash Coinvest LLC</w:t>
            </w:r>
          </w:p>
        </w:tc>
        <w:tc>
          <w:tcPr>
            <w:tcW w:w="140" w:type="dxa"/>
            <w:vAlign w:val="bottom"/>
          </w:tcPr>
          <w:p>
            <w:pPr>
              <w:spacing w:after="0"/>
              <w:rPr>
                <w:sz w:val="12"/>
                <w:szCs w:val="12"/>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889,376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80" w:type="dxa"/>
            <w:vAlign w:val="bottom"/>
            <w:shd w:val="clear" w:color="auto" w:fill="CCECFF"/>
          </w:tcPr>
          <w:p>
            <w:pPr>
              <w:ind w:left="20"/>
              <w:spacing w:after="0"/>
              <w:rPr>
                <w:sz w:val="20"/>
                <w:szCs w:val="20"/>
                <w:color w:val="auto"/>
              </w:rPr>
            </w:pPr>
            <w:r>
              <w:rPr>
                <w:rFonts w:ascii="Arial" w:cs="Arial" w:eastAsia="Arial" w:hAnsi="Arial"/>
                <w:sz w:val="11"/>
                <w:szCs w:val="11"/>
                <w:color w:val="auto"/>
              </w:rPr>
              <w:t>Gauge Schlesinger Coinvest, LLC</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2"/>
                <w:szCs w:val="12"/>
                <w:color w:val="auto"/>
              </w:rPr>
            </w:pPr>
          </w:p>
        </w:tc>
        <w:tc>
          <w:tcPr>
            <w:tcW w:w="24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CFF"/>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Gauge TVC Coinvest, LLC</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40" w:type="dxa"/>
            <w:vAlign w:val="bottom"/>
          </w:tcPr>
          <w:p>
            <w:pPr>
              <w:jc w:val="center"/>
              <w:spacing w:after="0" w:line="125" w:lineRule="exact"/>
              <w:rPr>
                <w:sz w:val="20"/>
                <w:szCs w:val="20"/>
                <w:color w:val="auto"/>
              </w:rPr>
            </w:pPr>
            <w:r>
              <w:rPr>
                <w:rFonts w:ascii="Arial" w:cs="Arial" w:eastAsia="Arial" w:hAnsi="Arial"/>
                <w:sz w:val="11"/>
                <w:szCs w:val="11"/>
                <w:color w:val="auto"/>
                <w:w w:val="90"/>
              </w:rPr>
              <w:t>Transportation</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810,645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2,663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100"/>
              <w:spacing w:after="0" w:line="115" w:lineRule="exact"/>
              <w:rPr>
                <w:sz w:val="20"/>
                <w:szCs w:val="20"/>
                <w:color w:val="auto"/>
              </w:rPr>
            </w:pPr>
            <w:r>
              <w:rPr>
                <w:rFonts w:ascii="Arial" w:cs="Arial" w:eastAsia="Arial" w:hAnsi="Arial"/>
                <w:sz w:val="11"/>
                <w:szCs w:val="11"/>
                <w:color w:val="auto"/>
              </w:rPr>
              <w:t>(TVC Enterprises, LLC)</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1,855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809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GCOM InvestCo LP </w:t>
            </w:r>
            <w:r>
              <w:rPr>
                <w:rFonts w:ascii="Arial" w:cs="Arial" w:eastAsia="Arial" w:hAnsi="Arial"/>
                <w:sz w:val="14"/>
                <w:szCs w:val="14"/>
                <w:color w:val="auto"/>
                <w:vertAlign w:val="superscript"/>
              </w:rPr>
              <w:t>(7),(9)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5"/>
        </w:trPr>
        <w:tc>
          <w:tcPr>
            <w:tcW w:w="278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Go Dawgs Capital III, LP</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94"/>
              </w:rPr>
              <w:t>Building Materials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675,325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675</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844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78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80" w:type="dxa"/>
            <w:vAlign w:val="bottom"/>
            <w:vMerge w:val="continue"/>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0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80" w:type="dxa"/>
            <w:vAlign w:val="bottom"/>
          </w:tcPr>
          <w:p>
            <w:pPr>
              <w:ind w:left="20"/>
              <w:spacing w:after="0" w:line="125" w:lineRule="exact"/>
              <w:rPr>
                <w:sz w:val="20"/>
                <w:szCs w:val="20"/>
                <w:color w:val="auto"/>
              </w:rPr>
            </w:pPr>
            <w:r>
              <w:rPr>
                <w:rFonts w:ascii="Arial" w:cs="Arial" w:eastAsia="Arial" w:hAnsi="Arial"/>
                <w:sz w:val="11"/>
                <w:szCs w:val="11"/>
                <w:color w:val="auto"/>
              </w:rPr>
              <w:t>Green Veracity Holdings, LP - Class A</w:t>
            </w:r>
          </w:p>
        </w:tc>
        <w:tc>
          <w:tcPr>
            <w:tcW w:w="140" w:type="dxa"/>
            <w:vAlign w:val="bottom"/>
          </w:tcPr>
          <w:p>
            <w:pPr>
              <w:spacing w:after="0"/>
              <w:rPr>
                <w:sz w:val="10"/>
                <w:szCs w:val="10"/>
                <w:color w:val="auto"/>
              </w:rPr>
            </w:pPr>
          </w:p>
        </w:tc>
        <w:tc>
          <w:tcPr>
            <w:tcW w:w="680" w:type="dxa"/>
            <w:vAlign w:val="bottom"/>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4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15,000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1"/>
                <w:szCs w:val="11"/>
                <w:color w:val="auto"/>
              </w:rPr>
              <w:t>5,320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100"/>
              <w:spacing w:after="0" w:line="115" w:lineRule="exact"/>
              <w:rPr>
                <w:sz w:val="20"/>
                <w:szCs w:val="20"/>
                <w:color w:val="auto"/>
              </w:rPr>
            </w:pPr>
            <w:r>
              <w:rPr>
                <w:rFonts w:ascii="Arial" w:cs="Arial" w:eastAsia="Arial" w:hAnsi="Arial"/>
                <w:sz w:val="11"/>
                <w:szCs w:val="11"/>
                <w:color w:val="auto"/>
              </w:rPr>
              <w:t>(VT Topco, Inc.)</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Hancock Claims Consultants Investors,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Insurance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450,000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450</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Infogroup Parent Holdings, Inc. (Data Axle,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92"/>
              </w:rPr>
              <w:t>Other Media</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181,495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2,040</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3,221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w w:val="95"/>
              </w:rPr>
              <w:t xml:space="preserve">Ironclad Holdco, LLC (Applied Technical Services, LLC) </w:t>
            </w:r>
            <w:r>
              <w:rPr>
                <w:rFonts w:ascii="Arial" w:cs="Arial" w:eastAsia="Arial" w:hAnsi="Arial"/>
                <w:sz w:val="14"/>
                <w:szCs w:val="14"/>
                <w:color w:val="auto"/>
                <w:w w:val="95"/>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3,960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375,675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60,808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JWC-WE Holdings, L.P.</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9"/>
              </w:rPr>
              <w:t>Home and Office Furnishings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1,906,433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6,616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780" w:type="dxa"/>
            <w:vAlign w:val="bottom"/>
            <w:vMerge w:val="restart"/>
          </w:tcPr>
          <w:p>
            <w:pPr>
              <w:ind w:left="100"/>
              <w:spacing w:after="0" w:line="135" w:lineRule="exact"/>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14"/>
                <w:szCs w:val="14"/>
                <w:color w:val="auto"/>
                <w:vertAlign w:val="superscript"/>
              </w:rPr>
              <w:t>(9)</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780" w:type="dxa"/>
            <w:vAlign w:val="bottom"/>
            <w:vMerge w:val="continue"/>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4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10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68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60" w:type="dxa"/>
            <w:vAlign w:val="bottom"/>
            <w:tcBorders>
              <w:bottom w:val="single" w:sz="8" w:color="CCECFF"/>
            </w:tcBorders>
            <w:shd w:val="clear" w:color="auto" w:fill="CCECFF"/>
          </w:tcPr>
          <w:p>
            <w:pPr>
              <w:spacing w:after="0"/>
              <w:rPr>
                <w:sz w:val="10"/>
                <w:szCs w:val="10"/>
                <w:color w:val="auto"/>
              </w:rPr>
            </w:pPr>
          </w:p>
        </w:tc>
        <w:tc>
          <w:tcPr>
            <w:tcW w:w="560" w:type="dxa"/>
            <w:vAlign w:val="bottom"/>
            <w:tcBorders>
              <w:bottom w:val="single" w:sz="8" w:color="CCECFF"/>
            </w:tcBorders>
            <w:shd w:val="clear" w:color="auto" w:fill="CCECFF"/>
          </w:tcPr>
          <w:p>
            <w:pPr>
              <w:spacing w:after="0"/>
              <w:rPr>
                <w:sz w:val="10"/>
                <w:szCs w:val="10"/>
                <w:color w:val="auto"/>
              </w:rPr>
            </w:pPr>
          </w:p>
        </w:tc>
        <w:tc>
          <w:tcPr>
            <w:tcW w:w="20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480" w:type="dxa"/>
            <w:vAlign w:val="bottom"/>
            <w:tcBorders>
              <w:bottom w:val="single" w:sz="8" w:color="CCECFF"/>
            </w:tcBorders>
            <w:shd w:val="clear" w:color="auto" w:fill="CCECFF"/>
          </w:tcPr>
          <w:p>
            <w:pPr>
              <w:spacing w:after="0"/>
              <w:rPr>
                <w:sz w:val="10"/>
                <w:szCs w:val="10"/>
                <w:color w:val="auto"/>
              </w:rPr>
            </w:pPr>
          </w:p>
        </w:tc>
        <w:tc>
          <w:tcPr>
            <w:tcW w:w="10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780" w:type="dxa"/>
            <w:vAlign w:val="bottom"/>
          </w:tcPr>
          <w:p>
            <w:pPr>
              <w:ind w:left="20"/>
              <w:spacing w:after="0" w:line="105" w:lineRule="exact"/>
              <w:rPr>
                <w:sz w:val="20"/>
                <w:szCs w:val="20"/>
                <w:color w:val="auto"/>
              </w:rPr>
            </w:pPr>
            <w:r>
              <w:rPr>
                <w:rFonts w:ascii="Arial" w:cs="Arial" w:eastAsia="Arial" w:hAnsi="Arial"/>
                <w:sz w:val="9"/>
                <w:szCs w:val="9"/>
                <w:color w:val="auto"/>
              </w:rPr>
              <w:t xml:space="preserve">Kadmon Holdings, Inc. </w:t>
            </w:r>
            <w:r>
              <w:rPr>
                <w:rFonts w:ascii="Arial" w:cs="Arial" w:eastAsia="Arial" w:hAnsi="Arial"/>
                <w:sz w:val="12"/>
                <w:szCs w:val="12"/>
                <w:color w:val="auto"/>
                <w:vertAlign w:val="superscript"/>
              </w:rPr>
              <w:t>(5)</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05" w:lineRule="exact"/>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252,014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2,266</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2,195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161,252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KL Stockton Co-Invest LP (Any Hour Services)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382,353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382</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Lariat ecoserv Co-Invest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363,656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1,044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rPr>
                <w:sz w:val="20"/>
                <w:szCs w:val="20"/>
                <w:color w:val="auto"/>
              </w:rPr>
            </w:pPr>
            <w:r>
              <w:rPr>
                <w:rFonts w:ascii="Arial" w:cs="Arial" w:eastAsia="Arial" w:hAnsi="Arial"/>
                <w:sz w:val="11"/>
                <w:szCs w:val="11"/>
                <w:color w:val="auto"/>
              </w:rPr>
              <w:t>Lightspeed Investment Holdco LLC</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273,143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Mars Intermidiate Holdings II,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414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169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Municipal Emergency Services,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1,593,514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1,594</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1,594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1"/>
                <w:szCs w:val="11"/>
                <w:color w:val="auto"/>
              </w:rPr>
              <w:t xml:space="preserve">NEPRT Parent Holdings, LLC (Recteq, LLC)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1,299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1,537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8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NXOF Holdings, Inc.</w:t>
            </w:r>
          </w:p>
        </w:tc>
        <w:tc>
          <w:tcPr>
            <w:tcW w:w="140" w:type="dxa"/>
            <w:vAlign w:val="bottom"/>
            <w:shd w:val="clear" w:color="auto" w:fill="CCECFF"/>
          </w:tcPr>
          <w:p>
            <w:pPr>
              <w:spacing w:after="0"/>
              <w:rPr>
                <w:sz w:val="10"/>
                <w:szCs w:val="10"/>
                <w:color w:val="auto"/>
              </w:rPr>
            </w:pPr>
          </w:p>
        </w:tc>
        <w:tc>
          <w:tcPr>
            <w:tcW w:w="680" w:type="dxa"/>
            <w:vAlign w:val="bottom"/>
            <w:shd w:val="clear" w:color="auto" w:fill="CCECFF"/>
          </w:tcPr>
          <w:p>
            <w:pPr>
              <w:ind w:left="56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0"/>
                <w:szCs w:val="10"/>
                <w:color w:val="auto"/>
              </w:rPr>
            </w:pPr>
          </w:p>
        </w:tc>
        <w:tc>
          <w:tcPr>
            <w:tcW w:w="244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86"/>
              </w:rPr>
              <w:t>Aerospace and Defense</w:t>
            </w:r>
          </w:p>
        </w:tc>
        <w:tc>
          <w:tcPr>
            <w:tcW w:w="120" w:type="dxa"/>
            <w:vAlign w:val="bottom"/>
            <w:shd w:val="clear" w:color="auto" w:fill="CCECFF"/>
          </w:tcPr>
          <w:p>
            <w:pPr>
              <w:spacing w:after="0"/>
              <w:rPr>
                <w:sz w:val="10"/>
                <w:szCs w:val="10"/>
                <w:color w:val="auto"/>
              </w:rPr>
            </w:pPr>
          </w:p>
        </w:tc>
        <w:tc>
          <w:tcPr>
            <w:tcW w:w="940" w:type="dxa"/>
            <w:vAlign w:val="bottom"/>
            <w:gridSpan w:val="2"/>
            <w:shd w:val="clear" w:color="auto" w:fill="CCECFF"/>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60" w:type="dxa"/>
            <w:vAlign w:val="bottom"/>
            <w:shd w:val="clear" w:color="auto" w:fill="CCECFF"/>
          </w:tcPr>
          <w:p>
            <w:pPr>
              <w:ind w:left="940"/>
              <w:spacing w:after="0" w:line="125" w:lineRule="exact"/>
              <w:rPr>
                <w:sz w:val="20"/>
                <w:szCs w:val="20"/>
                <w:color w:val="auto"/>
              </w:rPr>
            </w:pPr>
            <w:r>
              <w:rPr>
                <w:rFonts w:ascii="Arial" w:cs="Arial" w:eastAsia="Arial" w:hAnsi="Arial"/>
                <w:sz w:val="11"/>
                <w:szCs w:val="11"/>
                <w:color w:val="auto"/>
                <w:w w:val="90"/>
              </w:rPr>
              <w:t>—</w:t>
            </w:r>
          </w:p>
        </w:tc>
        <w:tc>
          <w:tcPr>
            <w:tcW w:w="880" w:type="dxa"/>
            <w:vAlign w:val="bottom"/>
            <w:gridSpan w:val="2"/>
            <w:shd w:val="clear" w:color="auto" w:fill="CCECFF"/>
          </w:tcPr>
          <w:p>
            <w:pPr>
              <w:jc w:val="right"/>
              <w:spacing w:after="0" w:line="125" w:lineRule="exact"/>
              <w:rPr>
                <w:sz w:val="20"/>
                <w:szCs w:val="20"/>
                <w:color w:val="auto"/>
              </w:rPr>
            </w:pPr>
            <w:r>
              <w:rPr>
                <w:rFonts w:ascii="Arial" w:cs="Arial" w:eastAsia="Arial" w:hAnsi="Arial"/>
                <w:sz w:val="11"/>
                <w:szCs w:val="11"/>
                <w:color w:val="auto"/>
              </w:rPr>
              <w:t>3,261</w:t>
            </w:r>
          </w:p>
        </w:tc>
        <w:tc>
          <w:tcPr>
            <w:tcW w:w="220" w:type="dxa"/>
            <w:vAlign w:val="bottom"/>
            <w:shd w:val="clear" w:color="auto" w:fill="CCECFF"/>
          </w:tcPr>
          <w:p>
            <w:pPr>
              <w:spacing w:after="0"/>
              <w:rPr>
                <w:sz w:val="10"/>
                <w:szCs w:val="10"/>
                <w:color w:val="auto"/>
              </w:rPr>
            </w:pPr>
          </w:p>
        </w:tc>
        <w:tc>
          <w:tcPr>
            <w:tcW w:w="16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3</w:t>
            </w:r>
          </w:p>
        </w:tc>
        <w:tc>
          <w:tcPr>
            <w:tcW w:w="2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186</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780" w:type="dxa"/>
            <w:vAlign w:val="bottom"/>
            <w:shd w:val="clear" w:color="auto" w:fill="CCECFF"/>
          </w:tcPr>
          <w:p>
            <w:pPr>
              <w:ind w:left="100"/>
              <w:spacing w:after="0"/>
              <w:rPr>
                <w:sz w:val="20"/>
                <w:szCs w:val="20"/>
                <w:color w:val="auto"/>
              </w:rPr>
            </w:pPr>
            <w:r>
              <w:rPr>
                <w:rFonts w:ascii="Arial" w:cs="Arial" w:eastAsia="Arial" w:hAnsi="Arial"/>
                <w:sz w:val="11"/>
                <w:szCs w:val="11"/>
                <w:color w:val="auto"/>
              </w:rPr>
              <w:t>(Tyto Athene, LLC)</w:t>
            </w:r>
          </w:p>
        </w:tc>
        <w:tc>
          <w:tcPr>
            <w:tcW w:w="1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780" w:type="dxa"/>
            <w:vAlign w:val="bottom"/>
          </w:tcPr>
          <w:p>
            <w:pPr>
              <w:ind w:left="20"/>
              <w:spacing w:after="0" w:line="105" w:lineRule="exact"/>
              <w:rPr>
                <w:sz w:val="20"/>
                <w:szCs w:val="20"/>
                <w:color w:val="auto"/>
              </w:rPr>
            </w:pPr>
            <w:r>
              <w:rPr>
                <w:rFonts w:ascii="Arial" w:cs="Arial" w:eastAsia="Arial" w:hAnsi="Arial"/>
                <w:sz w:val="11"/>
                <w:szCs w:val="11"/>
                <w:color w:val="auto"/>
              </w:rPr>
              <w:t>OceanSound Discovery Equity, LP</w:t>
            </w:r>
          </w:p>
        </w:tc>
        <w:tc>
          <w:tcPr>
            <w:tcW w:w="140" w:type="dxa"/>
            <w:vAlign w:val="bottom"/>
          </w:tcPr>
          <w:p>
            <w:pPr>
              <w:spacing w:after="0"/>
              <w:rPr>
                <w:sz w:val="9"/>
                <w:szCs w:val="9"/>
                <w:color w:val="auto"/>
              </w:rPr>
            </w:pPr>
          </w:p>
        </w:tc>
        <w:tc>
          <w:tcPr>
            <w:tcW w:w="680" w:type="dxa"/>
            <w:vAlign w:val="bottom"/>
          </w:tcPr>
          <w:p>
            <w:pPr>
              <w:ind w:left="56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05" w:lineRule="exact"/>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0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05" w:lineRule="exact"/>
              <w:rPr>
                <w:sz w:val="20"/>
                <w:szCs w:val="20"/>
                <w:color w:val="auto"/>
              </w:rPr>
            </w:pPr>
            <w:r>
              <w:rPr>
                <w:rFonts w:ascii="Arial" w:cs="Arial" w:eastAsia="Arial" w:hAnsi="Arial"/>
                <w:sz w:val="11"/>
                <w:szCs w:val="11"/>
                <w:color w:val="auto"/>
              </w:rPr>
              <w:t>98,286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979</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05" w:lineRule="exact"/>
              <w:rPr>
                <w:sz w:val="20"/>
                <w:szCs w:val="20"/>
                <w:color w:val="auto"/>
              </w:rPr>
            </w:pPr>
            <w:r>
              <w:rPr>
                <w:rFonts w:ascii="Arial" w:cs="Arial" w:eastAsia="Arial" w:hAnsi="Arial"/>
                <w:sz w:val="11"/>
                <w:szCs w:val="11"/>
                <w:color w:val="auto"/>
              </w:rPr>
              <w:t>1,625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100"/>
              <w:spacing w:after="0" w:line="135" w:lineRule="exact"/>
              <w:rPr>
                <w:sz w:val="20"/>
                <w:szCs w:val="20"/>
                <w:color w:val="auto"/>
              </w:rPr>
            </w:pPr>
            <w:r>
              <w:rPr>
                <w:rFonts w:ascii="Arial" w:cs="Arial" w:eastAsia="Arial" w:hAnsi="Arial"/>
                <w:sz w:val="11"/>
                <w:szCs w:val="11"/>
                <w:color w:val="auto"/>
              </w:rPr>
              <w:t xml:space="preserve">(Holdco Sands Intermediate, LLC)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780" w:type="dxa"/>
            <w:vAlign w:val="bottom"/>
          </w:tcPr>
          <w:p>
            <w:pPr>
              <w:ind w:left="20"/>
              <w:spacing w:after="0" w:line="155" w:lineRule="exact"/>
              <w:rPr>
                <w:sz w:val="20"/>
                <w:szCs w:val="20"/>
                <w:color w:val="auto"/>
              </w:rPr>
            </w:pPr>
            <w:r>
              <w:rPr>
                <w:rFonts w:ascii="Arial" w:cs="Arial" w:eastAsia="Arial" w:hAnsi="Arial"/>
                <w:sz w:val="11"/>
                <w:szCs w:val="11"/>
                <w:color w:val="auto"/>
              </w:rPr>
              <w:t xml:space="preserve">Oral Surgery (ITC) Holdings, LLC </w:t>
            </w:r>
            <w:r>
              <w:rPr>
                <w:rFonts w:ascii="Arial" w:cs="Arial" w:eastAsia="Arial" w:hAnsi="Arial"/>
                <w:sz w:val="14"/>
                <w:szCs w:val="14"/>
                <w:color w:val="auto"/>
                <w:vertAlign w:val="superscript"/>
              </w:rPr>
              <w:t>(9)</w:t>
            </w:r>
          </w:p>
        </w:tc>
        <w:tc>
          <w:tcPr>
            <w:tcW w:w="140" w:type="dxa"/>
            <w:vAlign w:val="bottom"/>
          </w:tcPr>
          <w:p>
            <w:pPr>
              <w:spacing w:after="0"/>
              <w:rPr>
                <w:sz w:val="13"/>
                <w:szCs w:val="13"/>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2,904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63</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780" w:type="dxa"/>
            <w:vAlign w:val="bottom"/>
          </w:tcPr>
          <w:p>
            <w:pPr>
              <w:ind w:left="20"/>
              <w:spacing w:after="0" w:line="115" w:lineRule="exact"/>
              <w:rPr>
                <w:sz w:val="20"/>
                <w:szCs w:val="20"/>
                <w:color w:val="auto"/>
              </w:rPr>
            </w:pPr>
            <w:r>
              <w:rPr>
                <w:rFonts w:ascii="Arial" w:cs="Arial" w:eastAsia="Arial" w:hAnsi="Arial"/>
                <w:sz w:val="11"/>
                <w:szCs w:val="11"/>
                <w:color w:val="auto"/>
              </w:rPr>
              <w:t>ORL Holdco, Inc.</w:t>
            </w:r>
          </w:p>
        </w:tc>
        <w:tc>
          <w:tcPr>
            <w:tcW w:w="140" w:type="dxa"/>
            <w:vAlign w:val="bottom"/>
          </w:tcPr>
          <w:p>
            <w:pPr>
              <w:spacing w:after="0"/>
              <w:rPr>
                <w:sz w:val="9"/>
                <w:szCs w:val="9"/>
                <w:color w:val="auto"/>
              </w:rPr>
            </w:pPr>
          </w:p>
        </w:tc>
        <w:tc>
          <w:tcPr>
            <w:tcW w:w="680" w:type="dxa"/>
            <w:vAlign w:val="bottom"/>
          </w:tcPr>
          <w:p>
            <w:pPr>
              <w:ind w:left="56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4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60" w:type="dxa"/>
            <w:vAlign w:val="bottom"/>
          </w:tcPr>
          <w:p>
            <w:pPr>
              <w:ind w:left="940"/>
              <w:spacing w:after="0" w:line="115" w:lineRule="exact"/>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638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w:t>
            </w: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80" w:type="dxa"/>
            <w:vAlign w:val="bottom"/>
          </w:tcPr>
          <w:p>
            <w:pPr>
              <w:ind w:left="20"/>
              <w:spacing w:after="0" w:line="135" w:lineRule="exact"/>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14"/>
                <w:szCs w:val="14"/>
                <w:color w:val="auto"/>
                <w:vertAlign w:val="superscript"/>
              </w:rPr>
              <w:t>(7),(9)</w:t>
            </w:r>
          </w:p>
        </w:tc>
        <w:tc>
          <w:tcPr>
            <w:tcW w:w="140" w:type="dxa"/>
            <w:vAlign w:val="bottom"/>
          </w:tcPr>
          <w:p>
            <w:pPr>
              <w:spacing w:after="0"/>
              <w:rPr>
                <w:sz w:val="11"/>
                <w:szCs w:val="11"/>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1"/>
                <w:szCs w:val="11"/>
                <w:color w:val="auto"/>
              </w:rPr>
              <w:t xml:space="preserve">QuantiTech InvestCo II LP </w:t>
            </w:r>
            <w:r>
              <w:rPr>
                <w:rFonts w:ascii="Arial" w:cs="Arial" w:eastAsia="Arial" w:hAnsi="Arial"/>
                <w:sz w:val="14"/>
                <w:szCs w:val="14"/>
                <w:color w:val="auto"/>
                <w:vertAlign w:val="superscript"/>
              </w:rPr>
              <w:t>(9)</w:t>
            </w:r>
          </w:p>
        </w:tc>
        <w:tc>
          <w:tcPr>
            <w:tcW w:w="140" w:type="dxa"/>
            <w:vAlign w:val="bottom"/>
          </w:tcPr>
          <w:p>
            <w:pPr>
              <w:spacing w:after="0"/>
              <w:rPr>
                <w:sz w:val="14"/>
                <w:szCs w:val="14"/>
                <w:color w:val="auto"/>
              </w:rPr>
            </w:pPr>
          </w:p>
        </w:tc>
        <w:tc>
          <w:tcPr>
            <w:tcW w:w="680" w:type="dxa"/>
            <w:vAlign w:val="bottom"/>
          </w:tcPr>
          <w:p>
            <w:pPr>
              <w:ind w:left="56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ind w:left="940"/>
              <w:spacing w:after="0"/>
              <w:rPr>
                <w:sz w:val="20"/>
                <w:szCs w:val="20"/>
                <w:color w:val="auto"/>
              </w:rPr>
            </w:pPr>
            <w:r>
              <w:rPr>
                <w:rFonts w:ascii="Arial" w:cs="Arial" w:eastAsia="Arial" w:hAnsi="Arial"/>
                <w:sz w:val="11"/>
                <w:szCs w:val="11"/>
                <w:color w:val="auto"/>
                <w:w w:val="90"/>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-5859780</wp:posOffset>
            </wp:positionV>
            <wp:extent cx="685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-5859780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-5760085</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-5417185</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-5074285</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-4813935</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-4813935</wp:posOffset>
            </wp:positionV>
            <wp:extent cx="685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-4714240</wp:posOffset>
            </wp:positionV>
            <wp:extent cx="7132320" cy="857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-4542790</wp:posOffset>
            </wp:positionV>
            <wp:extent cx="7132320" cy="857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-4371340</wp:posOffset>
            </wp:positionV>
            <wp:extent cx="7132320" cy="857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-4199890</wp:posOffset>
            </wp:positionV>
            <wp:extent cx="7132320" cy="857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-4028440</wp:posOffset>
            </wp:positionV>
            <wp:extent cx="713232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-3514090</wp:posOffset>
            </wp:positionV>
            <wp:extent cx="713232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-2399665</wp:posOffset>
            </wp:positionV>
            <wp:extent cx="713232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-1885315</wp:posOffset>
            </wp:positionV>
            <wp:extent cx="713232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-1456690</wp:posOffset>
            </wp:positionV>
            <wp:extent cx="713232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85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7132320" cy="85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57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57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SCHEDULE OF INVESTMENTS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Maturity /</w:t>
            </w: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1"/>
                <w:szCs w:val="11"/>
                <w:b w:val="1"/>
                <w:bCs w:val="1"/>
                <w:color w:val="auto"/>
              </w:rPr>
              <w:t>Current</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Par /</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6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149"/>
        </w:trPr>
        <w:tc>
          <w:tcPr>
            <w:tcW w:w="3000" w:type="dxa"/>
            <w:vAlign w:val="bottom"/>
            <w:gridSpan w:val="3"/>
            <w:vMerge w:val="continue"/>
          </w:tcPr>
          <w:p>
            <w:pPr>
              <w:spacing w:after="0"/>
              <w:rPr>
                <w:sz w:val="12"/>
                <w:szCs w:val="12"/>
                <w:color w:val="auto"/>
              </w:rPr>
            </w:pP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24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Coupon</w:t>
            </w:r>
          </w:p>
        </w:tc>
        <w:tc>
          <w:tcPr>
            <w:tcW w:w="10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26"/>
              <w:spacing w:after="0"/>
              <w:rPr>
                <w:sz w:val="20"/>
                <w:szCs w:val="20"/>
                <w:color w:val="auto"/>
              </w:rPr>
            </w:pPr>
            <w:r>
              <w:rPr>
                <w:rFonts w:ascii="Arial" w:cs="Arial" w:eastAsia="Arial" w:hAnsi="Arial"/>
                <w:sz w:val="11"/>
                <w:szCs w:val="11"/>
                <w:b w:val="1"/>
                <w:bCs w:val="1"/>
                <w:color w:val="auto"/>
                <w:w w:val="97"/>
              </w:rPr>
              <w:t>Shares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color w:val="auto"/>
              </w:rPr>
              <w:t>RFMG Parent, LP (Rancho Health MSO, Inc.)</w:t>
            </w:r>
          </w:p>
        </w:tc>
        <w:tc>
          <w:tcPr>
            <w:tcW w:w="120" w:type="dxa"/>
            <w:vAlign w:val="bottom"/>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1,050,000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1,050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SBI Holdings Investments LLC</w:t>
            </w:r>
          </w:p>
        </w:tc>
        <w:tc>
          <w:tcPr>
            <w:tcW w:w="620" w:type="dxa"/>
            <w:vAlign w:val="bottom"/>
          </w:tcPr>
          <w:p>
            <w:pPr>
              <w:ind w:left="50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36,585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366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278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gridSpan w:val="3"/>
          </w:tcPr>
          <w:p>
            <w:pPr>
              <w:ind w:left="100"/>
              <w:spacing w:after="0"/>
              <w:rPr>
                <w:sz w:val="20"/>
                <w:szCs w:val="20"/>
                <w:color w:val="auto"/>
              </w:rPr>
            </w:pPr>
            <w:r>
              <w:rPr>
                <w:rFonts w:ascii="Arial" w:cs="Arial" w:eastAsia="Arial" w:hAnsi="Arial"/>
                <w:sz w:val="11"/>
                <w:szCs w:val="11"/>
                <w:color w:val="auto"/>
              </w:rPr>
              <w:t>(Sales Benchmark Index LLC)</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0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Signature CR Intermediate Holdco, Inc.</w:t>
            </w:r>
          </w:p>
        </w:tc>
        <w:tc>
          <w:tcPr>
            <w:tcW w:w="620" w:type="dxa"/>
            <w:vAlign w:val="bottom"/>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2"/>
                <w:szCs w:val="12"/>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30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SSC Dominion Holdings, LLC</w:t>
            </w:r>
          </w:p>
        </w:tc>
        <w:tc>
          <w:tcPr>
            <w:tcW w:w="620" w:type="dxa"/>
            <w:vAlign w:val="bottom"/>
          </w:tcPr>
          <w:p>
            <w:pPr>
              <w:ind w:left="50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1,500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gridSpan w:val="3"/>
          </w:tcPr>
          <w:p>
            <w:pPr>
              <w:ind w:left="100"/>
              <w:spacing w:after="0"/>
              <w:rPr>
                <w:sz w:val="20"/>
                <w:szCs w:val="20"/>
                <w:color w:val="auto"/>
              </w:rPr>
            </w:pPr>
            <w:r>
              <w:rPr>
                <w:rFonts w:ascii="Arial" w:cs="Arial" w:eastAsia="Arial" w:hAnsi="Arial"/>
                <w:sz w:val="11"/>
                <w:szCs w:val="11"/>
                <w:color w:val="auto"/>
              </w:rPr>
              <w:t>Class A (US Dominion, Inc.)</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28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SSC Dominion Holdings, LLC</w:t>
            </w:r>
          </w:p>
        </w:tc>
        <w:tc>
          <w:tcPr>
            <w:tcW w:w="180" w:type="dxa"/>
            <w:vAlign w:val="bottom"/>
            <w:gridSpan w:val="2"/>
            <w:shd w:val="clear" w:color="auto" w:fill="CCECFF"/>
          </w:tcPr>
          <w:p>
            <w:pPr>
              <w:spacing w:after="0"/>
              <w:rPr>
                <w:sz w:val="11"/>
                <w:szCs w:val="11"/>
                <w:color w:val="auto"/>
              </w:rPr>
            </w:pPr>
          </w:p>
        </w:tc>
        <w:tc>
          <w:tcPr>
            <w:tcW w:w="620" w:type="dxa"/>
            <w:vAlign w:val="bottom"/>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CECFF"/>
          </w:tcPr>
          <w:p>
            <w:pPr>
              <w:ind w:left="100"/>
              <w:spacing w:after="0"/>
              <w:rPr>
                <w:sz w:val="20"/>
                <w:szCs w:val="20"/>
                <w:color w:val="auto"/>
              </w:rPr>
            </w:pPr>
            <w:r>
              <w:rPr>
                <w:rFonts w:ascii="Arial" w:cs="Arial" w:eastAsia="Arial" w:hAnsi="Arial"/>
                <w:sz w:val="11"/>
                <w:szCs w:val="11"/>
                <w:color w:val="auto"/>
              </w:rPr>
              <w:t>Class B (US Dominion, Inc.)</w:t>
            </w:r>
          </w:p>
        </w:tc>
        <w:tc>
          <w:tcPr>
            <w:tcW w:w="180" w:type="dxa"/>
            <w:vAlign w:val="bottom"/>
            <w:gridSpan w:val="2"/>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5"/>
        </w:trPr>
        <w:tc>
          <w:tcPr>
            <w:tcW w:w="2820" w:type="dxa"/>
            <w:vAlign w:val="bottom"/>
          </w:tcPr>
          <w:p>
            <w:pPr>
              <w:ind w:left="20"/>
              <w:spacing w:after="0" w:line="105" w:lineRule="exact"/>
              <w:rPr>
                <w:sz w:val="20"/>
                <w:szCs w:val="20"/>
                <w:color w:val="auto"/>
              </w:rPr>
            </w:pPr>
            <w:r>
              <w:rPr>
                <w:rFonts w:ascii="Arial" w:cs="Arial" w:eastAsia="Arial" w:hAnsi="Arial"/>
                <w:sz w:val="11"/>
                <w:szCs w:val="11"/>
                <w:color w:val="auto"/>
              </w:rPr>
              <w:t>StellPen Holdings, LLC (CF512, Inc.)</w:t>
            </w:r>
          </w:p>
        </w:tc>
        <w:tc>
          <w:tcPr>
            <w:tcW w:w="180" w:type="dxa"/>
            <w:vAlign w:val="bottom"/>
            <w:gridSpan w:val="2"/>
          </w:tcPr>
          <w:p>
            <w:pPr>
              <w:spacing w:after="0"/>
              <w:rPr>
                <w:sz w:val="9"/>
                <w:szCs w:val="9"/>
                <w:color w:val="auto"/>
              </w:rPr>
            </w:pPr>
          </w:p>
        </w:tc>
        <w:tc>
          <w:tcPr>
            <w:tcW w:w="620" w:type="dxa"/>
            <w:vAlign w:val="bottom"/>
          </w:tcPr>
          <w:p>
            <w:pPr>
              <w:ind w:left="500"/>
              <w:spacing w:after="0" w:line="10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80" w:type="dxa"/>
            <w:vAlign w:val="bottom"/>
          </w:tcPr>
          <w:p>
            <w:pPr>
              <w:jc w:val="center"/>
              <w:spacing w:after="0" w:line="105" w:lineRule="exact"/>
              <w:rPr>
                <w:sz w:val="20"/>
                <w:szCs w:val="20"/>
                <w:color w:val="auto"/>
              </w:rPr>
            </w:pPr>
            <w:r>
              <w:rPr>
                <w:rFonts w:ascii="Arial" w:cs="Arial" w:eastAsia="Arial" w:hAnsi="Arial"/>
                <w:sz w:val="11"/>
                <w:szCs w:val="11"/>
                <w:color w:val="auto"/>
                <w:w w:val="93"/>
              </w:rPr>
              <w:t>Media</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0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05" w:lineRule="exact"/>
              <w:rPr>
                <w:sz w:val="20"/>
                <w:szCs w:val="20"/>
                <w:color w:val="auto"/>
              </w:rPr>
            </w:pPr>
            <w:r>
              <w:rPr>
                <w:rFonts w:ascii="Arial" w:cs="Arial" w:eastAsia="Arial" w:hAnsi="Arial"/>
                <w:sz w:val="11"/>
                <w:szCs w:val="11"/>
                <w:color w:val="auto"/>
              </w:rPr>
              <w:t>153,846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154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5" w:lineRule="exact"/>
              <w:rPr>
                <w:sz w:val="20"/>
                <w:szCs w:val="20"/>
                <w:color w:val="auto"/>
              </w:rPr>
            </w:pPr>
            <w:r>
              <w:rPr>
                <w:rFonts w:ascii="Arial" w:cs="Arial" w:eastAsia="Arial" w:hAnsi="Arial"/>
                <w:sz w:val="11"/>
                <w:szCs w:val="11"/>
                <w:color w:val="auto"/>
              </w:rPr>
              <w:t>154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TAC LifePort Holdings, LLC </w:t>
            </w:r>
            <w:r>
              <w:rPr>
                <w:rFonts w:ascii="Arial" w:cs="Arial" w:eastAsia="Arial" w:hAnsi="Arial"/>
                <w:sz w:val="14"/>
                <w:szCs w:val="14"/>
                <w:color w:val="auto"/>
                <w:vertAlign w:val="superscript"/>
              </w:rPr>
              <w:t>(9)</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232,558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14"/>
                <w:szCs w:val="14"/>
                <w:color w:val="auto"/>
                <w:vertAlign w:val="superscript"/>
              </w:rPr>
              <w:t>(8). (11)</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Food</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11,527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30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TWD Parent Holdings, LLC (The Vertex Companies, LLC)</w:t>
            </w:r>
          </w:p>
        </w:tc>
        <w:tc>
          <w:tcPr>
            <w:tcW w:w="620" w:type="dxa"/>
            <w:vAlign w:val="bottom"/>
          </w:tcPr>
          <w:p>
            <w:pPr>
              <w:ind w:left="50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6"/>
              </w:rPr>
              <w:t>Business Services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608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U.S. Well Services, Inc. - Class A </w:t>
            </w:r>
            <w:r>
              <w:rPr>
                <w:rFonts w:ascii="Arial" w:cs="Arial" w:eastAsia="Arial" w:hAnsi="Arial"/>
                <w:sz w:val="14"/>
                <w:szCs w:val="14"/>
                <w:color w:val="auto"/>
                <w:vertAlign w:val="superscript"/>
              </w:rPr>
              <w:t>(5), (11)</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1,261,201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3,022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UniVista Insurance</w:t>
            </w:r>
          </w:p>
        </w:tc>
        <w:tc>
          <w:tcPr>
            <w:tcW w:w="620" w:type="dxa"/>
            <w:vAlign w:val="bottom"/>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000" w:type="dxa"/>
            <w:vAlign w:val="bottom"/>
            <w:gridSpan w:val="3"/>
          </w:tcPr>
          <w:p>
            <w:pPr>
              <w:ind w:left="20"/>
              <w:spacing w:after="0" w:line="125" w:lineRule="exact"/>
              <w:rPr>
                <w:sz w:val="20"/>
                <w:szCs w:val="20"/>
                <w:color w:val="auto"/>
              </w:rPr>
            </w:pPr>
            <w:r>
              <w:rPr>
                <w:rFonts w:ascii="Arial" w:cs="Arial" w:eastAsia="Arial" w:hAnsi="Arial"/>
                <w:sz w:val="11"/>
                <w:szCs w:val="11"/>
                <w:color w:val="auto"/>
              </w:rPr>
              <w:t>Wildcat Parent, LP (Wildcat Buyerco, Inc.)</w:t>
            </w:r>
          </w:p>
        </w:tc>
        <w:tc>
          <w:tcPr>
            <w:tcW w:w="620" w:type="dxa"/>
            <w:vAlign w:val="bottom"/>
          </w:tcPr>
          <w:p>
            <w:pPr>
              <w:ind w:left="500"/>
              <w:spacing w:after="0" w:line="12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0"/>
                <w:szCs w:val="10"/>
                <w:color w:val="auto"/>
              </w:rPr>
            </w:pPr>
          </w:p>
        </w:tc>
        <w:tc>
          <w:tcPr>
            <w:tcW w:w="2480" w:type="dxa"/>
            <w:vAlign w:val="bottom"/>
          </w:tcPr>
          <w:p>
            <w:pPr>
              <w:jc w:val="center"/>
              <w:spacing w:after="0" w:line="125" w:lineRule="exact"/>
              <w:rPr>
                <w:sz w:val="20"/>
                <w:szCs w:val="20"/>
                <w:color w:val="auto"/>
              </w:rPr>
            </w:pPr>
            <w:r>
              <w:rPr>
                <w:rFonts w:ascii="Arial" w:cs="Arial" w:eastAsia="Arial" w:hAnsi="Arial"/>
                <w:sz w:val="11"/>
                <w:szCs w:val="11"/>
                <w:color w:val="auto"/>
                <w:w w:val="89"/>
              </w:rPr>
              <w:t>Electronics</w:t>
            </w:r>
          </w:p>
        </w:tc>
        <w:tc>
          <w:tcPr>
            <w:tcW w:w="120" w:type="dxa"/>
            <w:vAlign w:val="bottom"/>
          </w:tcPr>
          <w:p>
            <w:pPr>
              <w:spacing w:after="0"/>
              <w:rPr>
                <w:sz w:val="10"/>
                <w:szCs w:val="10"/>
                <w:color w:val="auto"/>
              </w:rPr>
            </w:pPr>
          </w:p>
        </w:tc>
        <w:tc>
          <w:tcPr>
            <w:tcW w:w="940" w:type="dxa"/>
            <w:vAlign w:val="bottom"/>
            <w:gridSpan w:val="2"/>
          </w:tcPr>
          <w:p>
            <w:pPr>
              <w:jc w:val="right"/>
              <w:ind w:right="260"/>
              <w:spacing w:after="0" w:line="12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5" w:lineRule="exact"/>
              <w:rPr>
                <w:sz w:val="20"/>
                <w:szCs w:val="20"/>
                <w:color w:val="auto"/>
              </w:rPr>
            </w:pPr>
            <w:r>
              <w:rPr>
                <w:rFonts w:ascii="Arial" w:cs="Arial" w:eastAsia="Arial" w:hAnsi="Arial"/>
                <w:sz w:val="11"/>
                <w:szCs w:val="11"/>
                <w:color w:val="auto"/>
              </w:rPr>
              <w:t>2,314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231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color w:val="auto"/>
              </w:rPr>
              <w:t>411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shd w:val="clear" w:color="auto" w:fill="CCECFF"/>
          </w:tcPr>
          <w:p>
            <w:pPr>
              <w:ind w:left="20"/>
              <w:spacing w:after="0" w:line="115" w:lineRule="exact"/>
              <w:rPr>
                <w:sz w:val="20"/>
                <w:szCs w:val="20"/>
                <w:color w:val="auto"/>
              </w:rPr>
            </w:pPr>
            <w:r>
              <w:rPr>
                <w:rFonts w:ascii="Arial" w:cs="Arial" w:eastAsia="Arial" w:hAnsi="Arial"/>
                <w:sz w:val="11"/>
                <w:szCs w:val="11"/>
                <w:color w:val="auto"/>
              </w:rPr>
              <w:t>ZS Juniper L.P.</w:t>
            </w:r>
          </w:p>
        </w:tc>
        <w:tc>
          <w:tcPr>
            <w:tcW w:w="180" w:type="dxa"/>
            <w:vAlign w:val="bottom"/>
            <w:gridSpan w:val="2"/>
          </w:tcPr>
          <w:p>
            <w:pPr>
              <w:spacing w:after="0"/>
              <w:rPr>
                <w:sz w:val="9"/>
                <w:szCs w:val="9"/>
                <w:color w:val="auto"/>
              </w:rPr>
            </w:pPr>
          </w:p>
        </w:tc>
        <w:tc>
          <w:tcPr>
            <w:tcW w:w="620" w:type="dxa"/>
            <w:vAlign w:val="bottom"/>
          </w:tcPr>
          <w:p>
            <w:pPr>
              <w:ind w:left="50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87"/>
              </w:rPr>
              <w:t>Personal, Food and Miscellaneous Services</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1,056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1,056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5,227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820" w:type="dxa"/>
            <w:vAlign w:val="bottom"/>
            <w:vMerge w:val="restart"/>
            <w:shd w:val="clear" w:color="auto" w:fill="CCECFF"/>
          </w:tcPr>
          <w:p>
            <w:pPr>
              <w:ind w:left="100"/>
              <w:spacing w:after="0"/>
              <w:rPr>
                <w:sz w:val="20"/>
                <w:szCs w:val="20"/>
                <w:color w:val="auto"/>
              </w:rPr>
            </w:pPr>
            <w:r>
              <w:rPr>
                <w:rFonts w:ascii="Arial" w:cs="Arial" w:eastAsia="Arial" w:hAnsi="Arial"/>
                <w:sz w:val="11"/>
                <w:szCs w:val="11"/>
                <w:color w:val="auto"/>
              </w:rPr>
              <w:t xml:space="preserve">(Juniper Landscaping of Florida, LLC) </w:t>
            </w:r>
            <w:r>
              <w:rPr>
                <w:rFonts w:ascii="Arial" w:cs="Arial" w:eastAsia="Arial" w:hAnsi="Arial"/>
                <w:sz w:val="14"/>
                <w:szCs w:val="14"/>
                <w:color w:val="auto"/>
                <w:vertAlign w:val="superscript"/>
              </w:rPr>
              <w:t>(9)</w:t>
            </w:r>
          </w:p>
        </w:tc>
        <w:tc>
          <w:tcPr>
            <w:tcW w:w="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820" w:type="dxa"/>
            <w:vAlign w:val="bottom"/>
            <w:tcBorders>
              <w:bottom w:val="single" w:sz="8" w:color="CCECFF"/>
            </w:tcBorders>
            <w:vMerge w:val="continue"/>
            <w:shd w:val="clear" w:color="auto" w:fill="CCECFF"/>
          </w:tcPr>
          <w:p>
            <w:pPr>
              <w:spacing w:after="0"/>
              <w:rPr>
                <w:sz w:val="11"/>
                <w:szCs w:val="11"/>
                <w:color w:val="auto"/>
              </w:rPr>
            </w:pPr>
          </w:p>
        </w:tc>
        <w:tc>
          <w:tcPr>
            <w:tcW w:w="180" w:type="dxa"/>
            <w:vAlign w:val="bottom"/>
            <w:tcBorders>
              <w:bottom w:val="single" w:sz="8" w:color="CCECFF"/>
            </w:tcBorders>
            <w:gridSpan w:val="2"/>
            <w:shd w:val="clear" w:color="auto" w:fill="CCECFF"/>
          </w:tcPr>
          <w:p>
            <w:pPr>
              <w:spacing w:after="0"/>
              <w:rPr>
                <w:sz w:val="11"/>
                <w:szCs w:val="11"/>
                <w:color w:val="auto"/>
              </w:rPr>
            </w:pP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20" w:type="dxa"/>
            <w:vAlign w:val="bottom"/>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18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35,536</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118,982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20" w:type="dxa"/>
            <w:vAlign w:val="bottom"/>
            <w:gridSpan w:val="4"/>
          </w:tcPr>
          <w:p>
            <w:pPr>
              <w:ind w:left="20"/>
              <w:spacing w:after="0" w:line="110" w:lineRule="exact"/>
              <w:rPr>
                <w:sz w:val="20"/>
                <w:szCs w:val="20"/>
                <w:color w:val="auto"/>
              </w:rPr>
            </w:pPr>
            <w:r>
              <w:rPr>
                <w:rFonts w:ascii="Arial" w:cs="Arial" w:eastAsia="Arial" w:hAnsi="Arial"/>
                <w:sz w:val="11"/>
                <w:szCs w:val="11"/>
                <w:b w:val="1"/>
                <w:bCs w:val="1"/>
                <w:color w:val="auto"/>
                <w:w w:val="94"/>
              </w:rPr>
              <w:t>Total Investments in Non-Controlled, Non-Affiliated Portfolio Companies</w:t>
            </w: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729,811</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820,500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620" w:type="dxa"/>
            <w:vAlign w:val="bottom"/>
            <w:gridSpan w:val="4"/>
          </w:tcPr>
          <w:p>
            <w:pPr>
              <w:ind w:left="20"/>
              <w:spacing w:after="0" w:line="103" w:lineRule="exact"/>
              <w:rPr>
                <w:sz w:val="20"/>
                <w:szCs w:val="20"/>
                <w:color w:val="auto"/>
              </w:rPr>
            </w:pPr>
            <w:r>
              <w:rPr>
                <w:rFonts w:ascii="Arial" w:cs="Arial" w:eastAsia="Arial" w:hAnsi="Arial"/>
                <w:sz w:val="9"/>
                <w:szCs w:val="9"/>
                <w:b w:val="1"/>
                <w:bCs w:val="1"/>
                <w:color w:val="auto"/>
              </w:rPr>
              <w:t xml:space="preserve">Investments in Non-Controlled, Affiliated Portfolio Companies—7.6% </w:t>
            </w:r>
            <w:r>
              <w:rPr>
                <w:rFonts w:ascii="Arial" w:cs="Arial" w:eastAsia="Arial" w:hAnsi="Arial"/>
                <w:sz w:val="11"/>
                <w:szCs w:val="11"/>
                <w:b w:val="1"/>
                <w:bCs w:val="1"/>
                <w:color w:val="auto"/>
                <w:vertAlign w:val="superscript"/>
              </w:rPr>
              <w:t>(1), (2)</w:t>
            </w:r>
          </w:p>
        </w:tc>
        <w:tc>
          <w:tcPr>
            <w:tcW w:w="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3000" w:type="dxa"/>
            <w:vAlign w:val="bottom"/>
            <w:gridSpan w:val="3"/>
          </w:tcPr>
          <w:p>
            <w:pPr>
              <w:ind w:left="20"/>
              <w:spacing w:after="0" w:line="137" w:lineRule="exact"/>
              <w:rPr>
                <w:sz w:val="20"/>
                <w:szCs w:val="20"/>
                <w:color w:val="auto"/>
              </w:rPr>
            </w:pPr>
            <w:r>
              <w:rPr>
                <w:rFonts w:ascii="Arial" w:cs="Arial" w:eastAsia="Arial" w:hAnsi="Arial"/>
                <w:sz w:val="11"/>
                <w:szCs w:val="11"/>
                <w:b w:val="1"/>
                <w:bCs w:val="1"/>
                <w:color w:val="auto"/>
              </w:rPr>
              <w:t xml:space="preserve">Preferred Equity/Partnership Interests—6.2% </w:t>
            </w:r>
            <w:r>
              <w:rPr>
                <w:rFonts w:ascii="Arial" w:cs="Arial" w:eastAsia="Arial" w:hAnsi="Arial"/>
                <w:sz w:val="14"/>
                <w:szCs w:val="14"/>
                <w:b w:val="1"/>
                <w:bCs w:val="1"/>
                <w:color w:val="auto"/>
                <w:vertAlign w:val="superscript"/>
              </w:rPr>
              <w:t>(6)</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4"/>
                <w:szCs w:val="14"/>
                <w:color w:val="auto"/>
                <w:vertAlign w:val="superscript"/>
              </w:rPr>
              <w:t>(9)</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61,732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6,173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0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ETX Energy, LLC - Series X </w:t>
            </w:r>
            <w:r>
              <w:rPr>
                <w:rFonts w:ascii="Arial" w:cs="Arial" w:eastAsia="Arial" w:hAnsi="Arial"/>
                <w:sz w:val="14"/>
                <w:szCs w:val="14"/>
                <w:color w:val="auto"/>
                <w:vertAlign w:val="superscript"/>
              </w:rPr>
              <w:t>(9)</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10,944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MidOcean JF Holdings Corp.</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153,922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15,392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Preferred Equity/Partnership Interests</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22,660</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41,023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Equity/Partnership Interests/Warrants—1.4% </w:t>
            </w:r>
            <w:r>
              <w:rPr>
                <w:rFonts w:ascii="Arial" w:cs="Arial" w:eastAsia="Arial" w:hAnsi="Arial"/>
                <w:sz w:val="12"/>
                <w:szCs w:val="12"/>
                <w:b w:val="1"/>
                <w:bCs w:val="1"/>
                <w:color w:val="auto"/>
                <w:vertAlign w:val="superscript"/>
              </w:rPr>
              <w:t>(6)</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000" w:type="dxa"/>
            <w:vAlign w:val="bottom"/>
            <w:gridSpan w:val="3"/>
          </w:tcPr>
          <w:p>
            <w:pPr>
              <w:ind w:left="20"/>
              <w:spacing w:after="0" w:line="155" w:lineRule="exact"/>
              <w:rPr>
                <w:sz w:val="20"/>
                <w:szCs w:val="20"/>
                <w:color w:val="auto"/>
              </w:rPr>
            </w:pPr>
            <w:r>
              <w:rPr>
                <w:rFonts w:ascii="Arial" w:cs="Arial" w:eastAsia="Arial" w:hAnsi="Arial"/>
                <w:sz w:val="11"/>
                <w:szCs w:val="11"/>
                <w:color w:val="auto"/>
              </w:rPr>
              <w:t xml:space="preserve">ETX Energy, LLC </w:t>
            </w:r>
            <w:r>
              <w:rPr>
                <w:rFonts w:ascii="Arial" w:cs="Arial" w:eastAsia="Arial" w:hAnsi="Arial"/>
                <w:sz w:val="14"/>
                <w:szCs w:val="14"/>
                <w:color w:val="auto"/>
                <w:vertAlign w:val="superscript"/>
              </w:rPr>
              <w:t>(9)</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3"/>
                <w:szCs w:val="13"/>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1,658,389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29,712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ETX Energy Management Company, LLC</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2"/>
                <w:szCs w:val="12"/>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Oil and Gas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1,754,104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1,562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color w:val="auto"/>
              </w:rPr>
              <w:t>MidOcean JF Holdings Corp.</w:t>
            </w:r>
          </w:p>
        </w:tc>
        <w:tc>
          <w:tcPr>
            <w:tcW w:w="620" w:type="dxa"/>
            <w:vAlign w:val="bottom"/>
            <w:tcBorders>
              <w:bottom w:val="single" w:sz="8" w:color="CCECFF"/>
            </w:tcBorders>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Borders>
              <w:bottom w:val="single" w:sz="8" w:color="CCECFF"/>
            </w:tcBorders>
            <w:shd w:val="clear" w:color="auto" w:fill="CCECFF"/>
          </w:tcPr>
          <w:p>
            <w:pPr>
              <w:spacing w:after="0"/>
              <w:rPr>
                <w:sz w:val="12"/>
                <w:szCs w:val="12"/>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65,933</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24,790</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9,139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Common Equity/Partnership Interests/Warrants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56,064</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620" w:type="dxa"/>
            <w:vAlign w:val="bottom"/>
            <w:gridSpan w:val="4"/>
          </w:tcPr>
          <w:p>
            <w:pPr>
              <w:ind w:left="20"/>
              <w:spacing w:after="0" w:line="110" w:lineRule="exact"/>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78,723</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50,161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2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w w:val="96"/>
              </w:rPr>
              <w:t xml:space="preserve">Investments in Controlled, Affiliated Portfolio Companies—58.3% </w:t>
            </w:r>
            <w:r>
              <w:rPr>
                <w:rFonts w:ascii="Arial" w:cs="Arial" w:eastAsia="Arial" w:hAnsi="Arial"/>
                <w:sz w:val="14"/>
                <w:szCs w:val="14"/>
                <w:b w:val="1"/>
                <w:bCs w:val="1"/>
                <w:color w:val="auto"/>
                <w:w w:val="96"/>
                <w:vertAlign w:val="superscript"/>
              </w:rPr>
              <w:t>(1), (2)</w:t>
            </w: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00" w:type="dxa"/>
            <w:vAlign w:val="bottom"/>
            <w:gridSpan w:val="3"/>
          </w:tcPr>
          <w:p>
            <w:pPr>
              <w:ind w:left="20"/>
              <w:spacing w:after="0" w:line="119" w:lineRule="exact"/>
              <w:rPr>
                <w:sz w:val="20"/>
                <w:szCs w:val="20"/>
                <w:color w:val="auto"/>
              </w:rPr>
            </w:pPr>
            <w:r>
              <w:rPr>
                <w:rFonts w:ascii="Arial" w:cs="Arial" w:eastAsia="Arial" w:hAnsi="Arial"/>
                <w:sz w:val="11"/>
                <w:szCs w:val="11"/>
                <w:b w:val="1"/>
                <w:bCs w:val="1"/>
                <w:color w:val="auto"/>
              </w:rPr>
              <w:t>First Lien Secured Debt—6.2%</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620" w:type="dxa"/>
            <w:vAlign w:val="bottom"/>
          </w:tcPr>
          <w:p>
            <w:pPr>
              <w:ind w:left="40"/>
              <w:spacing w:after="0"/>
              <w:rPr>
                <w:sz w:val="20"/>
                <w:szCs w:val="20"/>
                <w:color w:val="auto"/>
              </w:rPr>
            </w:pPr>
            <w:r>
              <w:rPr>
                <w:rFonts w:ascii="Arial" w:cs="Arial" w:eastAsia="Arial" w:hAnsi="Arial"/>
                <w:sz w:val="11"/>
                <w:szCs w:val="11"/>
                <w:color w:val="auto"/>
              </w:rPr>
              <w:t>03/13/2024</w:t>
            </w: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7.50 %</w:t>
            </w:r>
          </w:p>
        </w:tc>
        <w:tc>
          <w:tcPr>
            <w:tcW w:w="1040" w:type="dxa"/>
            <w:vAlign w:val="bottom"/>
          </w:tcPr>
          <w:p>
            <w:pPr>
              <w:jc w:val="right"/>
              <w:spacing w:after="0"/>
              <w:rPr>
                <w:sz w:val="20"/>
                <w:szCs w:val="20"/>
                <w:color w:val="auto"/>
              </w:rPr>
            </w:pPr>
            <w:r>
              <w:rPr>
                <w:rFonts w:ascii="Arial" w:cs="Arial" w:eastAsia="Arial" w:hAnsi="Arial"/>
                <w:sz w:val="11"/>
                <w:szCs w:val="11"/>
                <w:color w:val="auto"/>
              </w:rPr>
              <w:t>3M L+700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30,500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42,389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42,389</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41,125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Lien Secured Debt—10.6%</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20" w:type="dxa"/>
            <w:vAlign w:val="bottom"/>
            <w:shd w:val="clear" w:color="auto" w:fill="CCECFF"/>
          </w:tcPr>
          <w:p>
            <w:pPr>
              <w:ind w:left="20"/>
              <w:spacing w:after="0" w:line="125" w:lineRule="exact"/>
              <w:rPr>
                <w:sz w:val="20"/>
                <w:szCs w:val="20"/>
                <w:color w:val="auto"/>
              </w:rPr>
            </w:pPr>
            <w:r>
              <w:rPr>
                <w:rFonts w:ascii="Arial" w:cs="Arial" w:eastAsia="Arial" w:hAnsi="Arial"/>
                <w:sz w:val="11"/>
                <w:szCs w:val="11"/>
                <w:color w:val="auto"/>
              </w:rPr>
              <w:t>Mailsouth Inc.</w:t>
            </w:r>
          </w:p>
        </w:tc>
        <w:tc>
          <w:tcPr>
            <w:tcW w:w="180" w:type="dxa"/>
            <w:vAlign w:val="bottom"/>
            <w:gridSpan w:val="2"/>
            <w:shd w:val="clear" w:color="auto" w:fill="CCECFF"/>
          </w:tcPr>
          <w:p>
            <w:pPr>
              <w:spacing w:after="0"/>
              <w:rPr>
                <w:sz w:val="10"/>
                <w:szCs w:val="10"/>
                <w:color w:val="auto"/>
              </w:rPr>
            </w:pPr>
          </w:p>
        </w:tc>
        <w:tc>
          <w:tcPr>
            <w:tcW w:w="620" w:type="dxa"/>
            <w:vAlign w:val="bottom"/>
            <w:shd w:val="clear" w:color="auto" w:fill="CCECFF"/>
          </w:tcPr>
          <w:p>
            <w:pPr>
              <w:ind w:left="40"/>
              <w:spacing w:after="0" w:line="125" w:lineRule="exact"/>
              <w:rPr>
                <w:sz w:val="20"/>
                <w:szCs w:val="20"/>
                <w:color w:val="auto"/>
              </w:rPr>
            </w:pPr>
            <w:r>
              <w:rPr>
                <w:rFonts w:ascii="Arial" w:cs="Arial" w:eastAsia="Arial" w:hAnsi="Arial"/>
                <w:sz w:val="11"/>
                <w:szCs w:val="11"/>
                <w:color w:val="auto"/>
              </w:rPr>
              <w:t>04/23/2025</w:t>
            </w:r>
          </w:p>
        </w:tc>
        <w:tc>
          <w:tcPr>
            <w:tcW w:w="240" w:type="dxa"/>
            <w:vAlign w:val="bottom"/>
            <w:shd w:val="clear" w:color="auto" w:fill="CCECFF"/>
          </w:tcPr>
          <w:p>
            <w:pPr>
              <w:spacing w:after="0"/>
              <w:rPr>
                <w:sz w:val="10"/>
                <w:szCs w:val="10"/>
                <w:color w:val="auto"/>
              </w:rPr>
            </w:pPr>
          </w:p>
        </w:tc>
        <w:tc>
          <w:tcPr>
            <w:tcW w:w="2480" w:type="dxa"/>
            <w:vAlign w:val="bottom"/>
            <w:shd w:val="clear" w:color="auto" w:fill="CCECFF"/>
          </w:tcPr>
          <w:p>
            <w:pPr>
              <w:jc w:val="center"/>
              <w:spacing w:after="0" w:line="125" w:lineRule="exact"/>
              <w:rPr>
                <w:sz w:val="20"/>
                <w:szCs w:val="20"/>
                <w:color w:val="auto"/>
              </w:rPr>
            </w:pPr>
            <w:r>
              <w:rPr>
                <w:rFonts w:ascii="Arial" w:cs="Arial" w:eastAsia="Arial" w:hAnsi="Arial"/>
                <w:sz w:val="11"/>
                <w:szCs w:val="11"/>
                <w:color w:val="auto"/>
                <w:w w:val="90"/>
              </w:rPr>
              <w:t>Printing and Publishing</w:t>
            </w:r>
          </w:p>
        </w:tc>
        <w:tc>
          <w:tcPr>
            <w:tcW w:w="1060" w:type="dxa"/>
            <w:vAlign w:val="bottom"/>
            <w:gridSpan w:val="3"/>
            <w:shd w:val="clear" w:color="auto" w:fill="CCECFF"/>
          </w:tcPr>
          <w:p>
            <w:pPr>
              <w:jc w:val="right"/>
              <w:ind w:right="140"/>
              <w:spacing w:after="0" w:line="125" w:lineRule="exact"/>
              <w:rPr>
                <w:sz w:val="20"/>
                <w:szCs w:val="20"/>
                <w:color w:val="auto"/>
              </w:rPr>
            </w:pPr>
            <w:r>
              <w:rPr>
                <w:rFonts w:ascii="Arial" w:cs="Arial" w:eastAsia="Arial" w:hAnsi="Arial"/>
                <w:sz w:val="11"/>
                <w:szCs w:val="11"/>
                <w:color w:val="auto"/>
              </w:rPr>
              <w:t>15.00 %</w:t>
            </w:r>
          </w:p>
        </w:tc>
        <w:tc>
          <w:tcPr>
            <w:tcW w:w="10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5" w:lineRule="exact"/>
              <w:rPr>
                <w:sz w:val="20"/>
                <w:szCs w:val="20"/>
                <w:color w:val="auto"/>
              </w:rPr>
            </w:pPr>
            <w:r>
              <w:rPr>
                <w:rFonts w:ascii="Arial" w:cs="Arial" w:eastAsia="Arial" w:hAnsi="Arial"/>
                <w:sz w:val="11"/>
                <w:szCs w:val="11"/>
                <w:color w:val="auto"/>
              </w:rPr>
              <w:t>11,087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8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(PIK 15.00%)</w:t>
            </w:r>
          </w:p>
        </w:tc>
        <w:tc>
          <w:tcPr>
            <w:tcW w:w="10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20" w:type="dxa"/>
            <w:vAlign w:val="bottom"/>
          </w:tcPr>
          <w:p>
            <w:pPr>
              <w:ind w:left="20"/>
              <w:spacing w:after="0"/>
              <w:rPr>
                <w:sz w:val="20"/>
                <w:szCs w:val="20"/>
                <w:color w:val="auto"/>
              </w:rPr>
            </w:pPr>
            <w:r>
              <w:rPr>
                <w:rFonts w:ascii="Arial" w:cs="Arial" w:eastAsia="Arial" w:hAnsi="Arial"/>
                <w:sz w:val="11"/>
                <w:szCs w:val="11"/>
                <w:color w:val="auto"/>
              </w:rPr>
              <w:t>PT Network Intermediate Holdings, LLC</w:t>
            </w:r>
          </w:p>
        </w:tc>
        <w:tc>
          <w:tcPr>
            <w:tcW w:w="180" w:type="dxa"/>
            <w:vAlign w:val="bottom"/>
            <w:gridSpan w:val="2"/>
          </w:tcPr>
          <w:p>
            <w:pPr>
              <w:spacing w:after="0"/>
              <w:rPr>
                <w:sz w:val="11"/>
                <w:szCs w:val="11"/>
                <w:color w:val="auto"/>
              </w:rPr>
            </w:pPr>
          </w:p>
        </w:tc>
        <w:tc>
          <w:tcPr>
            <w:tcW w:w="620" w:type="dxa"/>
            <w:vAlign w:val="bottom"/>
          </w:tcPr>
          <w:p>
            <w:pPr>
              <w:ind w:left="40"/>
              <w:spacing w:after="0"/>
              <w:rPr>
                <w:sz w:val="20"/>
                <w:szCs w:val="20"/>
                <w:color w:val="auto"/>
              </w:rPr>
            </w:pPr>
            <w:r>
              <w:rPr>
                <w:rFonts w:ascii="Arial" w:cs="Arial" w:eastAsia="Arial" w:hAnsi="Arial"/>
                <w:sz w:val="11"/>
                <w:szCs w:val="11"/>
                <w:color w:val="auto"/>
              </w:rPr>
              <w:t>11/30/2024</w:t>
            </w:r>
          </w:p>
        </w:tc>
        <w:tc>
          <w:tcPr>
            <w:tcW w:w="2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11.00 %</w:t>
            </w:r>
          </w:p>
        </w:tc>
        <w:tc>
          <w:tcPr>
            <w:tcW w:w="10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58,582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58,276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58,582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(PIK 11.00%)</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Second Lien Secured Debt</w:t>
            </w: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69,363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69,668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00" w:type="dxa"/>
            <w:vAlign w:val="bottom"/>
            <w:gridSpan w:val="3"/>
          </w:tcPr>
          <w:p>
            <w:pPr>
              <w:ind w:left="20"/>
              <w:spacing w:after="0" w:line="99" w:lineRule="exact"/>
              <w:rPr>
                <w:sz w:val="20"/>
                <w:szCs w:val="20"/>
                <w:color w:val="auto"/>
              </w:rPr>
            </w:pPr>
            <w:r>
              <w:rPr>
                <w:rFonts w:ascii="Arial" w:cs="Arial" w:eastAsia="Arial" w:hAnsi="Arial"/>
                <w:sz w:val="11"/>
                <w:szCs w:val="11"/>
                <w:b w:val="1"/>
                <w:bCs w:val="1"/>
                <w:color w:val="auto"/>
              </w:rPr>
              <w:t>Subordinated Debt—9.7%</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620" w:type="dxa"/>
            <w:vAlign w:val="bottom"/>
          </w:tcPr>
          <w:p>
            <w:pPr>
              <w:ind w:left="40"/>
              <w:spacing w:after="0"/>
              <w:rPr>
                <w:sz w:val="20"/>
                <w:szCs w:val="20"/>
                <w:color w:val="auto"/>
              </w:rPr>
            </w:pPr>
            <w:r>
              <w:rPr>
                <w:rFonts w:ascii="Arial" w:cs="Arial" w:eastAsia="Arial" w:hAnsi="Arial"/>
                <w:sz w:val="11"/>
                <w:szCs w:val="11"/>
                <w:color w:val="auto"/>
              </w:rPr>
              <w:t>07/31/2027</w:t>
            </w: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9.00 %</w:t>
            </w:r>
          </w:p>
        </w:tc>
        <w:tc>
          <w:tcPr>
            <w:tcW w:w="1040" w:type="dxa"/>
            <w:vAlign w:val="bottom"/>
          </w:tcPr>
          <w:p>
            <w:pPr>
              <w:jc w:val="right"/>
              <w:spacing w:after="0"/>
              <w:rPr>
                <w:sz w:val="20"/>
                <w:szCs w:val="20"/>
                <w:color w:val="auto"/>
              </w:rPr>
            </w:pPr>
            <w:r>
              <w:rPr>
                <w:rFonts w:ascii="Arial" w:cs="Arial" w:eastAsia="Arial" w:hAnsi="Arial"/>
                <w:sz w:val="11"/>
                <w:szCs w:val="11"/>
                <w:color w:val="auto"/>
              </w:rPr>
              <w:t>3M L+800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64,155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Subordinated Debt</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64,155</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64,155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 xml:space="preserve">Preferred Equity—2.0% </w:t>
            </w:r>
            <w:r>
              <w:rPr>
                <w:rFonts w:ascii="Arial" w:cs="Arial" w:eastAsia="Arial" w:hAnsi="Arial"/>
                <w:sz w:val="14"/>
                <w:szCs w:val="14"/>
                <w:b w:val="1"/>
                <w:bCs w:val="1"/>
                <w:color w:val="auto"/>
                <w:vertAlign w:val="superscript"/>
              </w:rPr>
              <w:t>(6)</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CI (PTN) Investment Holdings II, LLC</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36,450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547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49"/>
        </w:trPr>
        <w:tc>
          <w:tcPr>
            <w:tcW w:w="3000" w:type="dxa"/>
            <w:vAlign w:val="bottom"/>
            <w:gridSpan w:val="3"/>
          </w:tcPr>
          <w:p>
            <w:pPr>
              <w:ind w:left="10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060" w:type="dxa"/>
            <w:vAlign w:val="bottom"/>
            <w:gridSpan w:val="3"/>
          </w:tcPr>
          <w:p>
            <w:pPr>
              <w:jc w:val="right"/>
              <w:ind w:right="140"/>
              <w:spacing w:after="0"/>
              <w:rPr>
                <w:sz w:val="20"/>
                <w:szCs w:val="20"/>
                <w:color w:val="auto"/>
              </w:rPr>
            </w:pPr>
            <w:r>
              <w:rPr>
                <w:rFonts w:ascii="Arial" w:cs="Arial" w:eastAsia="Arial" w:hAnsi="Arial"/>
                <w:sz w:val="11"/>
                <w:szCs w:val="11"/>
                <w:color w:val="auto"/>
              </w:rPr>
              <w:t>11.00 %</w:t>
            </w:r>
          </w:p>
        </w:tc>
        <w:tc>
          <w:tcPr>
            <w:tcW w:w="1040" w:type="dxa"/>
            <w:vAlign w:val="bottom"/>
          </w:tcPr>
          <w:p>
            <w:pPr>
              <w:jc w:val="right"/>
              <w:spacing w:after="0"/>
              <w:rPr>
                <w:sz w:val="20"/>
                <w:szCs w:val="20"/>
                <w:color w:val="auto"/>
              </w:rPr>
            </w:pPr>
            <w:r>
              <w:rPr>
                <w:rFonts w:ascii="Arial" w:cs="Arial" w:eastAsia="Arial" w:hAnsi="Arial"/>
                <w:sz w:val="11"/>
                <w:szCs w:val="11"/>
                <w:color w:val="auto"/>
              </w:rPr>
              <w:t>3M L+1,000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833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10,725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00" w:type="dxa"/>
            <w:vAlign w:val="bottom"/>
            <w:gridSpan w:val="3"/>
          </w:tcPr>
          <w:p>
            <w:pPr>
              <w:ind w:left="20"/>
              <w:spacing w:after="0" w:line="110" w:lineRule="exact"/>
              <w:rPr>
                <w:sz w:val="20"/>
                <w:szCs w:val="20"/>
                <w:color w:val="auto"/>
              </w:rPr>
            </w:pPr>
            <w:r>
              <w:rPr>
                <w:rFonts w:ascii="Arial" w:cs="Arial" w:eastAsia="Arial" w:hAnsi="Arial"/>
                <w:sz w:val="11"/>
                <w:szCs w:val="11"/>
                <w:b w:val="1"/>
                <w:bCs w:val="1"/>
                <w:color w:val="auto"/>
              </w:rPr>
              <w:t>Total Preferred Equity</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11,272</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13,412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00" w:type="dxa"/>
            <w:vAlign w:val="bottom"/>
            <w:gridSpan w:val="3"/>
          </w:tcPr>
          <w:p>
            <w:pPr>
              <w:ind w:left="20"/>
              <w:spacing w:after="0" w:line="105" w:lineRule="exact"/>
              <w:rPr>
                <w:sz w:val="20"/>
                <w:szCs w:val="20"/>
                <w:color w:val="auto"/>
              </w:rPr>
            </w:pPr>
            <w:r>
              <w:rPr>
                <w:rFonts w:ascii="Arial" w:cs="Arial" w:eastAsia="Arial" w:hAnsi="Arial"/>
                <w:sz w:val="9"/>
                <w:szCs w:val="9"/>
                <w:b w:val="1"/>
                <w:bCs w:val="1"/>
                <w:color w:val="auto"/>
              </w:rPr>
              <w:t xml:space="preserve">Common Equity—29.7% </w:t>
            </w:r>
            <w:r>
              <w:rPr>
                <w:rFonts w:ascii="Arial" w:cs="Arial" w:eastAsia="Arial" w:hAnsi="Arial"/>
                <w:sz w:val="12"/>
                <w:szCs w:val="12"/>
                <w:b w:val="1"/>
                <w:bCs w:val="1"/>
                <w:color w:val="auto"/>
                <w:vertAlign w:val="superscript"/>
              </w:rPr>
              <w:t>(6)</w:t>
            </w: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AKW Holdings Limited </w:t>
            </w:r>
            <w:r>
              <w:rPr>
                <w:rFonts w:ascii="Arial" w:cs="Arial" w:eastAsia="Arial" w:hAnsi="Arial"/>
                <w:sz w:val="14"/>
                <w:szCs w:val="14"/>
                <w:color w:val="auto"/>
                <w:vertAlign w:val="superscript"/>
              </w:rPr>
              <w:t>(8), (10), (11)</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950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gridSpan w:val="3"/>
            <w:shd w:val="clear" w:color="auto" w:fill="CCECFF"/>
          </w:tcPr>
          <w:p>
            <w:pPr>
              <w:ind w:left="20"/>
              <w:spacing w:after="0"/>
              <w:rPr>
                <w:sz w:val="20"/>
                <w:szCs w:val="20"/>
                <w:color w:val="auto"/>
              </w:rPr>
            </w:pPr>
            <w:r>
              <w:rPr>
                <w:rFonts w:ascii="Arial" w:cs="Arial" w:eastAsia="Arial" w:hAnsi="Arial"/>
                <w:sz w:val="11"/>
                <w:szCs w:val="11"/>
                <w:color w:val="auto"/>
              </w:rPr>
              <w:t>CI (PTN) Investment Holdings II, LLC</w:t>
            </w:r>
          </w:p>
        </w:tc>
        <w:tc>
          <w:tcPr>
            <w:tcW w:w="620" w:type="dxa"/>
            <w:vAlign w:val="bottom"/>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333,333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60"/>
        </w:trPr>
        <w:tc>
          <w:tcPr>
            <w:tcW w:w="3000" w:type="dxa"/>
            <w:vAlign w:val="bottom"/>
            <w:gridSpan w:val="3"/>
          </w:tcPr>
          <w:p>
            <w:pPr>
              <w:ind w:left="10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14"/>
                <w:szCs w:val="14"/>
                <w:color w:val="auto"/>
                <w:vertAlign w:val="superscript"/>
              </w:rPr>
              <w:t>(9)</w:t>
            </w: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30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MSpark, LLC</w:t>
            </w:r>
          </w:p>
        </w:tc>
        <w:tc>
          <w:tcPr>
            <w:tcW w:w="620" w:type="dxa"/>
            <w:vAlign w:val="bottom"/>
          </w:tcPr>
          <w:p>
            <w:pPr>
              <w:ind w:left="500"/>
              <w:spacing w:after="0" w:line="115" w:lineRule="exact"/>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9"/>
                <w:szCs w:val="9"/>
                <w:color w:val="auto"/>
              </w:rPr>
            </w:pPr>
          </w:p>
        </w:tc>
        <w:tc>
          <w:tcPr>
            <w:tcW w:w="2480" w:type="dxa"/>
            <w:vAlign w:val="bottom"/>
          </w:tcPr>
          <w:p>
            <w:pPr>
              <w:jc w:val="center"/>
              <w:spacing w:after="0" w:line="115" w:lineRule="exact"/>
              <w:rPr>
                <w:sz w:val="20"/>
                <w:szCs w:val="20"/>
                <w:color w:val="auto"/>
              </w:rPr>
            </w:pPr>
            <w:r>
              <w:rPr>
                <w:rFonts w:ascii="Arial" w:cs="Arial" w:eastAsia="Arial" w:hAnsi="Arial"/>
                <w:sz w:val="11"/>
                <w:szCs w:val="11"/>
                <w:color w:val="auto"/>
                <w:w w:val="90"/>
              </w:rPr>
              <w:t>Printing and Publishing</w:t>
            </w:r>
          </w:p>
        </w:tc>
        <w:tc>
          <w:tcPr>
            <w:tcW w:w="120" w:type="dxa"/>
            <w:vAlign w:val="bottom"/>
          </w:tcPr>
          <w:p>
            <w:pPr>
              <w:spacing w:after="0"/>
              <w:rPr>
                <w:sz w:val="9"/>
                <w:szCs w:val="9"/>
                <w:color w:val="auto"/>
              </w:rPr>
            </w:pPr>
          </w:p>
        </w:tc>
        <w:tc>
          <w:tcPr>
            <w:tcW w:w="940" w:type="dxa"/>
            <w:vAlign w:val="bottom"/>
            <w:gridSpan w:val="2"/>
          </w:tcPr>
          <w:p>
            <w:pPr>
              <w:jc w:val="right"/>
              <w:ind w:right="260"/>
              <w:spacing w:after="0" w:line="115" w:lineRule="exact"/>
              <w:rPr>
                <w:sz w:val="20"/>
                <w:szCs w:val="20"/>
                <w:color w:val="auto"/>
              </w:rPr>
            </w:pPr>
            <w:r>
              <w:rPr>
                <w:rFonts w:ascii="Arial" w:cs="Arial" w:eastAsia="Arial" w:hAnsi="Arial"/>
                <w:sz w:val="11"/>
                <w:szCs w:val="11"/>
                <w:color w:val="auto"/>
              </w:rPr>
              <w:t>—</w:t>
            </w:r>
          </w:p>
        </w:tc>
        <w:tc>
          <w:tcPr>
            <w:tcW w:w="104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jc w:val="right"/>
              <w:spacing w:after="0" w:line="115" w:lineRule="exact"/>
              <w:rPr>
                <w:sz w:val="20"/>
                <w:szCs w:val="20"/>
                <w:color w:val="auto"/>
              </w:rPr>
            </w:pPr>
            <w:r>
              <w:rPr>
                <w:rFonts w:ascii="Arial" w:cs="Arial" w:eastAsia="Arial" w:hAnsi="Arial"/>
                <w:sz w:val="11"/>
                <w:szCs w:val="11"/>
                <w:color w:val="auto"/>
              </w:rPr>
              <w:t>51,151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16,516</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11,013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00" w:type="dxa"/>
            <w:vAlign w:val="bottom"/>
            <w:gridSpan w:val="3"/>
          </w:tcPr>
          <w:p>
            <w:pPr>
              <w:ind w:left="20"/>
              <w:spacing w:after="0" w:line="135" w:lineRule="exact"/>
              <w:rPr>
                <w:sz w:val="20"/>
                <w:szCs w:val="20"/>
                <w:color w:val="auto"/>
              </w:rPr>
            </w:pPr>
            <w:r>
              <w:rPr>
                <w:rFonts w:ascii="Arial" w:cs="Arial" w:eastAsia="Arial" w:hAnsi="Arial"/>
                <w:sz w:val="11"/>
                <w:szCs w:val="11"/>
                <w:color w:val="auto"/>
              </w:rPr>
              <w:t xml:space="preserve">PennantPark Senior Loan Fund, LLC </w:t>
            </w:r>
            <w:r>
              <w:rPr>
                <w:rFonts w:ascii="Arial" w:cs="Arial" w:eastAsia="Arial" w:hAnsi="Arial"/>
                <w:sz w:val="14"/>
                <w:szCs w:val="14"/>
                <w:color w:val="auto"/>
                <w:vertAlign w:val="superscript"/>
              </w:rPr>
              <w:t>(11)</w:t>
            </w:r>
          </w:p>
        </w:tc>
        <w:tc>
          <w:tcPr>
            <w:tcW w:w="620" w:type="dxa"/>
            <w:vAlign w:val="bottom"/>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20" w:type="dxa"/>
            <w:vAlign w:val="bottom"/>
          </w:tcPr>
          <w:p>
            <w:pPr>
              <w:spacing w:after="0"/>
              <w:rPr>
                <w:sz w:val="11"/>
                <w:szCs w:val="1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33,830,005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41,160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14"/>
                <w:szCs w:val="14"/>
                <w:color w:val="auto"/>
                <w:vertAlign w:val="superscript"/>
              </w:rPr>
              <w:t>(9)</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7,159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62,131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color w:val="auto"/>
              </w:rPr>
              <w:t>RAM Energy Holdings LLC</w:t>
            </w:r>
          </w:p>
        </w:tc>
        <w:tc>
          <w:tcPr>
            <w:tcW w:w="620" w:type="dxa"/>
            <w:vAlign w:val="bottom"/>
            <w:tcBorders>
              <w:bottom w:val="single" w:sz="8" w:color="CCECFF"/>
            </w:tcBorders>
            <w:shd w:val="clear" w:color="auto" w:fill="CCECFF"/>
          </w:tcPr>
          <w:p>
            <w:pPr>
              <w:ind w:left="500"/>
              <w:spacing w:after="0"/>
              <w:rPr>
                <w:sz w:val="20"/>
                <w:szCs w:val="20"/>
                <w:color w:val="auto"/>
              </w:rPr>
            </w:pPr>
            <w:r>
              <w:rPr>
                <w:rFonts w:ascii="Arial" w:cs="Arial" w:eastAsia="Arial" w:hAnsi="Arial"/>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1"/>
                <w:szCs w:val="11"/>
                <w:color w:val="auto"/>
                <w:w w:val="90"/>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40" w:type="dxa"/>
            <w:vAlign w:val="bottom"/>
            <w:tcBorders>
              <w:bottom w:val="single" w:sz="8" w:color="CCECFF"/>
            </w:tcBorders>
            <w:gridSpan w:val="2"/>
            <w:shd w:val="clear" w:color="auto" w:fill="CCECFF"/>
          </w:tcPr>
          <w:p>
            <w:pPr>
              <w:jc w:val="right"/>
              <w:ind w:right="260"/>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180,805</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162,708</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81,710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Common Equity</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225,408</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196,269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w w:val="90"/>
              </w:rPr>
              <w:t>Total Investments in Controlled, Affiliated Portfolio Companies</w:t>
            </w: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412,587</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384,628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Investments—190.2%</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1,221,121</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1,255,289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Cash and Cash Equivalents—3.1%</w:t>
            </w: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0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gridSpan w:val="3"/>
          </w:tcPr>
          <w:p>
            <w:pPr>
              <w:ind w:left="20"/>
              <w:spacing w:after="0"/>
              <w:rPr>
                <w:sz w:val="20"/>
                <w:szCs w:val="20"/>
                <w:color w:val="auto"/>
              </w:rPr>
            </w:pPr>
            <w:r>
              <w:rPr>
                <w:rFonts w:ascii="Arial" w:cs="Arial" w:eastAsia="Arial" w:hAnsi="Arial"/>
                <w:sz w:val="11"/>
                <w:szCs w:val="11"/>
                <w:color w:val="auto"/>
              </w:rPr>
              <w:t>BlackRock Federal FD Institutional 30</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18,220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18,220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color w:val="auto"/>
              </w:rPr>
              <w:t>BNY Mellon Cash Reserve and Cash</w:t>
            </w:r>
          </w:p>
        </w:tc>
        <w:tc>
          <w:tcPr>
            <w:tcW w:w="62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04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2,163</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2,137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20,383</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and Cash Equivalents—193.2%</w:t>
            </w:r>
          </w:p>
        </w:tc>
        <w:tc>
          <w:tcPr>
            <w:tcW w:w="62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248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6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CCECFF"/>
            </w:tcBorders>
            <w:shd w:val="clear" w:color="auto" w:fill="CCECFF"/>
          </w:tcPr>
          <w:p>
            <w:pPr>
              <w:spacing w:after="0"/>
              <w:rPr>
                <w:sz w:val="14"/>
                <w:szCs w:val="14"/>
                <w:color w:val="auto"/>
              </w:rPr>
            </w:pPr>
          </w:p>
        </w:tc>
        <w:tc>
          <w:tcPr>
            <w:tcW w:w="104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1,241,504</w:t>
            </w: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1,275,646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00" w:type="dxa"/>
            <w:vAlign w:val="bottom"/>
            <w:gridSpan w:val="3"/>
          </w:tcPr>
          <w:p>
            <w:pPr>
              <w:ind w:left="20"/>
              <w:spacing w:after="0" w:line="116" w:lineRule="exact"/>
              <w:rPr>
                <w:sz w:val="20"/>
                <w:szCs w:val="20"/>
                <w:color w:val="auto"/>
              </w:rPr>
            </w:pPr>
            <w:r>
              <w:rPr>
                <w:rFonts w:ascii="Arial" w:cs="Arial" w:eastAsia="Arial" w:hAnsi="Arial"/>
                <w:sz w:val="11"/>
                <w:szCs w:val="11"/>
                <w:b w:val="1"/>
                <w:bCs w:val="1"/>
                <w:color w:val="auto"/>
              </w:rPr>
              <w:t>Liabilities in Excess of Other Assets—(93.2%)</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Arial" w:cs="Arial" w:eastAsia="Arial" w:hAnsi="Arial"/>
                <w:sz w:val="11"/>
                <w:szCs w:val="11"/>
                <w:color w:val="auto"/>
              </w:rPr>
              <w:t>(615,502 )</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1"/>
                <w:szCs w:val="11"/>
                <w:b w:val="1"/>
                <w:bCs w:val="1"/>
                <w:color w:val="auto"/>
              </w:rPr>
              <w:t>Net Assets—100.0%</w:t>
            </w:r>
          </w:p>
        </w:tc>
        <w:tc>
          <w:tcPr>
            <w:tcW w:w="62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0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660,144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85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-4693920</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-4693920</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-4594225</wp:posOffset>
            </wp:positionV>
            <wp:extent cx="7132320" cy="946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857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946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-3882390</wp:posOffset>
            </wp:positionV>
            <wp:extent cx="7132320" cy="857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-3622675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-3622675</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946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-3342640</wp:posOffset>
            </wp:positionV>
            <wp:extent cx="7132320" cy="857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-3074035</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-3074035</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-2542540</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-2542540</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946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32320" cy="85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946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-1731010</wp:posOffset>
            </wp:positionV>
            <wp:extent cx="7132320" cy="857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57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-956310</wp:posOffset>
            </wp:positionV>
            <wp:extent cx="6858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-956310</wp:posOffset>
            </wp:positionV>
            <wp:extent cx="6858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-767715</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-767715</wp:posOffset>
            </wp:positionV>
            <wp:extent cx="685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-407670</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-407670</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-222250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-205105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 w:name="page18"/>
    <w:bookmarkEnd w:id="17"/>
    <w:p>
      <w:pPr>
        <w:ind w:left="340" w:hanging="339"/>
        <w:spacing w:after="0" w:line="18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8" w:lineRule="exact"/>
        <w:rPr>
          <w:rFonts w:ascii="Arial" w:cs="Arial" w:eastAsia="Arial" w:hAnsi="Arial"/>
          <w:sz w:val="20"/>
          <w:szCs w:val="20"/>
          <w:color w:val="auto"/>
          <w:vertAlign w:val="superscript"/>
        </w:rPr>
      </w:pPr>
    </w:p>
    <w:p>
      <w:pPr>
        <w:ind w:left="340" w:hanging="339"/>
        <w:spacing w:after="0" w:line="181"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9"/>
        <w:spacing w:after="0" w:line="183"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Valued based on our accounting policy (See Note 2).</w:t>
      </w:r>
    </w:p>
    <w:p>
      <w:pPr>
        <w:spacing w:after="0" w:line="37" w:lineRule="exact"/>
        <w:rPr>
          <w:rFonts w:ascii="Arial" w:cs="Arial" w:eastAsia="Arial" w:hAnsi="Arial"/>
          <w:sz w:val="20"/>
          <w:szCs w:val="20"/>
          <w:color w:val="auto"/>
          <w:vertAlign w:val="superscript"/>
        </w:rPr>
      </w:pPr>
    </w:p>
    <w:p>
      <w:pPr>
        <w:ind w:left="340" w:right="120" w:hanging="339"/>
        <w:spacing w:after="0" w:line="190"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22"/>
          <w:szCs w:val="22"/>
          <w:color w:val="auto"/>
          <w:vertAlign w:val="superscript"/>
        </w:rPr>
      </w:pPr>
    </w:p>
    <w:p>
      <w:pPr>
        <w:ind w:left="340" w:hanging="339"/>
        <w:spacing w:after="0" w:line="183" w:lineRule="auto"/>
        <w:tabs>
          <w:tab w:leader="none" w:pos="340" w:val="left"/>
        </w:tabs>
        <w:numPr>
          <w:ilvl w:val="0"/>
          <w:numId w:val="4"/>
        </w:numPr>
        <w:rPr>
          <w:rFonts w:ascii="Arial" w:cs="Arial" w:eastAsia="Arial" w:hAnsi="Arial"/>
          <w:sz w:val="20"/>
          <w:szCs w:val="20"/>
          <w:color w:val="auto"/>
          <w:vertAlign w:val="superscript"/>
        </w:rPr>
      </w:pPr>
      <w:r>
        <w:rPr>
          <w:rFonts w:ascii="Arial" w:cs="Arial" w:eastAsia="Arial" w:hAnsi="Arial"/>
          <w:sz w:val="11"/>
          <w:szCs w:val="11"/>
          <w:color w:val="auto"/>
        </w:rPr>
        <w:t>The security was not valued using significant unobservable inputs. The value of all other securities was determined using significant unobservable inputs (See Note 5).</w:t>
      </w:r>
    </w:p>
    <w:p>
      <w:pPr>
        <w:spacing w:after="0" w:line="37" w:lineRule="exact"/>
        <w:rPr>
          <w:rFonts w:ascii="Arial" w:cs="Arial" w:eastAsia="Arial" w:hAnsi="Arial"/>
          <w:sz w:val="20"/>
          <w:szCs w:val="20"/>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Non-income producing securities.</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Non-U.S. company or principal place of business outside the United States.</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Investment is held through our Taxable Subsidiary (See Note 1).</w:t>
      </w:r>
    </w:p>
    <w:p>
      <w:pPr>
        <w:spacing w:after="0" w:line="37" w:lineRule="exact"/>
        <w:rPr>
          <w:rFonts w:ascii="Arial" w:cs="Arial" w:eastAsia="Arial" w:hAnsi="Arial"/>
          <w:sz w:val="16"/>
          <w:szCs w:val="16"/>
          <w:color w:val="auto"/>
          <w:vertAlign w:val="superscript"/>
        </w:rPr>
      </w:pPr>
    </w:p>
    <w:p>
      <w:pPr>
        <w:ind w:left="340" w:hanging="339"/>
        <w:spacing w:after="0" w:line="180" w:lineRule="auto"/>
        <w:tabs>
          <w:tab w:leader="none" w:pos="340" w:val="left"/>
        </w:tabs>
        <w:numPr>
          <w:ilvl w:val="0"/>
          <w:numId w:val="4"/>
        </w:numPr>
        <w:rPr>
          <w:rFonts w:ascii="Arial" w:cs="Arial" w:eastAsia="Arial" w:hAnsi="Arial"/>
          <w:sz w:val="16"/>
          <w:szCs w:val="16"/>
          <w:color w:val="auto"/>
          <w:vertAlign w:val="superscript"/>
        </w:rPr>
      </w:pPr>
      <w:r>
        <w:rPr>
          <w:rFonts w:ascii="Arial" w:cs="Arial" w:eastAsia="Arial" w:hAnsi="Arial"/>
          <w:sz w:val="9"/>
          <w:szCs w:val="9"/>
          <w:color w:val="auto"/>
        </w:rPr>
        <w:t>Par / Shares amount is denominated in British Pounds (£) as denoted.</w:t>
      </w:r>
    </w:p>
    <w:p>
      <w:pPr>
        <w:spacing w:after="0" w:line="37" w:lineRule="exact"/>
        <w:rPr>
          <w:rFonts w:ascii="Arial" w:cs="Arial" w:eastAsia="Arial" w:hAnsi="Arial"/>
          <w:sz w:val="16"/>
          <w:szCs w:val="16"/>
          <w:color w:val="auto"/>
          <w:vertAlign w:val="superscript"/>
        </w:rPr>
      </w:pPr>
    </w:p>
    <w:p>
      <w:pPr>
        <w:ind w:left="340" w:right="20" w:hanging="339"/>
        <w:spacing w:after="0" w:line="186" w:lineRule="auto"/>
        <w:tabs>
          <w:tab w:leader="none" w:pos="340" w:val="left"/>
        </w:tabs>
        <w:numPr>
          <w:ilvl w:val="0"/>
          <w:numId w:val="4"/>
        </w:numPr>
        <w:rPr>
          <w:rFonts w:ascii="Arial" w:cs="Arial" w:eastAsia="Arial" w:hAnsi="Arial"/>
          <w:sz w:val="19"/>
          <w:szCs w:val="19"/>
          <w:color w:val="auto"/>
          <w:vertAlign w:val="superscript"/>
        </w:rPr>
      </w:pPr>
      <w:r>
        <w:rPr>
          <w:rFonts w:ascii="Arial" w:cs="Arial" w:eastAsia="Arial" w:hAnsi="Arial"/>
          <w:sz w:val="10"/>
          <w:szCs w:val="10"/>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88% of the Company’s total assets and non-qualifying assets represent 12% of the Company’s total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3" w:right="359" w:bottom="1440" w:gutter="0" w:footer="0" w:header="0"/>
        </w:sectPr>
      </w:pPr>
    </w:p>
    <w:bookmarkStart w:id="18" w:name="page19"/>
    <w:bookmarkEnd w:id="18"/>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7"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208"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p>
    <w:p>
      <w:pPr>
        <w:spacing w:after="0" w:line="158"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 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48"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56"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71"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58" w:lineRule="exact"/>
        <w:rPr>
          <w:sz w:val="20"/>
          <w:szCs w:val="20"/>
          <w:color w:val="auto"/>
        </w:rPr>
      </w:pPr>
    </w:p>
    <w:p>
      <w:pPr>
        <w:jc w:val="both"/>
        <w:ind w:firstLine="449"/>
        <w:spacing w:after="0" w:line="248" w:lineRule="auto"/>
        <w:rPr>
          <w:sz w:val="20"/>
          <w:szCs w:val="20"/>
          <w:color w:val="auto"/>
        </w:rPr>
      </w:pPr>
      <w:r>
        <w:rPr>
          <w:rFonts w:ascii="Arial" w:cs="Arial" w:eastAsia="Arial" w:hAnsi="Arial"/>
          <w:sz w:val="13"/>
          <w:szCs w:val="13"/>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53"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4"/>
          <w:szCs w:val="14"/>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6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In January 2022, we funded PennantPark-TSO Senior Loan Fund II LP, ("PTSF II"), an unconsolidated limited partnership, organized as a Delaware limited liability partnership. We sold $82.3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June 30, 2022, our capital commitment of $15.0 million is 100% funded and we hold 23.1% of the total outstanding Class A Units of PTSF II and a 4.99% voting interest in the general partner which manages PTSF II.</w:t>
      </w:r>
    </w:p>
    <w:p>
      <w:pPr>
        <w:spacing w:after="0" w:line="160" w:lineRule="exact"/>
        <w:rPr>
          <w:sz w:val="20"/>
          <w:szCs w:val="20"/>
          <w:color w:val="auto"/>
        </w:rPr>
      </w:pPr>
    </w:p>
    <w:p>
      <w:pPr>
        <w:jc w:val="both"/>
        <w:ind w:firstLine="449"/>
        <w:spacing w:after="0" w:line="312" w:lineRule="auto"/>
        <w:rPr>
          <w:sz w:val="20"/>
          <w:szCs w:val="20"/>
          <w:color w:val="auto"/>
        </w:rPr>
      </w:pPr>
      <w:r>
        <w:rPr>
          <w:rFonts w:ascii="Arial" w:cs="Arial" w:eastAsia="Arial" w:hAnsi="Arial"/>
          <w:sz w:val="13"/>
          <w:szCs w:val="13"/>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208" w:lineRule="exact"/>
        <w:rPr>
          <w:sz w:val="20"/>
          <w:szCs w:val="20"/>
          <w:color w:val="auto"/>
        </w:rPr>
      </w:pPr>
    </w:p>
    <w:p>
      <w:pPr>
        <w:jc w:val="both"/>
        <w:ind w:firstLine="449"/>
        <w:spacing w:after="0" w:line="227" w:lineRule="auto"/>
        <w:rPr>
          <w:sz w:val="20"/>
          <w:szCs w:val="20"/>
          <w:color w:val="auto"/>
        </w:rPr>
      </w:pPr>
      <w:r>
        <w:rPr>
          <w:rFonts w:ascii="Arial" w:cs="Arial" w:eastAsia="Arial" w:hAnsi="Arial"/>
          <w:sz w:val="14"/>
          <w:szCs w:val="14"/>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novel coronavirus (“COVID-19”)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59"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81" w:lineRule="exact"/>
        <w:rPr>
          <w:sz w:val="20"/>
          <w:szCs w:val="20"/>
          <w:color w:val="auto"/>
        </w:rPr>
      </w:pPr>
    </w:p>
    <w:p>
      <w:pPr>
        <w:ind w:left="640" w:hanging="377"/>
        <w:spacing w:after="0"/>
        <w:tabs>
          <w:tab w:leader="none" w:pos="64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90"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2" w:lineRule="exact"/>
        <w:rPr>
          <w:sz w:val="20"/>
          <w:szCs w:val="20"/>
          <w:color w:val="auto"/>
        </w:rPr>
      </w:pPr>
    </w:p>
    <w:p>
      <w:pPr>
        <w:jc w:val="both"/>
        <w:ind w:right="20" w:firstLine="449"/>
        <w:spacing w:after="0" w:line="25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47" w:lineRule="exact"/>
        <w:rPr>
          <w:sz w:val="20"/>
          <w:szCs w:val="20"/>
          <w:color w:val="auto"/>
        </w:rPr>
      </w:pPr>
    </w:p>
    <w:p>
      <w:pPr>
        <w:ind w:left="840" w:right="20" w:hanging="383"/>
        <w:spacing w:after="0" w:line="273"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40" w:hanging="383"/>
        <w:spacing w:after="0"/>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40" w:hanging="383"/>
        <w:spacing w:after="0" w:line="286" w:lineRule="auto"/>
        <w:tabs>
          <w:tab w:leader="none" w:pos="84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jc w:val="both"/>
        <w:ind w:left="840" w:right="20" w:hanging="383"/>
        <w:spacing w:after="0" w:line="257"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7" w:lineRule="exact"/>
        <w:rPr>
          <w:rFonts w:ascii="Arial" w:cs="Arial" w:eastAsia="Arial" w:hAnsi="Arial"/>
          <w:sz w:val="14"/>
          <w:szCs w:val="14"/>
          <w:color w:val="auto"/>
        </w:rPr>
      </w:pPr>
    </w:p>
    <w:p>
      <w:pPr>
        <w:ind w:left="840" w:hanging="383"/>
        <w:spacing w:after="0" w:line="273" w:lineRule="auto"/>
        <w:tabs>
          <w:tab w:leader="none" w:pos="8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0" w:lineRule="exact"/>
        <w:rPr>
          <w:sz w:val="20"/>
          <w:szCs w:val="20"/>
          <w:color w:val="auto"/>
        </w:rPr>
      </w:pPr>
    </w:p>
    <w:p>
      <w:pPr>
        <w:ind w:left="640" w:hanging="377"/>
        <w:spacing w:after="0"/>
        <w:tabs>
          <w:tab w:leader="none" w:pos="64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spacing w:after="0" w:line="17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2022, we had one portfolio company on non-accrual, representing 0.9% and 0.5% of our overall portfolio on a cost and fair value basis, respectively. As of September 30, 2021, we had no portfolio companies on non-accrual.</w:t>
      </w:r>
    </w:p>
    <w:p>
      <w:pPr>
        <w:spacing w:after="0" w:line="177" w:lineRule="exact"/>
        <w:rPr>
          <w:sz w:val="20"/>
          <w:szCs w:val="20"/>
          <w:color w:val="auto"/>
        </w:rPr>
      </w:pPr>
    </w:p>
    <w:p>
      <w:pPr>
        <w:ind w:left="640" w:hanging="377"/>
        <w:spacing w:after="0"/>
        <w:tabs>
          <w:tab w:leader="none" w:pos="64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204"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nine months ended June 30, 2022, we recorded a provision for taxes on net investment income of $0.2 million and $0.6 million respectively, all of which pertains to U.S. federal excise tax. For the three and nine months ended June 30, 2021, we recorded a provision for taxes on net investment income of $0.2 million and $0.5 million respectively, all of which pertains to U.S. federal excise tax.</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9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8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For the three and nine months ended June 30, 2022, the Company recognized a provision for taxes of $1.1 million and $6.2 million, respectively, on net realized gain on investments by the Taxable Subsidiary. For the three and nine months ended June 30, 2022, the Company recognized a provision for taxes of $8.1 million and $8.1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2022 and (ii) the expected tax benefit resulting from the use of loss carryforwards to offset such gains. For the three and nine months ended June 30, 2021, the Company recognized a provision for taxes of zero on net realized and unrealized gains on investments by the Taxable Subsidiary.</w:t>
      </w:r>
    </w:p>
    <w:p>
      <w:pPr>
        <w:spacing w:after="0" w:line="16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During the three and nine months ended June 30, 2022, the Company paid zero and $4.0 million, respectively, in federal taxes on realized gains on the sale of investments held by the Taxable Subsidiary. Due to offsetting losses in the three months ended June 30, 2022 the $4.0 million is expected to be refunded and is shown on the consolidated statement of assets and liabilities under prepaid expenses and other assets. The state and local tax liability of $6.2 million as of June 30, 2022 is included under accrued other expenses in the consolidated statement of assets and liabilities.</w:t>
      </w:r>
    </w:p>
    <w:p>
      <w:pPr>
        <w:spacing w:after="0" w:line="12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54" w:lineRule="exact"/>
        <w:rPr>
          <w:sz w:val="20"/>
          <w:szCs w:val="20"/>
          <w:color w:val="auto"/>
        </w:rPr>
      </w:pPr>
    </w:p>
    <w:p>
      <w:pPr>
        <w:ind w:left="640" w:hanging="377"/>
        <w:spacing w:after="0"/>
        <w:tabs>
          <w:tab w:leader="none" w:pos="64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60" w:lineRule="exact"/>
        <w:rPr>
          <w:sz w:val="20"/>
          <w:szCs w:val="20"/>
          <w:color w:val="auto"/>
        </w:rPr>
      </w:pPr>
    </w:p>
    <w:p>
      <w:pPr>
        <w:ind w:left="640" w:hanging="377"/>
        <w:spacing w:after="0"/>
        <w:tabs>
          <w:tab w:leader="none" w:pos="64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04" w:lineRule="exact"/>
        <w:rPr>
          <w:sz w:val="20"/>
          <w:szCs w:val="20"/>
          <w:color w:val="auto"/>
        </w:rPr>
      </w:pPr>
    </w:p>
    <w:p>
      <w:pPr>
        <w:ind w:left="840" w:hanging="38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40" w:hanging="383"/>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71" w:lineRule="exact"/>
        <w:rPr>
          <w:sz w:val="20"/>
          <w:szCs w:val="20"/>
          <w:color w:val="auto"/>
        </w:rPr>
      </w:pPr>
    </w:p>
    <w:p>
      <w:pPr>
        <w:ind w:left="640" w:hanging="377"/>
        <w:spacing w:after="0"/>
        <w:tabs>
          <w:tab w:leader="none" w:pos="6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5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 in PSLF or PTSF II. See further description of our investment in PSLF in Note 4.</w:t>
      </w:r>
    </w:p>
    <w:p>
      <w:pPr>
        <w:spacing w:after="0" w:line="154" w:lineRule="exact"/>
        <w:rPr>
          <w:sz w:val="20"/>
          <w:szCs w:val="20"/>
          <w:color w:val="auto"/>
        </w:rPr>
      </w:pPr>
    </w:p>
    <w:p>
      <w:pPr>
        <w:ind w:left="640" w:hanging="377"/>
        <w:spacing w:after="0"/>
        <w:tabs>
          <w:tab w:leader="none" w:pos="64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Asset Transfers and Servicing</w:t>
      </w:r>
    </w:p>
    <w:p>
      <w:pPr>
        <w:spacing w:after="0" w:line="204"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160" w:lineRule="exact"/>
        <w:rPr>
          <w:sz w:val="20"/>
          <w:szCs w:val="20"/>
          <w:color w:val="auto"/>
        </w:rPr>
      </w:pPr>
    </w:p>
    <w:p>
      <w:pPr>
        <w:ind w:left="620" w:hanging="388"/>
        <w:spacing w:after="0"/>
        <w:tabs>
          <w:tab w:leader="none" w:pos="620" w:val="left"/>
        </w:tabs>
        <w:numPr>
          <w:ilvl w:val="0"/>
          <w:numId w:val="1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20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9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AGREEMENTS AND RELATED PARTY TRANSACTIONS</w:t>
      </w:r>
    </w:p>
    <w:p>
      <w:pPr>
        <w:spacing w:after="0" w:line="207" w:lineRule="exact"/>
        <w:rPr>
          <w:rFonts w:ascii="Arial" w:cs="Arial" w:eastAsia="Arial" w:hAnsi="Arial"/>
          <w:sz w:val="14"/>
          <w:szCs w:val="14"/>
          <w:b w:val="1"/>
          <w:bCs w:val="1"/>
          <w:color w:val="auto"/>
        </w:rPr>
      </w:pPr>
    </w:p>
    <w:p>
      <w:pPr>
        <w:ind w:left="500" w:hanging="267"/>
        <w:spacing w:after="0"/>
        <w:tabs>
          <w:tab w:leader="none" w:pos="500" w:val="left"/>
        </w:tabs>
        <w:numPr>
          <w:ilvl w:val="1"/>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Management Agreement</w:t>
      </w:r>
    </w:p>
    <w:p>
      <w:pPr>
        <w:spacing w:after="0" w:line="20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Base Management Fee</w:t>
      </w:r>
    </w:p>
    <w:p>
      <w:pPr>
        <w:spacing w:after="0" w:line="204" w:lineRule="exact"/>
        <w:rPr>
          <w:sz w:val="20"/>
          <w:szCs w:val="20"/>
          <w:color w:val="auto"/>
        </w:rPr>
      </w:pPr>
    </w:p>
    <w:p>
      <w:pPr>
        <w:jc w:val="both"/>
        <w:ind w:firstLine="449"/>
        <w:spacing w:after="0" w:line="265" w:lineRule="auto"/>
        <w:rPr>
          <w:sz w:val="20"/>
          <w:szCs w:val="20"/>
          <w:color w:val="auto"/>
        </w:rPr>
      </w:pPr>
      <w:r>
        <w:rPr>
          <w:rFonts w:ascii="Arial" w:cs="Arial" w:eastAsia="Arial" w:hAnsi="Arial"/>
          <w:sz w:val="13"/>
          <w:szCs w:val="13"/>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2022, the Investment Adviser earned a base management fee of $4.9 million and $15.0 million, respectively, from us. For the three and nine months ended June 30, 2021, the Investment Adviser earned a base management fee of $4.4 million and $12.8 million, respectively, from us.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4"/>
          <w:szCs w:val="14"/>
          <w:b w:val="1"/>
          <w:bCs w:val="1"/>
          <w:i w:val="1"/>
          <w:iCs w:val="1"/>
          <w:color w:val="auto"/>
        </w:rPr>
        <w:t>Incentive Fee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jc w:val="both"/>
        <w:ind w:firstLine="449"/>
        <w:spacing w:after="0" w:line="264"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06"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Beginning April 1, 2020 and through June 30, 2021, the Investment Adviser has voluntarily agreed, in consultation with our board of directors, to irrevocably waive the performance-based incentive fees. For the three and nine months ended June 30, 2022, the Investment Adviser earned an incentive fee of zero and $2.7 million, respectively, on net investment income from us. For the three and nine months ended June 30, 2021, the Investment Adviser did not earn an incentive fee on net investment income from us.</w:t>
      </w:r>
    </w:p>
    <w:p>
      <w:pPr>
        <w:spacing w:after="0" w:line="117"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w:t>
      </w:r>
      <w:r>
        <w:rPr>
          <w:rFonts w:ascii="Arial" w:cs="Arial" w:eastAsia="Arial" w:hAnsi="Arial"/>
          <w:sz w:val="14"/>
          <w:szCs w:val="14"/>
          <w:color w:val="auto"/>
          <w:strike w:val="1"/>
        </w:rPr>
        <w:t>,</w:t>
      </w:r>
      <w:r>
        <w:rPr>
          <w:rFonts w:ascii="Arial" w:cs="Arial" w:eastAsia="Arial" w:hAnsi="Arial"/>
          <w:sz w:val="14"/>
          <w:szCs w:val="14"/>
          <w:color w:val="auto"/>
        </w:rPr>
        <w:t xml:space="preserve">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three and nine months ended June 30, 2022 and 2021, the Investment Adviser did not accrue an incentive fee on capital gains as calculated under the Investment Management Agreement (as described above).</w:t>
      </w:r>
    </w:p>
    <w:p>
      <w:pPr>
        <w:spacing w:after="0" w:line="123"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each of the three and nine months ended June 30, 2022 and 2021, the Investment Adviser did not accrue an incentive fee on capital gains as calculated under GAAP.</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(b) Administration Agreement</w:t>
      </w:r>
    </w:p>
    <w:p>
      <w:pPr>
        <w:spacing w:after="0" w:line="204"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2022,we reimbursed the Administrator approximately $(0.2) million and $0.7 million, respectively, for the services described above. For the three and nine months ended June 30, 2021, we reimbursed the Administrator approximately $0.1 million and $0.8 million, respectively, for the services described above.</w:t>
      </w:r>
    </w:p>
    <w:p>
      <w:pPr>
        <w:spacing w:after="0" w:line="16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on matters related to potential or actual investments and transactions, including tax structuring and/or due diligence.</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 Other Related Party Transactions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were no transactions subject to Rule 17a-7 under the 1940 Act during each of the three and nine months ended June 30, 2022 and 2021.</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For the three and nine months ended June 30, 2022 we sold $176.0 million and $235.6 million in investments to PSLF at fair value, respectively, and recognized $0.1 million and $0.2 million of net realized gains, respectively. For the three and nine months ended June 30, 2021, we sold $54.1 million $and $91.9 million in investments to PSLF at fair value, respectively, and recognized $0.1 million and $0.6 million of net realized gains, respectively.</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For the three and nine months ended June 30, 2022, we sold zero and $82.3 million in investments to PTSF II at fair value, respectively, and recognized zero and $0.2 million of net realized gains,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Purchases of investments, including PIK interest, for the three and nine months ended June 30, 2022 totaled $326.3 million and $808.2 million, respectively. For the same periods in the prior year, purchases of investments, including PIK interest, totaled $137.4 million and $287.4 million, respectively. Sales and repayments of investments for the three and nine months ended June 30, 2022 totaled $198.3 million and $736.0 million, respectively. For the same periods in the prior year, sales and repayments of investments totaled $191.0 million and $358.6 million, respectively.</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Investment Classification </w:t>
            </w:r>
            <w:r>
              <w:rPr>
                <w:rFonts w:ascii="Arial" w:cs="Arial" w:eastAsia="Arial" w:hAnsi="Arial"/>
                <w:sz w:val="14"/>
                <w:szCs w:val="14"/>
                <w:color w:val="auto"/>
              </w:rPr>
              <w:t>($ in thousands)</w:t>
            </w:r>
          </w:p>
        </w:tc>
        <w:tc>
          <w:tcPr>
            <w:tcW w:w="320" w:type="dxa"/>
            <w:vAlign w:val="bottom"/>
          </w:tcPr>
          <w:p>
            <w:pPr>
              <w:spacing w:after="0"/>
              <w:rPr>
                <w:sz w:val="14"/>
                <w:szCs w:val="14"/>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169"/>
        </w:trPr>
        <w:tc>
          <w:tcPr>
            <w:tcW w:w="43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80" w:type="dxa"/>
            <w:vAlign w:val="bottom"/>
            <w:shd w:val="clear" w:color="auto" w:fill="CCECFF"/>
          </w:tcPr>
          <w:p>
            <w:pPr>
              <w:spacing w:after="0"/>
              <w:rPr>
                <w:sz w:val="14"/>
                <w:szCs w:val="14"/>
                <w:color w:val="auto"/>
              </w:rPr>
            </w:pPr>
          </w:p>
        </w:tc>
        <w:tc>
          <w:tcPr>
            <w:tcW w:w="320" w:type="dxa"/>
            <w:vAlign w:val="bottom"/>
            <w:tcBorders>
              <w:top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730,254</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721,770</w:t>
            </w:r>
          </w:p>
        </w:tc>
        <w:tc>
          <w:tcPr>
            <w:tcW w:w="2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551,435</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552,530</w:t>
            </w:r>
          </w:p>
        </w:tc>
        <w:tc>
          <w:tcPr>
            <w:tcW w:w="100" w:type="dxa"/>
            <w:vAlign w:val="bottom"/>
            <w:shd w:val="clear" w:color="auto" w:fill="CCECFF"/>
          </w:tcPr>
          <w:p>
            <w:pPr>
              <w:spacing w:after="0"/>
              <w:rPr>
                <w:sz w:val="14"/>
                <w:szCs w:val="14"/>
                <w:color w:val="auto"/>
              </w:rPr>
            </w:pPr>
          </w:p>
        </w:tc>
      </w:tr>
      <w:tr>
        <w:trPr>
          <w:trHeight w:val="175"/>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Second lien</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137,705</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129,706</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176,983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176,894</w:t>
            </w:r>
          </w:p>
        </w:tc>
        <w:tc>
          <w:tcPr>
            <w:tcW w:w="100" w:type="dxa"/>
            <w:vAlign w:val="bottom"/>
          </w:tcPr>
          <w:p>
            <w:pPr>
              <w:spacing w:after="0"/>
              <w:rPr>
                <w:sz w:val="15"/>
                <w:szCs w:val="15"/>
                <w:color w:val="auto"/>
              </w:rPr>
            </w:pPr>
          </w:p>
        </w:tc>
      </w:tr>
      <w:tr>
        <w:trPr>
          <w:trHeight w:val="175"/>
        </w:trPr>
        <w:tc>
          <w:tcPr>
            <w:tcW w:w="448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33,157</w:t>
            </w:r>
          </w:p>
        </w:tc>
        <w:tc>
          <w:tcPr>
            <w:tcW w:w="3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33,150</w:t>
            </w: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56,315</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57,015</w:t>
            </w:r>
          </w:p>
        </w:tc>
        <w:tc>
          <w:tcPr>
            <w:tcW w:w="100" w:type="dxa"/>
            <w:vAlign w:val="bottom"/>
            <w:shd w:val="clear" w:color="auto" w:fill="CCECFF"/>
          </w:tcPr>
          <w:p>
            <w:pPr>
              <w:spacing w:after="0"/>
              <w:rPr>
                <w:sz w:val="15"/>
                <w:szCs w:val="15"/>
                <w:color w:val="auto"/>
              </w:rPr>
            </w:pPr>
          </w:p>
        </w:tc>
      </w:tr>
      <w:tr>
        <w:trPr>
          <w:trHeight w:val="175"/>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Subordinated notes in PSLF</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88,011</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88,011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64,155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64,154</w:t>
            </w:r>
          </w:p>
        </w:tc>
        <w:tc>
          <w:tcPr>
            <w:tcW w:w="100" w:type="dxa"/>
            <w:vAlign w:val="bottom"/>
          </w:tcPr>
          <w:p>
            <w:pPr>
              <w:spacing w:after="0"/>
              <w:rPr>
                <w:sz w:val="15"/>
                <w:szCs w:val="15"/>
                <w:color w:val="auto"/>
              </w:rPr>
            </w:pPr>
          </w:p>
        </w:tc>
      </w:tr>
      <w:tr>
        <w:trPr>
          <w:trHeight w:val="176"/>
        </w:trPr>
        <w:tc>
          <w:tcPr>
            <w:tcW w:w="448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32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341,207</w:t>
            </w:r>
          </w:p>
        </w:tc>
        <w:tc>
          <w:tcPr>
            <w:tcW w:w="3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289,099</w:t>
            </w:r>
          </w:p>
        </w:tc>
        <w:tc>
          <w:tcPr>
            <w:tcW w:w="2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338,341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363,537</w:t>
            </w:r>
          </w:p>
        </w:tc>
        <w:tc>
          <w:tcPr>
            <w:tcW w:w="100" w:type="dxa"/>
            <w:vAlign w:val="bottom"/>
            <w:shd w:val="clear" w:color="auto" w:fill="CCECFF"/>
          </w:tcPr>
          <w:p>
            <w:pPr>
              <w:spacing w:after="0"/>
              <w:rPr>
                <w:sz w:val="15"/>
                <w:szCs w:val="15"/>
                <w:color w:val="auto"/>
              </w:rPr>
            </w:pPr>
          </w:p>
        </w:tc>
      </w:tr>
      <w:tr>
        <w:trPr>
          <w:trHeight w:val="175"/>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Equity in PSLF</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49,362</w:t>
            </w:r>
          </w:p>
        </w:tc>
        <w:tc>
          <w:tcPr>
            <w:tcW w:w="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53,092</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33,892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41,160</w:t>
            </w:r>
          </w:p>
        </w:tc>
        <w:tc>
          <w:tcPr>
            <w:tcW w:w="100" w:type="dxa"/>
            <w:vAlign w:val="bottom"/>
          </w:tcPr>
          <w:p>
            <w:pPr>
              <w:spacing w:after="0"/>
              <w:rPr>
                <w:sz w:val="15"/>
                <w:szCs w:val="15"/>
                <w:color w:val="auto"/>
              </w:rPr>
            </w:pPr>
          </w:p>
        </w:tc>
      </w:tr>
      <w:tr>
        <w:trPr>
          <w:trHeight w:val="16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1,379,696</w:t>
            </w:r>
          </w:p>
        </w:tc>
        <w:tc>
          <w:tcPr>
            <w:tcW w:w="30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1,314,828</w:t>
            </w:r>
          </w:p>
        </w:tc>
        <w:tc>
          <w:tcPr>
            <w:tcW w:w="28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1,221,121</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1,255,290</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48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29,630</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29,547</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20,383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w:t>
            </w:r>
          </w:p>
        </w:tc>
        <w:tc>
          <w:tcPr>
            <w:tcW w:w="100" w:type="dxa"/>
            <w:vAlign w:val="bottom"/>
          </w:tcPr>
          <w:p>
            <w:pPr>
              <w:spacing w:after="0"/>
              <w:rPr>
                <w:sz w:val="14"/>
                <w:szCs w:val="14"/>
                <w:color w:val="auto"/>
              </w:rPr>
            </w:pPr>
          </w:p>
        </w:tc>
      </w:tr>
      <w:tr>
        <w:trPr>
          <w:trHeight w:val="20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1,409,326</w:t>
            </w:r>
          </w:p>
        </w:tc>
        <w:tc>
          <w:tcPr>
            <w:tcW w:w="300" w:type="dxa"/>
            <w:vAlign w:val="bottom"/>
            <w:tcBorders>
              <w:bottom w:val="single" w:sz="8" w:color="CCECFF"/>
            </w:tcBorders>
            <w:shd w:val="clear" w:color="auto" w:fill="CCECFF"/>
          </w:tcPr>
          <w:p>
            <w:pPr>
              <w:spacing w:after="0"/>
              <w:rPr>
                <w:sz w:val="18"/>
                <w:szCs w:val="18"/>
                <w:color w:val="auto"/>
              </w:rPr>
            </w:pPr>
          </w:p>
        </w:tc>
        <w:tc>
          <w:tcPr>
            <w:tcW w:w="360" w:type="dxa"/>
            <w:vAlign w:val="bottom"/>
            <w:tcBorders>
              <w:bottom w:val="single" w:sz="8" w:color="auto"/>
            </w:tcBorders>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1,344,375</w:t>
            </w:r>
          </w:p>
        </w:tc>
        <w:tc>
          <w:tcPr>
            <w:tcW w:w="2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1,241,504</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1,275,647</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-262255</wp:posOffset>
            </wp:positionV>
            <wp:extent cx="7683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-262255</wp:posOffset>
            </wp:positionV>
            <wp:extent cx="7683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-262255</wp:posOffset>
            </wp:positionV>
            <wp:extent cx="6858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7683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-25400</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-8255</wp:posOffset>
            </wp:positionV>
            <wp:extent cx="768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92" w:lineRule="exact"/>
        <w:rPr>
          <w:sz w:val="20"/>
          <w:szCs w:val="20"/>
          <w:color w:val="auto"/>
        </w:rPr>
      </w:pPr>
    </w:p>
    <w:p>
      <w:pPr>
        <w:ind w:right="200" w:firstLine="449"/>
        <w:spacing w:after="0" w:line="27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Pr>
          <w:p>
            <w:pPr>
              <w:spacing w:after="0"/>
              <w:rPr>
                <w:sz w:val="18"/>
                <w:szCs w:val="18"/>
                <w:color w:val="auto"/>
              </w:rPr>
            </w:pPr>
          </w:p>
        </w:tc>
        <w:tc>
          <w:tcPr>
            <w:tcW w:w="2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June 30, 2022</w:t>
            </w:r>
            <w:r>
              <w:rPr>
                <w:rFonts w:ascii="Arial" w:cs="Arial" w:eastAsia="Arial" w:hAnsi="Arial"/>
                <w:sz w:val="19"/>
                <w:szCs w:val="19"/>
                <w:b w:val="1"/>
                <w:bCs w:val="1"/>
                <w:color w:val="auto"/>
                <w:vertAlign w:val="superscript"/>
              </w:rPr>
              <w:t>(1)</w:t>
            </w:r>
          </w:p>
        </w:tc>
        <w:tc>
          <w:tcPr>
            <w:tcW w:w="520" w:type="dxa"/>
            <w:vAlign w:val="bottom"/>
          </w:tcPr>
          <w:p>
            <w:pPr>
              <w:spacing w:after="0"/>
              <w:rPr>
                <w:sz w:val="18"/>
                <w:szCs w:val="18"/>
                <w:color w:val="auto"/>
              </w:rPr>
            </w:pPr>
          </w:p>
        </w:tc>
        <w:tc>
          <w:tcPr>
            <w:tcW w:w="2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 xml:space="preserve">September 30, 2021 </w:t>
            </w:r>
            <w:r>
              <w:rPr>
                <w:rFonts w:ascii="Arial" w:cs="Arial" w:eastAsia="Arial" w:hAnsi="Arial"/>
                <w:sz w:val="19"/>
                <w:szCs w:val="19"/>
                <w:b w:val="1"/>
                <w:bCs w:val="1"/>
                <w:color w:val="auto"/>
                <w:vertAlign w:val="superscript"/>
              </w:rPr>
              <w:t>(1)</w:t>
            </w:r>
          </w:p>
        </w:tc>
        <w:tc>
          <w:tcPr>
            <w:tcW w:w="320" w:type="dxa"/>
            <w:vAlign w:val="bottom"/>
          </w:tcPr>
          <w:p>
            <w:pPr>
              <w:spacing w:after="0"/>
              <w:rPr>
                <w:sz w:val="18"/>
                <w:szCs w:val="18"/>
                <w:color w:val="auto"/>
              </w:rPr>
            </w:pPr>
          </w:p>
        </w:tc>
      </w:tr>
      <w:tr>
        <w:trPr>
          <w:trHeight w:val="169"/>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Business Services</w:t>
            </w:r>
          </w:p>
        </w:tc>
        <w:tc>
          <w:tcPr>
            <w:tcW w:w="200" w:type="dxa"/>
            <w:vAlign w:val="bottom"/>
            <w:shd w:val="clear" w:color="auto" w:fill="CCECFF"/>
          </w:tcPr>
          <w:p>
            <w:pPr>
              <w:spacing w:after="0"/>
              <w:rPr>
                <w:sz w:val="14"/>
                <w:szCs w:val="14"/>
                <w:color w:val="auto"/>
              </w:rPr>
            </w:pPr>
          </w:p>
        </w:tc>
        <w:tc>
          <w:tcPr>
            <w:tcW w:w="2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w:t>
            </w:r>
          </w:p>
        </w:tc>
        <w:tc>
          <w:tcPr>
            <w:tcW w:w="52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Healthcare, Education and Childcare</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Consumer Products</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Energy and Utilities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Financial Services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Aerospace and Defense</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Home and Office Furnishings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Media</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Telecommunications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Auto Sector</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Chemicals, Plastics and Rubber</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Environmental Services</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Building Materials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Education</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Electronics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5"/>
                <w:szCs w:val="15"/>
                <w:color w:val="auto"/>
              </w:rPr>
            </w:pPr>
          </w:p>
        </w:tc>
      </w:tr>
      <w:tr>
        <w:trPr>
          <w:trHeight w:val="175"/>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Hotels, Motels, Inns and Gaming</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Other Media</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Transportation</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Cargo Transport</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Insurance</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Manufacturing / Basic Industries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Personal and Non-Durable Consumer Products</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5"/>
                <w:szCs w:val="15"/>
                <w:color w:val="auto"/>
              </w:rPr>
            </w:pPr>
          </w:p>
        </w:tc>
      </w:tr>
      <w:tr>
        <w:trPr>
          <w:trHeight w:val="175"/>
        </w:trPr>
        <w:tc>
          <w:tcPr>
            <w:tcW w:w="5120" w:type="dxa"/>
            <w:vAlign w:val="bottom"/>
          </w:tcPr>
          <w:p>
            <w:pPr>
              <w:ind w:left="20"/>
              <w:spacing w:after="0"/>
              <w:rPr>
                <w:sz w:val="20"/>
                <w:szCs w:val="20"/>
                <w:color w:val="auto"/>
              </w:rPr>
            </w:pPr>
            <w:r>
              <w:rPr>
                <w:rFonts w:ascii="Arial" w:cs="Arial" w:eastAsia="Arial" w:hAnsi="Arial"/>
                <w:sz w:val="14"/>
                <w:szCs w:val="14"/>
                <w:color w:val="auto"/>
              </w:rPr>
              <w:t>Personal, Food and Miscellaneous Services</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5"/>
                <w:szCs w:val="15"/>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Printing and Publishing</w:t>
            </w:r>
          </w:p>
        </w:tc>
        <w:tc>
          <w:tcPr>
            <w:tcW w:w="24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520" w:type="dxa"/>
            <w:vAlign w:val="bottom"/>
            <w:shd w:val="clear" w:color="auto" w:fill="CCECFF"/>
          </w:tcPr>
          <w:p>
            <w:pPr>
              <w:spacing w:after="0"/>
              <w:rPr>
                <w:sz w:val="15"/>
                <w:szCs w:val="15"/>
                <w:color w:val="auto"/>
              </w:rPr>
            </w:pPr>
          </w:p>
        </w:tc>
        <w:tc>
          <w:tcPr>
            <w:tcW w:w="2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5"/>
                <w:szCs w:val="15"/>
                <w:color w:val="auto"/>
              </w:rPr>
            </w:pPr>
          </w:p>
        </w:tc>
      </w:tr>
      <w:tr>
        <w:trPr>
          <w:trHeight w:val="176"/>
        </w:trPr>
        <w:tc>
          <w:tcPr>
            <w:tcW w:w="5120" w:type="dxa"/>
            <w:vAlign w:val="bottom"/>
          </w:tcPr>
          <w:p>
            <w:pPr>
              <w:ind w:left="20"/>
              <w:spacing w:after="0"/>
              <w:rPr>
                <w:sz w:val="20"/>
                <w:szCs w:val="20"/>
                <w:color w:val="auto"/>
              </w:rPr>
            </w:pPr>
            <w:r>
              <w:rPr>
                <w:rFonts w:ascii="Arial" w:cs="Arial" w:eastAsia="Arial" w:hAnsi="Arial"/>
                <w:sz w:val="14"/>
                <w:szCs w:val="14"/>
                <w:color w:val="auto"/>
              </w:rPr>
              <w:t>Retail</w:t>
            </w:r>
          </w:p>
        </w:tc>
        <w:tc>
          <w:tcPr>
            <w:tcW w:w="24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5"/>
                <w:szCs w:val="15"/>
                <w:color w:val="auto"/>
              </w:rPr>
            </w:pPr>
          </w:p>
        </w:tc>
        <w:tc>
          <w:tcPr>
            <w:tcW w:w="28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r>
      <w:tr>
        <w:trPr>
          <w:trHeight w:val="175"/>
        </w:trPr>
        <w:tc>
          <w:tcPr>
            <w:tcW w:w="5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CFF"/>
            </w:tcBorders>
            <w:shd w:val="clear" w:color="auto" w:fill="CCECFF"/>
          </w:tcPr>
          <w:p>
            <w:pPr>
              <w:spacing w:after="0"/>
              <w:rPr>
                <w:sz w:val="15"/>
                <w:szCs w:val="15"/>
                <w:color w:val="auto"/>
              </w:rPr>
            </w:pPr>
          </w:p>
        </w:tc>
        <w:tc>
          <w:tcPr>
            <w:tcW w:w="2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CFF"/>
            </w:tcBorders>
            <w:shd w:val="clear" w:color="auto" w:fill="CCECFF"/>
          </w:tcPr>
          <w:p>
            <w:pPr>
              <w:spacing w:after="0"/>
              <w:rPr>
                <w:sz w:val="15"/>
                <w:szCs w:val="15"/>
                <w:color w:val="auto"/>
              </w:rPr>
            </w:pPr>
          </w:p>
        </w:tc>
        <w:tc>
          <w:tcPr>
            <w:tcW w:w="2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CFF"/>
            </w:tcBorders>
            <w:shd w:val="clear" w:color="auto" w:fill="CCECFF"/>
          </w:tcPr>
          <w:p>
            <w:pPr>
              <w:spacing w:after="0"/>
              <w:rPr>
                <w:sz w:val="15"/>
                <w:szCs w:val="15"/>
                <w:color w:val="auto"/>
              </w:rPr>
            </w:pPr>
          </w:p>
        </w:tc>
      </w:tr>
      <w:tr>
        <w:trPr>
          <w:trHeight w:val="169"/>
        </w:trPr>
        <w:tc>
          <w:tcPr>
            <w:tcW w:w="5120" w:type="dxa"/>
            <w:vAlign w:val="bottom"/>
          </w:tcPr>
          <w:p>
            <w:pPr>
              <w:ind w:left="20"/>
              <w:spacing w:after="0" w:line="155" w:lineRule="exact"/>
              <w:rPr>
                <w:sz w:val="20"/>
                <w:szCs w:val="20"/>
                <w:color w:val="auto"/>
              </w:rPr>
            </w:pPr>
            <w:r>
              <w:rPr>
                <w:rFonts w:ascii="Arial" w:cs="Arial" w:eastAsia="Arial" w:hAnsi="Arial"/>
                <w:sz w:val="14"/>
                <w:szCs w:val="14"/>
                <w:color w:val="auto"/>
              </w:rPr>
              <w:t>Total</w:t>
            </w:r>
          </w:p>
        </w:tc>
        <w:tc>
          <w:tcPr>
            <w:tcW w:w="24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w:t>
            </w:r>
          </w:p>
        </w:tc>
        <w:tc>
          <w:tcPr>
            <w:tcW w:w="520" w:type="dxa"/>
            <w:vAlign w:val="bottom"/>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282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r>
      <w:tr>
        <w:trPr>
          <w:trHeight w:val="20"/>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-142240</wp:posOffset>
            </wp:positionV>
            <wp:extent cx="6858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-142240</wp:posOffset>
            </wp:positionV>
            <wp:extent cx="685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1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4"/>
          <w:szCs w:val="14"/>
          <w:color w:val="auto"/>
          <w:vertAlign w:val="superscript"/>
        </w:rPr>
      </w:pPr>
      <w:r>
        <w:rPr>
          <w:rFonts w:ascii="Arial" w:cs="Arial" w:eastAsia="Arial" w:hAnsi="Arial"/>
          <w:sz w:val="11"/>
          <w:szCs w:val="11"/>
          <w:color w:val="auto"/>
        </w:rPr>
        <w:t>Excludes investments in PSLF.</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08"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June 30, 2022 and September 30, 2021, PSLF had total assets of $664.6 million and $417.4 million, respectively. PSLF’s portfolio consisted of debt investments in 72 and 47 portfolio companies as of June 30, 2022 and September 30, 2021, respectively. As of the same dates, we and Pantheon had no remaining commitments to fund first lien secured debt and equity interests in PSLF. As of June 30, 2022, at fair value, the largest investment in a single portfolio company in PSLF was $17.9 million and the five largest investments totaled $87.2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72"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June 30, 2022 and September 30, 2021, we and Pantheon owned 60.5% and 39.5%, respectively, of each of the outstanding subordinated notes and equity interests of PSLF. As of June 30, 2022 and September 30, 2021 our investment in PSLF consisted of subordinated notes of $88.0 million and $64.2 million, respectively, and equity interests of $53.1 million and $41.2 million, respectively.</w:t>
      </w:r>
    </w:p>
    <w:p>
      <w:pPr>
        <w:spacing w:after="0" w:line="169"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8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summary of PSLF’s portfolio at fair value: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500" w:type="dxa"/>
            <w:vAlign w:val="bottom"/>
            <w:gridSpan w:val="2"/>
          </w:tcPr>
          <w:p>
            <w:pPr>
              <w:jc w:val="right"/>
              <w:ind w:right="1808"/>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442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4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3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608,375</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405,233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42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3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7.9 %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20" w:type="dxa"/>
            <w:vAlign w:val="bottom"/>
          </w:tcPr>
          <w:p>
            <w:pPr>
              <w:spacing w:after="0"/>
              <w:rPr>
                <w:sz w:val="15"/>
                <w:szCs w:val="15"/>
                <w:color w:val="auto"/>
              </w:rPr>
            </w:pPr>
          </w:p>
        </w:tc>
      </w:tr>
      <w:tr>
        <w:trPr>
          <w:trHeight w:val="176"/>
        </w:trPr>
        <w:tc>
          <w:tcPr>
            <w:tcW w:w="4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PSLF</w:t>
            </w:r>
          </w:p>
        </w:tc>
        <w:tc>
          <w:tcPr>
            <w:tcW w:w="3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42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35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17,897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16,817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42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350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87,170</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1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June 30, 2022 ($ in thousands, except share data)</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 w:name="page26"/>
    <w:bookmarkEnd w:id="25"/>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95"/>
              </w:rPr>
              <w:t>Current</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Pr>
          <w:p>
            <w:pPr>
              <w:spacing w:after="0"/>
              <w:rPr>
                <w:sz w:val="9"/>
                <w:szCs w:val="9"/>
                <w:color w:val="auto"/>
              </w:rPr>
            </w:pPr>
          </w:p>
        </w:tc>
        <w:tc>
          <w:tcPr>
            <w:tcW w:w="7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8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Par</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7"/>
              </w:rPr>
              <w:t>Cost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left="206"/>
              <w:spacing w:after="0"/>
              <w:rPr>
                <w:sz w:val="20"/>
                <w:szCs w:val="20"/>
                <w:color w:val="auto"/>
              </w:rPr>
            </w:pPr>
            <w:r>
              <w:rPr>
                <w:rFonts w:ascii="Arial" w:cs="Arial" w:eastAsia="Arial" w:hAnsi="Arial"/>
                <w:sz w:val="11"/>
                <w:szCs w:val="11"/>
                <w:b w:val="1"/>
                <w:bCs w:val="1"/>
                <w:color w:val="auto"/>
                <w:w w:val="91"/>
              </w:rPr>
              <w:t>Coupon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- 693.3%</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5/6/2026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34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Alpine Acquisition Corp II</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11/30/2026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Containers, Packaging and Glass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7.22 %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L+800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7/24/2025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9.24 %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12/21/2023</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17,463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17,417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17,463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shd w:val="clear" w:color="auto" w:fill="CCECFF"/>
          </w:tcPr>
          <w:p>
            <w:pPr>
              <w:ind w:left="20"/>
              <w:spacing w:after="0" w:line="99" w:lineRule="exact"/>
              <w:rPr>
                <w:sz w:val="20"/>
                <w:szCs w:val="20"/>
                <w:color w:val="auto"/>
              </w:rPr>
            </w:pPr>
            <w:r>
              <w:rPr>
                <w:rFonts w:ascii="Arial" w:cs="Arial" w:eastAsia="Arial" w:hAnsi="Arial"/>
                <w:sz w:val="11"/>
                <w:szCs w:val="11"/>
                <w:color w:val="auto"/>
                <w:w w:val="96"/>
              </w:rPr>
              <w:t>Amsive Holding Corporation (f/k/a Vision Purchaser</w:t>
            </w:r>
          </w:p>
        </w:tc>
        <w:tc>
          <w:tcPr>
            <w:tcW w:w="940" w:type="dxa"/>
            <w:vAlign w:val="bottom"/>
            <w:gridSpan w:val="2"/>
            <w:vMerge w:val="restart"/>
            <w:shd w:val="clear" w:color="auto" w:fill="CCECFF"/>
          </w:tcPr>
          <w:p>
            <w:pPr>
              <w:jc w:val="center"/>
              <w:ind w:left="126"/>
              <w:spacing w:after="0"/>
              <w:rPr>
                <w:sz w:val="20"/>
                <w:szCs w:val="20"/>
                <w:color w:val="auto"/>
              </w:rPr>
            </w:pPr>
            <w:r>
              <w:rPr>
                <w:rFonts w:ascii="Arial" w:cs="Arial" w:eastAsia="Arial" w:hAnsi="Arial"/>
                <w:sz w:val="11"/>
                <w:szCs w:val="11"/>
                <w:color w:val="auto"/>
                <w:w w:val="89"/>
              </w:rPr>
              <w:t>6/10/2025</w:t>
            </w:r>
          </w:p>
        </w:tc>
        <w:tc>
          <w:tcPr>
            <w:tcW w:w="180" w:type="dxa"/>
            <w:vAlign w:val="bottom"/>
            <w:shd w:val="clear" w:color="auto" w:fill="CCECFF"/>
          </w:tcPr>
          <w:p>
            <w:pPr>
              <w:spacing w:after="0"/>
              <w:rPr>
                <w:sz w:val="8"/>
                <w:szCs w:val="8"/>
                <w:color w:val="auto"/>
              </w:rPr>
            </w:pPr>
          </w:p>
        </w:tc>
        <w:tc>
          <w:tcPr>
            <w:tcW w:w="2480" w:type="dxa"/>
            <w:vAlign w:val="bottom"/>
            <w:vMerge w:val="restart"/>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vMerge w:val="restart"/>
            <w:shd w:val="clear" w:color="auto" w:fill="CCECFF"/>
          </w:tcPr>
          <w:p>
            <w:pPr>
              <w:jc w:val="right"/>
              <w:spacing w:after="0"/>
              <w:rPr>
                <w:sz w:val="20"/>
                <w:szCs w:val="20"/>
                <w:color w:val="auto"/>
              </w:rPr>
            </w:pPr>
            <w:r>
              <w:rPr>
                <w:rFonts w:ascii="Arial" w:cs="Arial" w:eastAsia="Arial" w:hAnsi="Arial"/>
                <w:sz w:val="11"/>
                <w:szCs w:val="11"/>
                <w:color w:val="auto"/>
              </w:rPr>
              <w:t>13,905</w:t>
            </w:r>
          </w:p>
        </w:tc>
        <w:tc>
          <w:tcPr>
            <w:tcW w:w="2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13,757</w:t>
            </w:r>
          </w:p>
        </w:tc>
        <w:tc>
          <w:tcPr>
            <w:tcW w:w="1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13,835</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Corporation)</w:t>
            </w:r>
          </w:p>
        </w:tc>
        <w:tc>
          <w:tcPr>
            <w:tcW w:w="940" w:type="dxa"/>
            <w:vAlign w:val="bottom"/>
            <w:gridSpan w:val="2"/>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20" w:type="dxa"/>
            <w:vAlign w:val="bottom"/>
            <w:gridSpan w:val="2"/>
            <w:vMerge w:val="continue"/>
            <w:shd w:val="clear" w:color="auto" w:fill="CCECFF"/>
          </w:tcPr>
          <w:p>
            <w:pPr>
              <w:spacing w:after="0"/>
              <w:rPr>
                <w:sz w:val="12"/>
                <w:szCs w:val="12"/>
                <w:color w:val="auto"/>
              </w:rPr>
            </w:pPr>
          </w:p>
        </w:tc>
        <w:tc>
          <w:tcPr>
            <w:tcW w:w="1120" w:type="dxa"/>
            <w:vAlign w:val="bottom"/>
            <w:vMerge w:val="continue"/>
            <w:shd w:val="clear" w:color="auto" w:fill="CCECFF"/>
          </w:tcPr>
          <w:p>
            <w:pPr>
              <w:spacing w:after="0"/>
              <w:rPr>
                <w:sz w:val="12"/>
                <w:szCs w:val="12"/>
                <w:color w:val="auto"/>
              </w:rPr>
            </w:pPr>
          </w:p>
        </w:tc>
        <w:tc>
          <w:tcPr>
            <w:tcW w:w="700" w:type="dxa"/>
            <w:vAlign w:val="bottom"/>
            <w:gridSpan w:val="2"/>
            <w:vMerge w:val="continue"/>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7/21/2027</w:t>
            </w:r>
          </w:p>
        </w:tc>
        <w:tc>
          <w:tcPr>
            <w:tcW w:w="18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9,978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9,969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6,569</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3,323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 Term Loan 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7,607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7,388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7,296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Blackhawk Industrial Distribution,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7.20 %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18,078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CF512,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8/20/2026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7.58 %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2,992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7/13/2027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6.91 %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9,190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8/5/2025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6.83 %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15,940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15,637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15,860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8/31/2027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Personal and Non-Durable Consumer Products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6,452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11/3/2025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15,182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15,099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6/30/2024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6.87 %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8,200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5/1/2028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4,569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4,569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12/23/2025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6.32 %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2,823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2,757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Exigo Intermediate II,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3/15/2027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6.81 %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9,863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3/16/2026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Banking, Finance, Insurance &amp; Real Estate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7,380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8/10/2027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1,979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12/31/2026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7.09 %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6,838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11/23/2028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L+800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13,990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13,720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14,475</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14,325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IDC Infusion Services,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12/30/2026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IG Investments Holdings,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9/22/2028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Imagine Acquisitionco,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11/15/2027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6.91 %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5,660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Inception Fertility Ventures,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12/7/2023</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9.08 %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17,409</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16,979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Infolinks Media Buyco,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6,461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8/27/2025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7.83 %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17,490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17,412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12/20/2023</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9.67 %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14,475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14,333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2/18/2027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2/3/2026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12,377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12,137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4/1/2027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5,585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5/14/2026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7,940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4/16/2027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7,425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Meadowlark Acquirer,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6.84 %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2,998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5/23/2024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15,371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15,276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Municipal Emergency Services,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9/28/2027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4,164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8/19/2026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6.37 %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7,524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7,442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7/9/2026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5.61 %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5,316</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5,266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Owl Acquisition,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2/4/2028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Ox Two, LLC (New Issue)</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5/18/2026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4,933</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11/9/2027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5"/>
              </w:rPr>
              <w:t>Retail</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8.17 %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8,656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5/8/2026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2,587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Quantic Electronics,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11/19/2026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3,429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3,365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Radius Aerospace,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6.76 %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12,784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Rancho Health MSO,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12/18/2025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5,207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Reception Purchaser,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2/28/2028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1/29/2026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9,875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14,580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14,468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6/20/2025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3,229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3/10/2025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8.45 %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1/3/2025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7,225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7,134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5,082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Signature Systems Holding Company</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5/3/2024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12,139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12,058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12,078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1/17/2024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Communications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L+675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11,420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12/11/2026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6.92 %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12,099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12,029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shd w:val="clear" w:color="auto" w:fill="CCECFF"/>
          </w:tcPr>
          <w:p>
            <w:pPr>
              <w:ind w:left="20"/>
              <w:spacing w:after="0" w:line="99" w:lineRule="exact"/>
              <w:rPr>
                <w:sz w:val="20"/>
                <w:szCs w:val="20"/>
                <w:color w:val="auto"/>
              </w:rPr>
            </w:pPr>
            <w:r>
              <w:rPr>
                <w:rFonts w:ascii="Arial" w:cs="Arial" w:eastAsia="Arial" w:hAnsi="Arial"/>
                <w:sz w:val="11"/>
                <w:szCs w:val="11"/>
                <w:color w:val="auto"/>
                <w:w w:val="90"/>
              </w:rPr>
              <w:t>System Planning and Analysis, Inc. (f/k/a Management</w:t>
            </w:r>
          </w:p>
        </w:tc>
        <w:tc>
          <w:tcPr>
            <w:tcW w:w="940" w:type="dxa"/>
            <w:vAlign w:val="bottom"/>
            <w:gridSpan w:val="2"/>
            <w:vMerge w:val="restart"/>
            <w:shd w:val="clear" w:color="auto" w:fill="CCECFF"/>
          </w:tcPr>
          <w:p>
            <w:pPr>
              <w:jc w:val="center"/>
              <w:ind w:left="126"/>
              <w:spacing w:after="0"/>
              <w:rPr>
                <w:sz w:val="20"/>
                <w:szCs w:val="20"/>
                <w:color w:val="auto"/>
              </w:rPr>
            </w:pPr>
            <w:r>
              <w:rPr>
                <w:rFonts w:ascii="Arial" w:cs="Arial" w:eastAsia="Arial" w:hAnsi="Arial"/>
                <w:sz w:val="11"/>
                <w:szCs w:val="11"/>
                <w:color w:val="auto"/>
                <w:w w:val="89"/>
              </w:rPr>
              <w:t>8/16/2027</w:t>
            </w:r>
          </w:p>
        </w:tc>
        <w:tc>
          <w:tcPr>
            <w:tcW w:w="180" w:type="dxa"/>
            <w:vAlign w:val="bottom"/>
            <w:shd w:val="clear" w:color="auto" w:fill="CCECFF"/>
          </w:tcPr>
          <w:p>
            <w:pPr>
              <w:spacing w:after="0"/>
              <w:rPr>
                <w:sz w:val="8"/>
                <w:szCs w:val="8"/>
                <w:color w:val="auto"/>
              </w:rPr>
            </w:pPr>
          </w:p>
        </w:tc>
        <w:tc>
          <w:tcPr>
            <w:tcW w:w="2480" w:type="dxa"/>
            <w:vAlign w:val="bottom"/>
            <w:vMerge w:val="restart"/>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1"/>
                <w:szCs w:val="11"/>
                <w:color w:val="auto"/>
                <w:w w:val="93"/>
              </w:rPr>
              <w:t>8.83 %</w:t>
            </w: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SOFR+600</w:t>
            </w:r>
          </w:p>
        </w:tc>
        <w:tc>
          <w:tcPr>
            <w:tcW w:w="700" w:type="dxa"/>
            <w:vAlign w:val="bottom"/>
            <w:gridSpan w:val="2"/>
            <w:vMerge w:val="restart"/>
            <w:shd w:val="clear" w:color="auto" w:fill="CCECFF"/>
          </w:tcPr>
          <w:p>
            <w:pPr>
              <w:jc w:val="right"/>
              <w:spacing w:after="0"/>
              <w:rPr>
                <w:sz w:val="20"/>
                <w:szCs w:val="20"/>
                <w:color w:val="auto"/>
              </w:rPr>
            </w:pPr>
            <w:r>
              <w:rPr>
                <w:rFonts w:ascii="Arial" w:cs="Arial" w:eastAsia="Arial" w:hAnsi="Arial"/>
                <w:sz w:val="11"/>
                <w:szCs w:val="11"/>
                <w:color w:val="auto"/>
              </w:rPr>
              <w:t>9,962</w:t>
            </w:r>
          </w:p>
        </w:tc>
        <w:tc>
          <w:tcPr>
            <w:tcW w:w="2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9,704</w:t>
            </w:r>
          </w:p>
        </w:tc>
        <w:tc>
          <w:tcPr>
            <w:tcW w:w="1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9,803</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Consulting &amp; Research, LLC)</w:t>
            </w:r>
          </w:p>
        </w:tc>
        <w:tc>
          <w:tcPr>
            <w:tcW w:w="940" w:type="dxa"/>
            <w:vAlign w:val="bottom"/>
            <w:gridSpan w:val="2"/>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20" w:type="dxa"/>
            <w:vAlign w:val="bottom"/>
            <w:gridSpan w:val="2"/>
            <w:vMerge w:val="continue"/>
            <w:shd w:val="clear" w:color="auto" w:fill="CCECFF"/>
          </w:tcPr>
          <w:p>
            <w:pPr>
              <w:spacing w:after="0"/>
              <w:rPr>
                <w:sz w:val="12"/>
                <w:szCs w:val="12"/>
                <w:color w:val="auto"/>
              </w:rPr>
            </w:pPr>
          </w:p>
        </w:tc>
        <w:tc>
          <w:tcPr>
            <w:tcW w:w="1120" w:type="dxa"/>
            <w:vAlign w:val="bottom"/>
            <w:vMerge w:val="continue"/>
            <w:shd w:val="clear" w:color="auto" w:fill="CCECFF"/>
          </w:tcPr>
          <w:p>
            <w:pPr>
              <w:spacing w:after="0"/>
              <w:rPr>
                <w:sz w:val="12"/>
                <w:szCs w:val="12"/>
                <w:color w:val="auto"/>
              </w:rPr>
            </w:pPr>
          </w:p>
        </w:tc>
        <w:tc>
          <w:tcPr>
            <w:tcW w:w="700" w:type="dxa"/>
            <w:vAlign w:val="bottom"/>
            <w:gridSpan w:val="2"/>
            <w:vMerge w:val="continue"/>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3/1/2026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11/20/2025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4,553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4,532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7/18/2025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6.31 %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2,974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8.12 %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11,293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The Bluebird Group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5,549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8/30/2027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4,543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w w:val="96"/>
              </w:rPr>
              <w:t>TPC Canada Parent, Inc. and TPC US Parent,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11/24/2025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5"/>
              </w:rPr>
              <w:t>Food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3/26/2026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7.67 %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17,424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17,282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6/16/2025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8.76 %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7,949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7,914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4/3/2028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6.47 %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12,125</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11,997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UBEO,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4/3/2024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Printing and Publishing</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4,674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2/27/2026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11,471</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Zips Car Wash,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3/1/2024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7,498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612,509</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608,375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- 693.3%</w:t>
            </w: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- 61.2%</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w w:val="93"/>
              </w:rPr>
              <w:t>Total Investments and Cash Equivalents - 754.4%</w:t>
            </w:r>
          </w:p>
        </w:tc>
        <w:tc>
          <w:tcPr>
            <w:tcW w:w="16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666,200</w:t>
            </w:r>
          </w:p>
        </w:tc>
        <w:tc>
          <w:tcPr>
            <w:tcW w:w="26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662,065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460" w:type="dxa"/>
            <w:vAlign w:val="bottom"/>
          </w:tcPr>
          <w:p>
            <w:pPr>
              <w:ind w:left="20"/>
              <w:spacing w:after="0" w:line="102" w:lineRule="exact"/>
              <w:rPr>
                <w:sz w:val="20"/>
                <w:szCs w:val="20"/>
                <w:color w:val="auto"/>
              </w:rPr>
            </w:pPr>
            <w:r>
              <w:rPr>
                <w:rFonts w:ascii="Arial" w:cs="Arial" w:eastAsia="Arial" w:hAnsi="Arial"/>
                <w:sz w:val="11"/>
                <w:szCs w:val="11"/>
                <w:b w:val="1"/>
                <w:bCs w:val="1"/>
                <w:color w:val="auto"/>
                <w:w w:val="96"/>
              </w:rPr>
              <w:t>Liabilities in Excess of Other Assets — (654.4)%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60"/>
              <w:spacing w:after="0" w:line="102" w:lineRule="exact"/>
              <w:rPr>
                <w:sz w:val="20"/>
                <w:szCs w:val="20"/>
                <w:color w:val="auto"/>
              </w:rPr>
            </w:pPr>
            <w:r>
              <w:rPr>
                <w:rFonts w:ascii="Arial" w:cs="Arial" w:eastAsia="Arial" w:hAnsi="Arial"/>
                <w:sz w:val="11"/>
                <w:szCs w:val="11"/>
                <w:color w:val="auto"/>
              </w:rPr>
              <w:t>(574,309 )</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6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87,756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-776605</wp:posOffset>
            </wp:positionV>
            <wp:extent cx="685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-416560</wp:posOffset>
            </wp:positionV>
            <wp:extent cx="6858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wp:posOffset>
            </wp:positionV>
            <wp:extent cx="6858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-230505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-213995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119126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80" w:right="120" w:hanging="372"/>
        <w:spacing w:after="0" w:line="215" w:lineRule="auto"/>
        <w:tabs>
          <w:tab w:leader="none" w:pos="38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w:t>
      </w:r>
    </w:p>
    <w:p>
      <w:pPr>
        <w:sectPr>
          <w:pgSz w:w="11900" w:h="16838" w:orient="portrait"/>
          <w:cols w:equalWidth="0" w:num="1">
            <w:col w:w="11240"/>
          </w:cols>
          <w:pgMar w:left="320" w:top="118"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241" w:lineRule="exact"/>
        <w:rPr>
          <w:sz w:val="20"/>
          <w:szCs w:val="20"/>
          <w:color w:val="auto"/>
        </w:rPr>
      </w:pPr>
    </w:p>
    <w:p>
      <w:pPr>
        <w:ind w:left="380" w:right="220"/>
        <w:spacing w:after="0" w:line="249" w:lineRule="auto"/>
        <w:rPr>
          <w:sz w:val="20"/>
          <w:szCs w:val="20"/>
          <w:color w:val="auto"/>
        </w:rPr>
      </w:pPr>
      <w:r>
        <w:rPr>
          <w:rFonts w:ascii="Arial" w:cs="Arial" w:eastAsia="Arial" w:hAnsi="Arial"/>
          <w:sz w:val="11"/>
          <w:szCs w:val="11"/>
          <w:color w:val="auto"/>
        </w:rPr>
        <w:t>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14" w:lineRule="auto"/>
        <w:tabs>
          <w:tab w:leader="none" w:pos="380" w:val="left"/>
        </w:tabs>
        <w:numPr>
          <w:ilvl w:val="0"/>
          <w:numId w:val="18"/>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September 30, 2021 ($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Current</w:t>
            </w:r>
          </w:p>
        </w:tc>
        <w:tc>
          <w:tcPr>
            <w:tcW w:w="1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6"/>
              </w:rPr>
              <w:t>Spread Above</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48"/>
        </w:trPr>
        <w:tc>
          <w:tcPr>
            <w:tcW w:w="2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Coupon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3"/>
              </w:rPr>
              <w:t xml:space="preserve">Index </w:t>
            </w:r>
            <w:r>
              <w:rPr>
                <w:rFonts w:ascii="Arial" w:cs="Arial" w:eastAsia="Arial" w:hAnsi="Arial"/>
                <w:sz w:val="14"/>
                <w:szCs w:val="14"/>
                <w:b w:val="1"/>
                <w:bCs w:val="1"/>
                <w:color w:val="auto"/>
                <w:w w:val="83"/>
                <w:vertAlign w:val="superscript"/>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9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 - 570.7%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05/06/26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4,988</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4,920</w:t>
            </w:r>
          </w:p>
        </w:tc>
        <w:tc>
          <w:tcPr>
            <w:tcW w:w="4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07/24/25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12/21/23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14,481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Any Hour Services</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07/21/27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6,569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12/29/26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7,336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02/13/23</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08/05/25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5,873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11/03/25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03/31/28</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4,560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03/16/26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7,360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12/31/26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12/19/25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11,934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12/10/24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04/09/27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08/27/25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Juniper Landscaping of Florida,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12/22/21</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12/20/23</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L+700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10/31/24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L+750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2,107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02/03/26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04/13/23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L+825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16,817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16,729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04/01/27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05/14/26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5.65%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Radius Aerospace,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12/18/25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01/29/26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L+450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9,775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L+600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3,217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01/03/25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L+750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05/03/24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01/17/24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11,882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11,758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12/11/26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5.33%</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03/01/26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4,891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11/20/25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07/18/25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11/24/25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Food</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L+625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03/26/26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12,773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12,643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06/16/25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04/03/28</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1M L+675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9,853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04/03/24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1M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06/10/25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7"/>
              </w:rPr>
              <w:t>3M L+675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14,056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02/27/26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7"/>
              </w:rPr>
              <w:t>3M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409,602</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405,009</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Equivalents—18.9%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0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Equivalents—592.7%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416,023</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2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Assets—(492.7)%</w:t>
            </w:r>
          </w:p>
        </w:tc>
        <w:tc>
          <w:tcPr>
            <w:tcW w:w="14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250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10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top w:val="single" w:sz="8" w:color="auto"/>
              <w:bottom w:val="single" w:sz="8" w:color="CCECFF"/>
            </w:tcBorders>
            <w:shd w:val="clear" w:color="auto" w:fill="CCECFF"/>
          </w:tcPr>
          <w:p>
            <w:pPr>
              <w:spacing w:after="0"/>
              <w:rPr>
                <w:sz w:val="8"/>
                <w:szCs w:val="8"/>
                <w:color w:val="auto"/>
              </w:rPr>
            </w:pPr>
          </w:p>
        </w:tc>
        <w:tc>
          <w:tcPr>
            <w:tcW w:w="56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20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(348,213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-321945</wp:posOffset>
            </wp:positionV>
            <wp:extent cx="6858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11912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13" w:lineRule="exact"/>
        <w:rPr>
          <w:sz w:val="20"/>
          <w:szCs w:val="20"/>
          <w:color w:val="auto"/>
        </w:rPr>
      </w:pPr>
    </w:p>
    <w:p>
      <w:pPr>
        <w:ind w:left="380" w:right="20" w:hanging="372"/>
        <w:spacing w:after="0" w:line="219" w:lineRule="auto"/>
        <w:tabs>
          <w:tab w:leader="none" w:pos="38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vertAlign w:val="superscript"/>
        </w:rPr>
      </w:pPr>
    </w:p>
    <w:p>
      <w:pPr>
        <w:ind w:left="380" w:hanging="372"/>
        <w:spacing w:after="0"/>
        <w:tabs>
          <w:tab w:leader="none" w:pos="380" w:val="left"/>
        </w:tabs>
        <w:numPr>
          <w:ilvl w:val="0"/>
          <w:numId w:val="19"/>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3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are the consolidated statements of assets and liabilities for PSLF ($ in thousands):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6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8"/>
              </w:rPr>
              <w:t>June 30, 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1"/>
        </w:trPr>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1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Investments at fair value (cost—$612,509 and $405,009, respectively)</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94"/>
              </w:rPr>
              <w:t>608,375</w:t>
            </w:r>
          </w:p>
        </w:tc>
        <w:tc>
          <w:tcPr>
            <w:tcW w:w="82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405,233</w:t>
            </w:r>
          </w:p>
        </w:tc>
        <w:tc>
          <w:tcPr>
            <w:tcW w:w="100" w:type="dxa"/>
            <w:vAlign w:val="bottom"/>
            <w:shd w:val="clear" w:color="auto" w:fill="CCECFF"/>
          </w:tcPr>
          <w:p>
            <w:pPr>
              <w:spacing w:after="0"/>
              <w:rPr>
                <w:sz w:val="15"/>
                <w:szCs w:val="15"/>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 (cost—$53,690 and $11,013, respectively)</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53,690</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11,013</w:t>
            </w:r>
          </w:p>
        </w:tc>
        <w:tc>
          <w:tcPr>
            <w:tcW w:w="100" w:type="dxa"/>
            <w:vAlign w:val="bottom"/>
          </w:tcPr>
          <w:p>
            <w:pPr>
              <w:spacing w:after="0"/>
              <w:rPr>
                <w:sz w:val="15"/>
                <w:szCs w:val="15"/>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1,708</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CFF"/>
          </w:tcPr>
          <w:p>
            <w:pPr>
              <w:spacing w:after="0"/>
              <w:rPr>
                <w:sz w:val="15"/>
                <w:szCs w:val="15"/>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Prepaid expenses and other assets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842</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Arial" w:cs="Arial" w:eastAsia="Arial" w:hAnsi="Arial"/>
                <w:sz w:val="14"/>
                <w:szCs w:val="14"/>
                <w:b w:val="1"/>
                <w:bCs w:val="1"/>
                <w:color w:val="auto"/>
              </w:rPr>
              <w:t>Total assets</w:t>
            </w:r>
          </w:p>
        </w:tc>
        <w:tc>
          <w:tcPr>
            <w:tcW w:w="54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w w:val="94"/>
              </w:rPr>
              <w:t>664,615</w:t>
            </w:r>
          </w:p>
        </w:tc>
        <w:tc>
          <w:tcPr>
            <w:tcW w:w="32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Distribution payable to Members</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4,000</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CFF"/>
          </w:tcPr>
          <w:p>
            <w:pPr>
              <w:spacing w:after="0"/>
              <w:rPr>
                <w:sz w:val="15"/>
                <w:szCs w:val="15"/>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Payable for investments purchased</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67,265</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tcPr>
          <w:p>
            <w:pPr>
              <w:spacing w:after="0"/>
              <w:rPr>
                <w:sz w:val="15"/>
                <w:szCs w:val="15"/>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Credit facility payable</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94"/>
              </w:rPr>
              <w:t>110,900</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CFF"/>
          </w:tcPr>
          <w:p>
            <w:pPr>
              <w:spacing w:after="0"/>
              <w:rPr>
                <w:sz w:val="15"/>
                <w:szCs w:val="15"/>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2034 Asset-backed debt, net (par—$246,000)</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4"/>
              </w:rPr>
              <w:t>243,799</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Notes payable to members</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94"/>
              </w:rPr>
              <w:t>145,472</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106,041</w:t>
            </w:r>
          </w:p>
        </w:tc>
        <w:tc>
          <w:tcPr>
            <w:tcW w:w="100" w:type="dxa"/>
            <w:vAlign w:val="bottom"/>
            <w:shd w:val="clear" w:color="auto" w:fill="CCECFF"/>
          </w:tcPr>
          <w:p>
            <w:pPr>
              <w:spacing w:after="0"/>
              <w:rPr>
                <w:sz w:val="15"/>
                <w:szCs w:val="15"/>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Interest payable on credit facility</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2,718</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5"/>
                <w:szCs w:val="15"/>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Interest payable on notes to members</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2,080</w:t>
            </w: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1,644</w:t>
            </w:r>
          </w:p>
        </w:tc>
        <w:tc>
          <w:tcPr>
            <w:tcW w:w="100" w:type="dxa"/>
            <w:vAlign w:val="bottom"/>
            <w:shd w:val="clear" w:color="auto" w:fill="CCECFF"/>
          </w:tcPr>
          <w:p>
            <w:pPr>
              <w:spacing w:after="0"/>
              <w:rPr>
                <w:sz w:val="15"/>
                <w:szCs w:val="15"/>
                <w:color w:val="auto"/>
              </w:rPr>
            </w:pPr>
          </w:p>
        </w:tc>
      </w:tr>
      <w:tr>
        <w:trPr>
          <w:trHeight w:val="176"/>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Accrued other expenses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625</w:t>
            </w:r>
          </w:p>
        </w:tc>
        <w:tc>
          <w:tcPr>
            <w:tcW w:w="3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Arial" w:cs="Arial" w:eastAsia="Arial" w:hAnsi="Arial"/>
                <w:sz w:val="14"/>
                <w:szCs w:val="14"/>
                <w:b w:val="1"/>
                <w:bCs w:val="1"/>
                <w:color w:val="auto"/>
              </w:rPr>
              <w:t>Total liabilities</w:t>
            </w:r>
          </w:p>
        </w:tc>
        <w:tc>
          <w:tcPr>
            <w:tcW w:w="54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5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w w:val="94"/>
              </w:rPr>
              <w:t>576,859</w:t>
            </w:r>
          </w:p>
        </w:tc>
        <w:tc>
          <w:tcPr>
            <w:tcW w:w="32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5000" w:type="dxa"/>
            <w:vAlign w:val="bottom"/>
          </w:tcPr>
          <w:p>
            <w:pPr>
              <w:ind w:left="440"/>
              <w:spacing w:after="0"/>
              <w:rPr>
                <w:sz w:val="20"/>
                <w:szCs w:val="20"/>
                <w:color w:val="auto"/>
              </w:rPr>
            </w:pPr>
            <w:r>
              <w:rPr>
                <w:rFonts w:ascii="Arial" w:cs="Arial" w:eastAsia="Arial" w:hAnsi="Arial"/>
                <w:sz w:val="14"/>
                <w:szCs w:val="14"/>
                <w:b w:val="1"/>
                <w:bCs w:val="1"/>
                <w:color w:val="auto"/>
              </w:rPr>
              <w:t>Members' equity</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87,756</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68,032</w:t>
            </w:r>
          </w:p>
        </w:tc>
        <w:tc>
          <w:tcPr>
            <w:tcW w:w="100" w:type="dxa"/>
            <w:vAlign w:val="bottom"/>
          </w:tcPr>
          <w:p>
            <w:pPr>
              <w:spacing w:after="0"/>
              <w:rPr>
                <w:sz w:val="14"/>
                <w:szCs w:val="14"/>
                <w:color w:val="auto"/>
              </w:rPr>
            </w:pPr>
          </w:p>
        </w:tc>
      </w:tr>
      <w:tr>
        <w:trPr>
          <w:trHeight w:val="209"/>
        </w:trPr>
        <w:tc>
          <w:tcPr>
            <w:tcW w:w="120" w:type="dxa"/>
            <w:vAlign w:val="bottom"/>
            <w:tcBorders>
              <w:bottom w:val="single" w:sz="8" w:color="CCECFF"/>
            </w:tcBorders>
            <w:shd w:val="clear" w:color="auto" w:fill="CCECFF"/>
          </w:tcPr>
          <w:p>
            <w:pPr>
              <w:spacing w:after="0"/>
              <w:rPr>
                <w:sz w:val="18"/>
                <w:szCs w:val="18"/>
                <w:color w:val="auto"/>
              </w:rPr>
            </w:pPr>
          </w:p>
        </w:tc>
        <w:tc>
          <w:tcPr>
            <w:tcW w:w="5000" w:type="dxa"/>
            <w:vAlign w:val="bottom"/>
            <w:tcBorders>
              <w:bottom w:val="single" w:sz="8" w:color="CCECFF"/>
            </w:tcBorders>
            <w:shd w:val="clear" w:color="auto" w:fill="CCECFF"/>
          </w:tcPr>
          <w:p>
            <w:pPr>
              <w:ind w:left="440"/>
              <w:spacing w:after="0"/>
              <w:rPr>
                <w:sz w:val="20"/>
                <w:szCs w:val="20"/>
                <w:color w:val="auto"/>
              </w:rPr>
            </w:pPr>
            <w:r>
              <w:rPr>
                <w:rFonts w:ascii="Arial" w:cs="Arial" w:eastAsia="Arial" w:hAnsi="Arial"/>
                <w:sz w:val="14"/>
                <w:szCs w:val="14"/>
                <w:b w:val="1"/>
                <w:bCs w:val="1"/>
                <w:color w:val="auto"/>
              </w:rPr>
              <w:t>Total liabilities and members' equity</w:t>
            </w:r>
          </w:p>
        </w:tc>
        <w:tc>
          <w:tcPr>
            <w:tcW w:w="540" w:type="dxa"/>
            <w:vAlign w:val="bottom"/>
            <w:tcBorders>
              <w:bottom w:val="single" w:sz="8" w:color="CCECFF"/>
            </w:tcBorders>
            <w:shd w:val="clear" w:color="auto" w:fill="CCECFF"/>
          </w:tcPr>
          <w:p>
            <w:pPr>
              <w:spacing w:after="0"/>
              <w:rPr>
                <w:sz w:val="18"/>
                <w:szCs w:val="18"/>
                <w:color w:val="auto"/>
              </w:rPr>
            </w:pPr>
          </w:p>
        </w:tc>
        <w:tc>
          <w:tcPr>
            <w:tcW w:w="820" w:type="dxa"/>
            <w:vAlign w:val="bottom"/>
            <w:tcBorders>
              <w:bottom w:val="single" w:sz="8" w:color="CCECFF"/>
            </w:tcBorders>
            <w:shd w:val="clear" w:color="auto" w:fill="CCECFF"/>
          </w:tcPr>
          <w:p>
            <w:pPr>
              <w:spacing w:after="0"/>
              <w:rPr>
                <w:sz w:val="18"/>
                <w:szCs w:val="18"/>
                <w:color w:val="auto"/>
              </w:rPr>
            </w:pPr>
          </w:p>
        </w:tc>
        <w:tc>
          <w:tcPr>
            <w:tcW w:w="3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spacing w:after="0"/>
              <w:rPr>
                <w:sz w:val="18"/>
                <w:szCs w:val="18"/>
                <w:color w:val="auto"/>
              </w:rPr>
            </w:pPr>
          </w:p>
        </w:tc>
        <w:tc>
          <w:tcPr>
            <w:tcW w:w="140" w:type="dxa"/>
            <w:vAlign w:val="bottom"/>
            <w:tcBorders>
              <w:bottom w:val="single" w:sz="8" w:color="auto"/>
            </w:tcBorders>
            <w:shd w:val="clear" w:color="auto" w:fill="CCECFF"/>
          </w:tcPr>
          <w:p>
            <w:pPr>
              <w:spacing w:after="0"/>
              <w:rPr>
                <w:sz w:val="18"/>
                <w:szCs w:val="18"/>
                <w:color w:val="auto"/>
              </w:rPr>
            </w:pPr>
          </w:p>
        </w:tc>
        <w:tc>
          <w:tcPr>
            <w:tcW w:w="5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w w:val="94"/>
              </w:rPr>
              <w:t>664,615</w:t>
            </w:r>
          </w:p>
        </w:tc>
        <w:tc>
          <w:tcPr>
            <w:tcW w:w="32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bottom w:val="single" w:sz="8" w:color="auto"/>
            </w:tcBorders>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CFF"/>
          </w:tcPr>
          <w:p>
            <w:pPr>
              <w:spacing w:after="0"/>
              <w:rPr>
                <w:sz w:val="18"/>
                <w:szCs w:val="18"/>
                <w:color w:val="auto"/>
              </w:rPr>
            </w:pPr>
          </w:p>
        </w:tc>
        <w:tc>
          <w:tcPr>
            <w:tcW w:w="300" w:type="dxa"/>
            <w:vAlign w:val="bottom"/>
            <w:tcBorders>
              <w:bottom w:val="single" w:sz="8" w:color="auto"/>
            </w:tcBorders>
            <w:shd w:val="clear" w:color="auto" w:fill="CCECFF"/>
          </w:tcPr>
          <w:p>
            <w:pPr>
              <w:spacing w:after="0"/>
              <w:rPr>
                <w:sz w:val="18"/>
                <w:szCs w:val="18"/>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417,421</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350"/>
        </w:trPr>
        <w:tc>
          <w:tcPr>
            <w:tcW w:w="5120" w:type="dxa"/>
            <w:vAlign w:val="bottom"/>
            <w:gridSpan w:val="2"/>
          </w:tcPr>
          <w:p>
            <w:pPr>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120" w:type="dxa"/>
            <w:vAlign w:val="bottom"/>
          </w:tcPr>
          <w:p>
            <w:pPr>
              <w:spacing w:after="0"/>
              <w:rPr>
                <w:sz w:val="20"/>
                <w:szCs w:val="20"/>
                <w:color w:val="auto"/>
              </w:rPr>
            </w:pPr>
            <w:r>
              <w:rPr>
                <w:rFonts w:ascii="Arial" w:cs="Arial" w:eastAsia="Arial" w:hAnsi="Arial"/>
                <w:sz w:val="7"/>
                <w:szCs w:val="7"/>
                <w:color w:val="auto"/>
              </w:rPr>
              <w:t>(1)</w:t>
            </w:r>
          </w:p>
        </w:tc>
        <w:tc>
          <w:tcPr>
            <w:tcW w:w="6360" w:type="dxa"/>
            <w:vAlign w:val="bottom"/>
            <w:gridSpan w:val="3"/>
          </w:tcPr>
          <w:p>
            <w:pPr>
              <w:ind w:left="260"/>
              <w:spacing w:after="0"/>
              <w:rPr>
                <w:sz w:val="20"/>
                <w:szCs w:val="20"/>
                <w:color w:val="auto"/>
              </w:rPr>
            </w:pPr>
            <w:r>
              <w:rPr>
                <w:rFonts w:ascii="Arial" w:cs="Arial" w:eastAsia="Arial" w:hAnsi="Arial"/>
                <w:sz w:val="11"/>
                <w:szCs w:val="11"/>
                <w:color w:val="auto"/>
              </w:rPr>
              <w:t>As of June 30, 2022 and September 30, 2021, PSLF did not have any unfunded commitments to fund investments.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01"/>
        </w:trPr>
        <w:tc>
          <w:tcPr>
            <w:tcW w:w="120" w:type="dxa"/>
            <w:vAlign w:val="bottom"/>
          </w:tcPr>
          <w:p>
            <w:pPr>
              <w:spacing w:after="0"/>
              <w:rPr>
                <w:sz w:val="24"/>
                <w:szCs w:val="24"/>
                <w:color w:val="auto"/>
              </w:rPr>
            </w:pPr>
          </w:p>
        </w:tc>
        <w:tc>
          <w:tcPr>
            <w:tcW w:w="5000" w:type="dxa"/>
            <w:vAlign w:val="bottom"/>
          </w:tcPr>
          <w:p>
            <w:pPr>
              <w:ind w:left="340"/>
              <w:spacing w:after="0"/>
              <w:rPr>
                <w:sz w:val="20"/>
                <w:szCs w:val="20"/>
                <w:color w:val="auto"/>
              </w:rPr>
            </w:pPr>
            <w:r>
              <w:rPr>
                <w:rFonts w:ascii="Arial" w:cs="Arial" w:eastAsia="Arial" w:hAnsi="Arial"/>
                <w:sz w:val="14"/>
                <w:szCs w:val="14"/>
                <w:color w:val="auto"/>
                <w:w w:val="94"/>
              </w:rPr>
              <w:t>Below are the consolidated statements of operations for PSLF ($ in thousands):</w:t>
            </w: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1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gridSpan w:val="5"/>
          </w:tcPr>
          <w:p>
            <w:pPr>
              <w:jc w:val="right"/>
              <w:ind w:right="408"/>
              <w:spacing w:after="0"/>
              <w:rPr>
                <w:sz w:val="20"/>
                <w:szCs w:val="20"/>
                <w:color w:val="auto"/>
              </w:rPr>
            </w:pPr>
            <w:r>
              <w:rPr>
                <w:rFonts w:ascii="Arial" w:cs="Arial" w:eastAsia="Arial" w:hAnsi="Arial"/>
                <w:sz w:val="14"/>
                <w:szCs w:val="14"/>
                <w:b w:val="1"/>
                <w:bCs w:val="1"/>
                <w:color w:val="auto"/>
                <w:w w:val="97"/>
              </w:rPr>
              <w:t>Nine Months Ended June 30,</w:t>
            </w:r>
          </w:p>
        </w:tc>
        <w:tc>
          <w:tcPr>
            <w:tcW w:w="100" w:type="dxa"/>
            <w:vAlign w:val="bottom"/>
          </w:tcPr>
          <w:p>
            <w:pPr>
              <w:spacing w:after="0"/>
              <w:rPr>
                <w:sz w:val="24"/>
                <w:szCs w:val="24"/>
                <w:color w:val="auto"/>
              </w:rPr>
            </w:pPr>
          </w:p>
        </w:tc>
      </w:tr>
      <w:tr>
        <w:trPr>
          <w:trHeight w:val="185"/>
        </w:trPr>
        <w:tc>
          <w:tcPr>
            <w:tcW w:w="1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 income:</w:t>
            </w:r>
          </w:p>
        </w:tc>
        <w:tc>
          <w:tcPr>
            <w:tcW w:w="5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Arial" w:cs="Arial" w:eastAsia="Arial" w:hAnsi="Arial"/>
                <w:sz w:val="14"/>
                <w:szCs w:val="14"/>
                <w:color w:val="auto"/>
              </w:rPr>
              <w:t>Interest</w:t>
            </w:r>
          </w:p>
        </w:tc>
        <w:tc>
          <w:tcPr>
            <w:tcW w:w="1360" w:type="dxa"/>
            <w:vAlign w:val="bottom"/>
            <w:gridSpan w:val="2"/>
            <w:shd w:val="clear" w:color="auto" w:fill="CCECFF"/>
          </w:tcPr>
          <w:p>
            <w:pPr>
              <w:jc w:val="right"/>
              <w:ind w:right="66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8,491</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7,101</w:t>
            </w:r>
          </w:p>
        </w:tc>
        <w:tc>
          <w:tcPr>
            <w:tcW w:w="140" w:type="dxa"/>
            <w:vAlign w:val="bottom"/>
            <w:shd w:val="clear" w:color="auto" w:fill="CCECFF"/>
          </w:tcPr>
          <w:p>
            <w:pPr>
              <w:spacing w:after="0"/>
              <w:rPr>
                <w:sz w:val="15"/>
                <w:szCs w:val="15"/>
                <w:color w:val="auto"/>
              </w:rPr>
            </w:pPr>
          </w:p>
        </w:tc>
        <w:tc>
          <w:tcPr>
            <w:tcW w:w="520" w:type="dxa"/>
            <w:vAlign w:val="bottom"/>
            <w:gridSpan w:val="2"/>
            <w:shd w:val="clear" w:color="auto" w:fill="CCECFF"/>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23,759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20,359</w:t>
            </w:r>
          </w:p>
        </w:tc>
        <w:tc>
          <w:tcPr>
            <w:tcW w:w="100" w:type="dxa"/>
            <w:vAlign w:val="bottom"/>
            <w:shd w:val="clear" w:color="auto" w:fill="CCECFF"/>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Arial" w:cs="Arial" w:eastAsia="Arial" w:hAnsi="Arial"/>
                <w:sz w:val="14"/>
                <w:szCs w:val="14"/>
                <w:color w:val="auto"/>
              </w:rPr>
              <w:t>Other income</w:t>
            </w:r>
          </w:p>
        </w:tc>
        <w:tc>
          <w:tcPr>
            <w:tcW w:w="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5"/>
                <w:szCs w:val="15"/>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investment income</w:t>
            </w:r>
          </w:p>
        </w:tc>
        <w:tc>
          <w:tcPr>
            <w:tcW w:w="54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8,509</w:t>
            </w:r>
          </w:p>
        </w:tc>
        <w:tc>
          <w:tcPr>
            <w:tcW w:w="28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8,182</w:t>
            </w:r>
          </w:p>
        </w:tc>
        <w:tc>
          <w:tcPr>
            <w:tcW w:w="1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23,919</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22,167</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Arial" w:cs="Arial" w:eastAsia="Arial" w:hAnsi="Arial"/>
                <w:sz w:val="14"/>
                <w:szCs w:val="14"/>
                <w:color w:val="auto"/>
              </w:rPr>
              <w:t>Interest expense on credit facility and asset-backed debt</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2,183</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1,505</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5,838</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shd w:val="clear" w:color="auto" w:fill="CCECFF"/>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Arial" w:cs="Arial" w:eastAsia="Arial" w:hAnsi="Arial"/>
                <w:sz w:val="14"/>
                <w:szCs w:val="14"/>
                <w:color w:val="auto"/>
              </w:rPr>
              <w:t>Interest expense on notes to members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2,992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7,861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7,094</w:t>
            </w:r>
          </w:p>
        </w:tc>
        <w:tc>
          <w:tcPr>
            <w:tcW w:w="100" w:type="dxa"/>
            <w:vAlign w:val="bottom"/>
          </w:tcPr>
          <w:p>
            <w:pPr>
              <w:spacing w:after="0"/>
              <w:rPr>
                <w:sz w:val="15"/>
                <w:szCs w:val="15"/>
                <w:color w:val="auto"/>
              </w:rPr>
            </w:pPr>
          </w:p>
        </w:tc>
      </w:tr>
      <w:tr>
        <w:trPr>
          <w:trHeight w:val="175"/>
        </w:trPr>
        <w:tc>
          <w:tcPr>
            <w:tcW w:w="120" w:type="dxa"/>
            <w:vAlign w:val="bottom"/>
            <w:shd w:val="clear" w:color="auto" w:fill="CCECFF"/>
          </w:tcPr>
          <w:p>
            <w:pPr>
              <w:spacing w:after="0"/>
              <w:rPr>
                <w:sz w:val="15"/>
                <w:szCs w:val="15"/>
                <w:color w:val="auto"/>
              </w:rPr>
            </w:pPr>
          </w:p>
        </w:tc>
        <w:tc>
          <w:tcPr>
            <w:tcW w:w="5000" w:type="dxa"/>
            <w:vAlign w:val="bottom"/>
            <w:shd w:val="clear" w:color="auto" w:fill="CCECFF"/>
          </w:tcPr>
          <w:p>
            <w:pPr>
              <w:ind w:left="80"/>
              <w:spacing w:after="0"/>
              <w:rPr>
                <w:sz w:val="20"/>
                <w:szCs w:val="20"/>
                <w:color w:val="auto"/>
              </w:rPr>
            </w:pPr>
            <w:r>
              <w:rPr>
                <w:rFonts w:ascii="Arial" w:cs="Arial" w:eastAsia="Arial" w:hAnsi="Arial"/>
                <w:sz w:val="14"/>
                <w:szCs w:val="14"/>
                <w:color w:val="auto"/>
              </w:rPr>
              <w:t>Administrative services expenses</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4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293</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w:t>
            </w: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8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879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CFF"/>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Arial" w:cs="Arial" w:eastAsia="Arial" w:hAnsi="Arial"/>
                <w:sz w:val="14"/>
                <w:szCs w:val="14"/>
                <w:color w:val="auto"/>
              </w:rPr>
              <w:t>Other general and administrative expenses</w:t>
            </w:r>
          </w:p>
        </w:tc>
        <w:tc>
          <w:tcPr>
            <w:tcW w:w="5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Total expenses</w:t>
            </w:r>
          </w:p>
        </w:tc>
        <w:tc>
          <w:tcPr>
            <w:tcW w:w="54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5,580</w:t>
            </w:r>
          </w:p>
        </w:tc>
        <w:tc>
          <w:tcPr>
            <w:tcW w:w="28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4,320</w:t>
            </w:r>
          </w:p>
        </w:tc>
        <w:tc>
          <w:tcPr>
            <w:tcW w:w="1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14,913</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13,063</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120" w:type="dxa"/>
            <w:vAlign w:val="bottom"/>
          </w:tcPr>
          <w:p>
            <w:pPr>
              <w:spacing w:after="0"/>
              <w:rPr>
                <w:sz w:val="14"/>
                <w:szCs w:val="14"/>
                <w:color w:val="auto"/>
              </w:rPr>
            </w:pPr>
          </w:p>
        </w:tc>
        <w:tc>
          <w:tcPr>
            <w:tcW w:w="5000" w:type="dxa"/>
            <w:vAlign w:val="bottom"/>
          </w:tcPr>
          <w:p>
            <w:pPr>
              <w:ind w:left="80"/>
              <w:spacing w:after="0"/>
              <w:rPr>
                <w:sz w:val="20"/>
                <w:szCs w:val="20"/>
                <w:color w:val="auto"/>
              </w:rPr>
            </w:pPr>
            <w:r>
              <w:rPr>
                <w:rFonts w:ascii="Arial" w:cs="Arial" w:eastAsia="Arial" w:hAnsi="Arial"/>
                <w:sz w:val="14"/>
                <w:szCs w:val="14"/>
                <w:b w:val="1"/>
                <w:bCs w:val="1"/>
                <w:color w:val="auto"/>
              </w:rPr>
              <w:t>Net investment income</w:t>
            </w:r>
          </w:p>
        </w:tc>
        <w:tc>
          <w:tcPr>
            <w:tcW w:w="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2,929</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9,006</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9,104</w:t>
            </w:r>
          </w:p>
        </w:tc>
        <w:tc>
          <w:tcPr>
            <w:tcW w:w="100" w:type="dxa"/>
            <w:vAlign w:val="bottom"/>
          </w:tcPr>
          <w:p>
            <w:pPr>
              <w:spacing w:after="0"/>
              <w:rPr>
                <w:sz w:val="14"/>
                <w:szCs w:val="14"/>
                <w:color w:val="auto"/>
              </w:rPr>
            </w:pPr>
          </w:p>
        </w:tc>
      </w:tr>
      <w:tr>
        <w:trPr>
          <w:trHeight w:val="133"/>
        </w:trPr>
        <w:tc>
          <w:tcPr>
            <w:tcW w:w="5120" w:type="dxa"/>
            <w:vAlign w:val="bottom"/>
            <w:gridSpan w:val="2"/>
            <w:shd w:val="clear" w:color="auto" w:fill="CCECFF"/>
          </w:tcPr>
          <w:p>
            <w:pPr>
              <w:ind w:left="20"/>
              <w:spacing w:after="0" w:line="133" w:lineRule="exact"/>
              <w:rPr>
                <w:sz w:val="20"/>
                <w:szCs w:val="20"/>
                <w:color w:val="auto"/>
              </w:rPr>
            </w:pPr>
            <w:r>
              <w:rPr>
                <w:rFonts w:ascii="Arial" w:cs="Arial" w:eastAsia="Arial" w:hAnsi="Arial"/>
                <w:sz w:val="14"/>
                <w:szCs w:val="14"/>
                <w:b w:val="1"/>
                <w:bCs w:val="1"/>
                <w:color w:val="auto"/>
                <w:w w:val="99"/>
              </w:rPr>
              <w:t>Realized and unrealized (loss) gain on investments and credit facility foreign</w:t>
            </w:r>
          </w:p>
        </w:tc>
        <w:tc>
          <w:tcPr>
            <w:tcW w:w="54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85"/>
        </w:trPr>
        <w:tc>
          <w:tcPr>
            <w:tcW w:w="120" w:type="dxa"/>
            <w:vAlign w:val="bottom"/>
            <w:shd w:val="clear" w:color="auto" w:fill="CCECFF"/>
          </w:tcPr>
          <w:p>
            <w:pPr>
              <w:spacing w:after="0"/>
              <w:rPr>
                <w:sz w:val="16"/>
                <w:szCs w:val="16"/>
                <w:color w:val="auto"/>
              </w:rPr>
            </w:pPr>
          </w:p>
        </w:tc>
        <w:tc>
          <w:tcPr>
            <w:tcW w:w="50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currency translations:</w:t>
            </w:r>
          </w:p>
        </w:tc>
        <w:tc>
          <w:tcPr>
            <w:tcW w:w="540" w:type="dxa"/>
            <w:vAlign w:val="bottom"/>
            <w:shd w:val="clear" w:color="auto" w:fill="CCECFF"/>
          </w:tcPr>
          <w:p>
            <w:pPr>
              <w:spacing w:after="0"/>
              <w:rPr>
                <w:sz w:val="16"/>
                <w:szCs w:val="16"/>
                <w:color w:val="auto"/>
              </w:rPr>
            </w:pPr>
          </w:p>
        </w:tc>
        <w:tc>
          <w:tcPr>
            <w:tcW w:w="82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80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140" w:type="dxa"/>
            <w:vAlign w:val="bottom"/>
            <w:shd w:val="clear" w:color="auto" w:fill="CCECFF"/>
          </w:tcPr>
          <w:p>
            <w:pPr>
              <w:spacing w:after="0"/>
              <w:rPr>
                <w:sz w:val="16"/>
                <w:szCs w:val="16"/>
                <w:color w:val="auto"/>
              </w:rPr>
            </w:pPr>
          </w:p>
        </w:tc>
        <w:tc>
          <w:tcPr>
            <w:tcW w:w="380" w:type="dxa"/>
            <w:vAlign w:val="bottom"/>
            <w:shd w:val="clear" w:color="auto" w:fill="CCECFF"/>
          </w:tcPr>
          <w:p>
            <w:pPr>
              <w:spacing w:after="0"/>
              <w:rPr>
                <w:sz w:val="16"/>
                <w:szCs w:val="16"/>
                <w:color w:val="auto"/>
              </w:rPr>
            </w:pPr>
          </w:p>
        </w:tc>
        <w:tc>
          <w:tcPr>
            <w:tcW w:w="320" w:type="dxa"/>
            <w:vAlign w:val="bottom"/>
            <w:shd w:val="clear" w:color="auto" w:fill="CCECFF"/>
          </w:tcPr>
          <w:p>
            <w:pPr>
              <w:spacing w:after="0"/>
              <w:rPr>
                <w:sz w:val="16"/>
                <w:szCs w:val="16"/>
                <w:color w:val="auto"/>
              </w:rPr>
            </w:pPr>
          </w:p>
        </w:tc>
        <w:tc>
          <w:tcPr>
            <w:tcW w:w="50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5"/>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Net realized gain on investments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506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r>
      <w:tr>
        <w:trPr>
          <w:trHeight w:val="176"/>
        </w:trPr>
        <w:tc>
          <w:tcPr>
            <w:tcW w:w="512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Net change in unrealized (depreciation) appreciation on:</w:t>
            </w:r>
          </w:p>
        </w:tc>
        <w:tc>
          <w:tcPr>
            <w:tcW w:w="54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8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5000" w:type="dxa"/>
            <w:vAlign w:val="bottom"/>
          </w:tcPr>
          <w:p>
            <w:pPr>
              <w:ind w:left="80"/>
              <w:spacing w:after="0"/>
              <w:rPr>
                <w:sz w:val="20"/>
                <w:szCs w:val="20"/>
                <w:color w:val="auto"/>
              </w:rPr>
            </w:pPr>
            <w:r>
              <w:rPr>
                <w:rFonts w:ascii="Arial" w:cs="Arial" w:eastAsia="Arial" w:hAnsi="Arial"/>
                <w:sz w:val="14"/>
                <w:szCs w:val="14"/>
                <w:color w:val="auto"/>
              </w:rPr>
              <w:t>Investments</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gridSpan w:val="3"/>
          </w:tcPr>
          <w:p>
            <w:pPr>
              <w:jc w:val="right"/>
              <w:ind w:right="148"/>
              <w:spacing w:after="0"/>
              <w:rPr>
                <w:sz w:val="20"/>
                <w:szCs w:val="20"/>
                <w:color w:val="auto"/>
              </w:rPr>
            </w:pPr>
            <w:r>
              <w:rPr>
                <w:rFonts w:ascii="Arial" w:cs="Arial" w:eastAsia="Arial" w:hAnsi="Arial"/>
                <w:sz w:val="14"/>
                <w:szCs w:val="14"/>
                <w:color w:val="auto"/>
                <w:w w:val="95"/>
              </w:rPr>
              <w:t>(3,630 )</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4"/>
                <w:szCs w:val="14"/>
                <w:color w:val="auto"/>
              </w:rPr>
              <w:t>(4,357 )</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Pr>
          <w:p>
            <w:pPr>
              <w:spacing w:after="0"/>
              <w:rPr>
                <w:sz w:val="15"/>
                <w:szCs w:val="15"/>
                <w:color w:val="auto"/>
              </w:rPr>
            </w:pPr>
          </w:p>
        </w:tc>
      </w:tr>
      <w:tr>
        <w:trPr>
          <w:trHeight w:val="169"/>
        </w:trPr>
        <w:tc>
          <w:tcPr>
            <w:tcW w:w="120" w:type="dxa"/>
            <w:vAlign w:val="bottom"/>
            <w:tcBorders>
              <w:bottom w:val="single" w:sz="8" w:color="CCECFF"/>
            </w:tcBorders>
            <w:shd w:val="clear" w:color="auto" w:fill="CCECFF"/>
          </w:tcPr>
          <w:p>
            <w:pPr>
              <w:spacing w:after="0"/>
              <w:rPr>
                <w:sz w:val="14"/>
                <w:szCs w:val="14"/>
                <w:color w:val="auto"/>
              </w:rPr>
            </w:pPr>
          </w:p>
        </w:tc>
        <w:tc>
          <w:tcPr>
            <w:tcW w:w="5000" w:type="dxa"/>
            <w:vAlign w:val="bottom"/>
            <w:tcBorders>
              <w:bottom w:val="single" w:sz="8" w:color="CCECFF"/>
            </w:tcBorders>
            <w:shd w:val="clear" w:color="auto" w:fill="CCECFF"/>
          </w:tcPr>
          <w:p>
            <w:pPr>
              <w:ind w:left="80"/>
              <w:spacing w:after="0"/>
              <w:rPr>
                <w:sz w:val="20"/>
                <w:szCs w:val="20"/>
                <w:color w:val="auto"/>
              </w:rPr>
            </w:pPr>
            <w:r>
              <w:rPr>
                <w:rFonts w:ascii="Arial" w:cs="Arial" w:eastAsia="Arial" w:hAnsi="Arial"/>
                <w:sz w:val="14"/>
                <w:szCs w:val="14"/>
                <w:b w:val="1"/>
                <w:bCs w:val="1"/>
                <w:color w:val="auto"/>
              </w:rPr>
              <w:t>Net change in unrealized (depreciation) appreciation on investments</w:t>
            </w:r>
          </w:p>
        </w:tc>
        <w:tc>
          <w:tcPr>
            <w:tcW w:w="54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(3,630</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CECFF"/>
          </w:tcPr>
          <w:p>
            <w:pPr>
              <w:spacing w:after="0"/>
              <w:rPr>
                <w:sz w:val="14"/>
                <w:szCs w:val="14"/>
                <w:color w:val="auto"/>
              </w:rPr>
            </w:pP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w:t>
            </w:r>
          </w:p>
        </w:tc>
        <w:tc>
          <w:tcPr>
            <w:tcW w:w="14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CCECFF"/>
            </w:tcBorders>
            <w:shd w:val="clear" w:color="auto" w:fill="CCECFF"/>
          </w:tcPr>
          <w:p>
            <w:pPr>
              <w:spacing w:after="0"/>
              <w:rPr>
                <w:sz w:val="14"/>
                <w:szCs w:val="14"/>
                <w:color w:val="auto"/>
              </w:rPr>
            </w:pPr>
          </w:p>
        </w:tc>
        <w:tc>
          <w:tcPr>
            <w:tcW w:w="380" w:type="dxa"/>
            <w:vAlign w:val="bottom"/>
            <w:tcBorders>
              <w:top w:val="single" w:sz="8" w:color="auto"/>
              <w:bottom w:val="single" w:sz="8" w:color="auto"/>
            </w:tcBorders>
            <w:shd w:val="clear" w:color="auto" w:fill="CCEC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Arial" w:cs="Arial" w:eastAsia="Arial" w:hAnsi="Arial"/>
                <w:sz w:val="14"/>
                <w:szCs w:val="14"/>
                <w:color w:val="auto"/>
              </w:rPr>
              <w:t>(4,357</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realized and unrealized (loss) gain from investments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gridSpan w:val="3"/>
          </w:tcPr>
          <w:p>
            <w:pPr>
              <w:jc w:val="right"/>
              <w:ind w:right="148"/>
              <w:spacing w:after="0"/>
              <w:rPr>
                <w:sz w:val="20"/>
                <w:szCs w:val="20"/>
                <w:color w:val="auto"/>
              </w:rPr>
            </w:pPr>
            <w:r>
              <w:rPr>
                <w:rFonts w:ascii="Arial" w:cs="Arial" w:eastAsia="Arial" w:hAnsi="Arial"/>
                <w:sz w:val="14"/>
                <w:szCs w:val="14"/>
                <w:color w:val="auto"/>
                <w:w w:val="95"/>
              </w:rPr>
              <w:t>(3,510 )</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jc w:val="right"/>
              <w:ind w:right="128"/>
              <w:spacing w:after="0"/>
              <w:rPr>
                <w:sz w:val="20"/>
                <w:szCs w:val="20"/>
                <w:color w:val="auto"/>
              </w:rPr>
            </w:pPr>
            <w:r>
              <w:rPr>
                <w:rFonts w:ascii="Arial" w:cs="Arial" w:eastAsia="Arial" w:hAnsi="Arial"/>
                <w:sz w:val="14"/>
                <w:szCs w:val="14"/>
                <w:color w:val="auto"/>
              </w:rPr>
              <w:t>(3,851 )</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5,010</w:t>
            </w:r>
          </w:p>
        </w:tc>
        <w:tc>
          <w:tcPr>
            <w:tcW w:w="100" w:type="dxa"/>
            <w:vAlign w:val="bottom"/>
          </w:tcPr>
          <w:p>
            <w:pPr>
              <w:spacing w:after="0"/>
              <w:rPr>
                <w:sz w:val="14"/>
                <w:szCs w:val="14"/>
                <w:color w:val="auto"/>
              </w:rPr>
            </w:pPr>
          </w:p>
        </w:tc>
      </w:tr>
      <w:tr>
        <w:trPr>
          <w:trHeight w:val="176"/>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540" w:type="dxa"/>
            <w:vAlign w:val="bottom"/>
          </w:tcPr>
          <w:p>
            <w:pPr>
              <w:spacing w:after="0"/>
              <w:rPr>
                <w:sz w:val="15"/>
                <w:szCs w:val="15"/>
                <w:color w:val="auto"/>
              </w:rPr>
            </w:pPr>
          </w:p>
        </w:tc>
        <w:tc>
          <w:tcPr>
            <w:tcW w:w="820" w:type="dxa"/>
            <w:vAlign w:val="bottom"/>
            <w:tcBorders>
              <w:top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(581</w:t>
            </w:r>
          </w:p>
        </w:tc>
        <w:tc>
          <w:tcPr>
            <w:tcW w:w="280" w:type="dxa"/>
            <w:vAlign w:val="bottom"/>
          </w:tcPr>
          <w:p>
            <w:pPr>
              <w:jc w:val="right"/>
              <w:ind w:right="14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5,155</w:t>
            </w:r>
          </w:p>
        </w:tc>
        <w:tc>
          <w:tcPr>
            <w:tcW w:w="26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14,114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-4509770</wp:posOffset>
            </wp:positionV>
            <wp:extent cx="6858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-4509770</wp:posOffset>
            </wp:positionV>
            <wp:extent cx="6858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-3378200</wp:posOffset>
            </wp:positionV>
            <wp:extent cx="6858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-3378200</wp:posOffset>
            </wp:positionV>
            <wp:extent cx="6858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-3141345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-3124200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-3141345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-3124200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-1715135</wp:posOffset>
            </wp:positionV>
            <wp:extent cx="7747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-1715135</wp:posOffset>
            </wp:positionV>
            <wp:extent cx="6858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-1715135</wp:posOffset>
            </wp:positionV>
            <wp:extent cx="6858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-1715135</wp:posOffset>
            </wp:positionV>
            <wp:extent cx="6858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-1029335</wp:posOffset>
            </wp:positionV>
            <wp:extent cx="7747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-1029335</wp:posOffset>
            </wp:positionV>
            <wp:extent cx="6858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-1029335</wp:posOffset>
            </wp:positionV>
            <wp:extent cx="6858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-1029335</wp:posOffset>
            </wp:positionV>
            <wp:extent cx="6858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-240665</wp:posOffset>
            </wp:positionV>
            <wp:extent cx="7747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-240665</wp:posOffset>
            </wp:positionV>
            <wp:extent cx="6858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-240665</wp:posOffset>
            </wp:positionV>
            <wp:extent cx="6858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-240665</wp:posOffset>
            </wp:positionV>
            <wp:extent cx="6858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ind w:left="380" w:hanging="372"/>
        <w:spacing w:after="0" w:line="195" w:lineRule="auto"/>
        <w:tabs>
          <w:tab w:leader="none" w:pos="380"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No management or incentive fees are payable by PSLF.</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20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720" w:right="700" w:hanging="1133"/>
        <w:spacing w:after="0" w:line="238" w:lineRule="auto"/>
        <w:tabs>
          <w:tab w:leader="none" w:pos="17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jc w:val="both"/>
        <w:ind w:left="1720" w:right="700" w:hanging="1133"/>
        <w:spacing w:after="0" w:line="253" w:lineRule="auto"/>
        <w:tabs>
          <w:tab w:leader="none" w:pos="17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40"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and our SBA debentures are classified as Level 3. Our 2024 Notes are classified as Level 1 and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7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7"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77"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3"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our 2026 Notes -2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7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77" w:lineRule="exact"/>
        <w:rPr>
          <w:sz w:val="20"/>
          <w:szCs w:val="20"/>
          <w:color w:val="auto"/>
        </w:rPr>
      </w:pPr>
    </w:p>
    <w:p>
      <w:pPr>
        <w:jc w:val="both"/>
        <w:ind w:firstLine="449"/>
        <w:spacing w:after="0" w:line="244"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 Category ($ in thousands)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2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Valuation Technique</w:t>
            </w:r>
          </w:p>
        </w:tc>
        <w:tc>
          <w:tcPr>
            <w:tcW w:w="16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w:t>
            </w:r>
          </w:p>
        </w:tc>
        <w:tc>
          <w:tcPr>
            <w:tcW w:w="160" w:type="dxa"/>
            <w:vAlign w:val="bottom"/>
          </w:tcPr>
          <w:p>
            <w:pPr>
              <w:spacing w:after="0"/>
              <w:rPr>
                <w:sz w:val="14"/>
                <w:szCs w:val="14"/>
                <w:color w:val="auto"/>
              </w:rPr>
            </w:pPr>
          </w:p>
        </w:tc>
        <w:tc>
          <w:tcPr>
            <w:tcW w:w="1640" w:type="dxa"/>
            <w:vAlign w:val="bottom"/>
          </w:tcPr>
          <w:p>
            <w:pPr>
              <w:jc w:val="center"/>
              <w:ind w:left="448"/>
              <w:spacing w:after="0"/>
              <w:rPr>
                <w:sz w:val="20"/>
                <w:szCs w:val="20"/>
                <w:color w:val="auto"/>
              </w:rPr>
            </w:pPr>
            <w:r>
              <w:rPr>
                <w:rFonts w:ascii="Arial" w:cs="Arial" w:eastAsia="Arial" w:hAnsi="Arial"/>
                <w:sz w:val="14"/>
                <w:szCs w:val="14"/>
                <w:b w:val="1"/>
                <w:bCs w:val="1"/>
                <w:color w:val="auto"/>
                <w:w w:val="93"/>
              </w:rPr>
              <w:t>Range of Input</w:t>
            </w:r>
          </w:p>
        </w:tc>
        <w:tc>
          <w:tcPr>
            <w:tcW w:w="520" w:type="dxa"/>
            <w:vAlign w:val="bottom"/>
            <w:vMerge w:val="restart"/>
          </w:tcPr>
          <w:p>
            <w:pPr>
              <w:jc w:val="right"/>
              <w:ind w:right="352"/>
              <w:spacing w:after="0"/>
              <w:rPr>
                <w:sz w:val="20"/>
                <w:szCs w:val="20"/>
                <w:color w:val="auto"/>
              </w:rPr>
            </w:pPr>
            <w:r>
              <w:rPr>
                <w:rFonts w:ascii="Arial" w:cs="Arial" w:eastAsia="Arial" w:hAnsi="Arial"/>
                <w:sz w:val="10"/>
                <w:szCs w:val="10"/>
                <w:b w:val="1"/>
                <w:bCs w:val="1"/>
                <w:color w:val="auto"/>
                <w:w w:val="81"/>
              </w:rPr>
              <w:t>(1)</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92"/>
              </w:rPr>
              <w:t>(Weighted Average)</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51,492</w:t>
            </w: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448"/>
              <w:spacing w:after="0"/>
              <w:rPr>
                <w:sz w:val="20"/>
                <w:szCs w:val="20"/>
                <w:color w:val="auto"/>
              </w:rPr>
            </w:pPr>
            <w:r>
              <w:rPr>
                <w:rFonts w:ascii="Arial" w:cs="Arial" w:eastAsia="Arial" w:hAnsi="Arial"/>
                <w:sz w:val="14"/>
                <w:szCs w:val="14"/>
                <w:color w:val="auto"/>
              </w:rPr>
              <w:t>N/A</w:t>
            </w:r>
          </w:p>
        </w:tc>
        <w:tc>
          <w:tcPr>
            <w:tcW w:w="5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670,278</w:t>
            </w:r>
          </w:p>
        </w:tc>
        <w:tc>
          <w:tcPr>
            <w:tcW w:w="2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20" w:type="dxa"/>
            <w:vAlign w:val="bottom"/>
            <w:gridSpan w:val="3"/>
          </w:tcPr>
          <w:p>
            <w:pPr>
              <w:jc w:val="center"/>
              <w:ind w:left="88"/>
              <w:spacing w:after="0"/>
              <w:rPr>
                <w:sz w:val="20"/>
                <w:szCs w:val="20"/>
                <w:color w:val="auto"/>
              </w:rPr>
            </w:pPr>
            <w:r>
              <w:rPr>
                <w:rFonts w:ascii="Arial" w:cs="Arial" w:eastAsia="Arial" w:hAnsi="Arial"/>
                <w:sz w:val="14"/>
                <w:szCs w:val="14"/>
                <w:color w:val="auto"/>
                <w:w w:val="93"/>
              </w:rPr>
              <w:t>7.0% - 20.2% (10.3%)</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21,825</w:t>
            </w:r>
          </w:p>
        </w:tc>
        <w:tc>
          <w:tcPr>
            <w:tcW w:w="280" w:type="dxa"/>
            <w:vAlign w:val="bottom"/>
            <w:shd w:val="clear" w:color="auto" w:fill="CCECFF"/>
          </w:tcPr>
          <w:p>
            <w:pPr>
              <w:spacing w:after="0"/>
              <w:rPr>
                <w:sz w:val="15"/>
                <w:szCs w:val="15"/>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Broker/Dealer bids or quotes</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48"/>
              <w:spacing w:after="0"/>
              <w:rPr>
                <w:sz w:val="20"/>
                <w:szCs w:val="20"/>
                <w:color w:val="auto"/>
              </w:rPr>
            </w:pPr>
            <w:r>
              <w:rPr>
                <w:rFonts w:ascii="Arial" w:cs="Arial" w:eastAsia="Arial" w:hAnsi="Arial"/>
                <w:sz w:val="14"/>
                <w:szCs w:val="14"/>
                <w:color w:val="auto"/>
              </w:rPr>
              <w:t>N/A</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101,318</w:t>
            </w:r>
          </w:p>
        </w:tc>
        <w:tc>
          <w:tcPr>
            <w:tcW w:w="2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20" w:type="dxa"/>
            <w:vAlign w:val="bottom"/>
            <w:gridSpan w:val="3"/>
          </w:tcPr>
          <w:p>
            <w:pPr>
              <w:jc w:val="center"/>
              <w:ind w:left="88"/>
              <w:spacing w:after="0"/>
              <w:rPr>
                <w:sz w:val="20"/>
                <w:szCs w:val="20"/>
                <w:color w:val="auto"/>
              </w:rPr>
            </w:pPr>
            <w:r>
              <w:rPr>
                <w:rFonts w:ascii="Arial" w:cs="Arial" w:eastAsia="Arial" w:hAnsi="Arial"/>
                <w:sz w:val="14"/>
                <w:szCs w:val="14"/>
                <w:color w:val="auto"/>
                <w:w w:val="93"/>
              </w:rPr>
              <w:t>9.2% - 14.1% (12.7%)</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6,563</w:t>
            </w:r>
          </w:p>
        </w:tc>
        <w:tc>
          <w:tcPr>
            <w:tcW w:w="280" w:type="dxa"/>
            <w:vAlign w:val="bottom"/>
            <w:shd w:val="clear" w:color="auto" w:fill="CCECFF"/>
          </w:tcPr>
          <w:p>
            <w:pPr>
              <w:spacing w:after="0"/>
              <w:rPr>
                <w:sz w:val="15"/>
                <w:szCs w:val="15"/>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48"/>
              <w:spacing w:after="0"/>
              <w:rPr>
                <w:sz w:val="20"/>
                <w:szCs w:val="20"/>
                <w:color w:val="auto"/>
              </w:rPr>
            </w:pPr>
            <w:r>
              <w:rPr>
                <w:rFonts w:ascii="Arial" w:cs="Arial" w:eastAsia="Arial" w:hAnsi="Arial"/>
                <w:sz w:val="14"/>
                <w:szCs w:val="14"/>
                <w:color w:val="auto"/>
                <w:w w:val="90"/>
              </w:rPr>
              <w:t>5.3x</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121,161</w:t>
            </w:r>
          </w:p>
        </w:tc>
        <w:tc>
          <w:tcPr>
            <w:tcW w:w="2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Market yield</w:t>
            </w:r>
          </w:p>
        </w:tc>
        <w:tc>
          <w:tcPr>
            <w:tcW w:w="2320" w:type="dxa"/>
            <w:vAlign w:val="bottom"/>
            <w:gridSpan w:val="3"/>
          </w:tcPr>
          <w:p>
            <w:pPr>
              <w:jc w:val="center"/>
              <w:ind w:left="88"/>
              <w:spacing w:after="0"/>
              <w:rPr>
                <w:sz w:val="20"/>
                <w:szCs w:val="20"/>
                <w:color w:val="auto"/>
              </w:rPr>
            </w:pPr>
            <w:r>
              <w:rPr>
                <w:rFonts w:ascii="Arial" w:cs="Arial" w:eastAsia="Arial" w:hAnsi="Arial"/>
                <w:sz w:val="14"/>
                <w:szCs w:val="14"/>
                <w:color w:val="auto"/>
                <w:w w:val="93"/>
              </w:rPr>
              <w:t>9.3% - 13.2% (10.4%)</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251,534</w:t>
            </w:r>
          </w:p>
        </w:tc>
        <w:tc>
          <w:tcPr>
            <w:tcW w:w="280" w:type="dxa"/>
            <w:vAlign w:val="bottom"/>
            <w:shd w:val="clear" w:color="auto" w:fill="CCECFF"/>
          </w:tcPr>
          <w:p>
            <w:pPr>
              <w:spacing w:after="0"/>
              <w:rPr>
                <w:sz w:val="15"/>
                <w:szCs w:val="15"/>
                <w:color w:val="auto"/>
              </w:rPr>
            </w:pPr>
          </w:p>
        </w:tc>
        <w:tc>
          <w:tcPr>
            <w:tcW w:w="20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48"/>
              <w:spacing w:after="0"/>
              <w:rPr>
                <w:sz w:val="20"/>
                <w:szCs w:val="20"/>
                <w:color w:val="auto"/>
              </w:rPr>
            </w:pPr>
            <w:r>
              <w:rPr>
                <w:rFonts w:ascii="Arial" w:cs="Arial" w:eastAsia="Arial" w:hAnsi="Arial"/>
                <w:sz w:val="14"/>
                <w:szCs w:val="14"/>
                <w:color w:val="auto"/>
                <w:w w:val="95"/>
              </w:rPr>
              <w:t>3.4x - 21.5x (8.1x)</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Equity</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21,863</w:t>
            </w:r>
          </w:p>
        </w:tc>
        <w:tc>
          <w:tcPr>
            <w:tcW w:w="28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Arial" w:cs="Arial" w:eastAsia="Arial" w:hAnsi="Arial"/>
                <w:sz w:val="14"/>
                <w:szCs w:val="14"/>
                <w:color w:val="auto"/>
                <w:w w:val="96"/>
              </w:rPr>
              <w:t>DLOM</w:t>
            </w:r>
            <w:r>
              <w:rPr>
                <w:rFonts w:ascii="Arial" w:cs="Arial" w:eastAsia="Arial" w:hAnsi="Arial"/>
                <w:sz w:val="19"/>
                <w:szCs w:val="19"/>
                <w:color w:val="auto"/>
                <w:w w:val="96"/>
                <w:vertAlign w:val="superscript"/>
              </w:rPr>
              <w:t>(2)</w:t>
            </w:r>
          </w:p>
        </w:tc>
        <w:tc>
          <w:tcPr>
            <w:tcW w:w="1800" w:type="dxa"/>
            <w:vAlign w:val="bottom"/>
            <w:gridSpan w:val="2"/>
          </w:tcPr>
          <w:p>
            <w:pPr>
              <w:jc w:val="center"/>
              <w:ind w:left="608"/>
              <w:spacing w:after="0"/>
              <w:rPr>
                <w:sz w:val="20"/>
                <w:szCs w:val="20"/>
                <w:color w:val="auto"/>
              </w:rPr>
            </w:pPr>
            <w:r>
              <w:rPr>
                <w:rFonts w:ascii="Arial" w:cs="Arial" w:eastAsia="Arial" w:hAnsi="Arial"/>
                <w:sz w:val="14"/>
                <w:szCs w:val="14"/>
                <w:color w:val="auto"/>
                <w:w w:val="90"/>
              </w:rPr>
              <w:t>11.8%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380"/>
              <w:spacing w:after="0"/>
              <w:rPr>
                <w:sz w:val="20"/>
                <w:szCs w:val="20"/>
                <w:color w:val="auto"/>
              </w:rPr>
            </w:pPr>
            <w:r>
              <w:rPr>
                <w:rFonts w:ascii="Arial" w:cs="Arial" w:eastAsia="Arial" w:hAnsi="Arial"/>
                <w:sz w:val="14"/>
                <w:szCs w:val="14"/>
                <w:color w:val="auto"/>
              </w:rPr>
              <w:t>Total Level 3 investments</w:t>
            </w:r>
          </w:p>
        </w:tc>
        <w:tc>
          <w:tcPr>
            <w:tcW w:w="1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1,246,034</w:t>
            </w:r>
          </w:p>
        </w:tc>
        <w:tc>
          <w:tcPr>
            <w:tcW w:w="280" w:type="dxa"/>
            <w:vAlign w:val="bottom"/>
            <w:shd w:val="clear" w:color="auto" w:fill="CCECFF"/>
          </w:tcPr>
          <w:p>
            <w:pPr>
              <w:spacing w:after="0"/>
              <w:rPr>
                <w:sz w:val="14"/>
                <w:szCs w:val="14"/>
                <w:color w:val="auto"/>
              </w:rPr>
            </w:pPr>
          </w:p>
        </w:tc>
        <w:tc>
          <w:tcPr>
            <w:tcW w:w="20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5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Debt Category </w:t>
            </w:r>
            <w:r>
              <w:rPr>
                <w:rFonts w:ascii="Arial" w:cs="Arial" w:eastAsia="Arial" w:hAnsi="Arial"/>
                <w:sz w:val="14"/>
                <w:szCs w:val="14"/>
                <w:color w:val="auto"/>
              </w:rPr>
              <w:t>($ in thousands)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Truist Credit Facility</w:t>
            </w:r>
          </w:p>
        </w:tc>
        <w:tc>
          <w:tcPr>
            <w:tcW w:w="16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412,005</w:t>
            </w:r>
          </w:p>
        </w:tc>
        <w:tc>
          <w:tcPr>
            <w:tcW w:w="280" w:type="dxa"/>
            <w:vAlign w:val="bottom"/>
            <w:tcBorders>
              <w:bottom w:val="single" w:sz="8" w:color="CCECFF"/>
            </w:tcBorders>
            <w:shd w:val="clear" w:color="auto" w:fill="CCECFF"/>
          </w:tcPr>
          <w:p>
            <w:pPr>
              <w:spacing w:after="0"/>
              <w:rPr>
                <w:sz w:val="18"/>
                <w:szCs w:val="18"/>
                <w:color w:val="auto"/>
              </w:rPr>
            </w:pPr>
          </w:p>
        </w:tc>
        <w:tc>
          <w:tcPr>
            <w:tcW w:w="200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bottom w:val="single" w:sz="8" w:color="CCECFF"/>
            </w:tcBorders>
            <w:shd w:val="clear" w:color="auto" w:fill="CCECFF"/>
          </w:tcPr>
          <w:p>
            <w:pPr>
              <w:spacing w:after="0"/>
              <w:rPr>
                <w:sz w:val="18"/>
                <w:szCs w:val="18"/>
                <w:color w:val="auto"/>
              </w:rPr>
            </w:pPr>
          </w:p>
        </w:tc>
        <w:tc>
          <w:tcPr>
            <w:tcW w:w="2020" w:type="dxa"/>
            <w:vAlign w:val="bottom"/>
            <w:tcBorders>
              <w:bottom w:val="single" w:sz="8" w:color="CCECFF"/>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8"/>
              </w:rPr>
              <w:t>Market yield</w:t>
            </w:r>
          </w:p>
        </w:tc>
        <w:tc>
          <w:tcPr>
            <w:tcW w:w="1800" w:type="dxa"/>
            <w:vAlign w:val="bottom"/>
            <w:tcBorders>
              <w:bottom w:val="single" w:sz="8" w:color="CCECFF"/>
            </w:tcBorders>
            <w:gridSpan w:val="2"/>
            <w:shd w:val="clear" w:color="auto" w:fill="CCECFF"/>
          </w:tcPr>
          <w:p>
            <w:pPr>
              <w:jc w:val="center"/>
              <w:ind w:left="628"/>
              <w:spacing w:after="0" w:line="155" w:lineRule="exact"/>
              <w:rPr>
                <w:sz w:val="20"/>
                <w:szCs w:val="20"/>
                <w:color w:val="auto"/>
              </w:rPr>
            </w:pPr>
            <w:r>
              <w:rPr>
                <w:rFonts w:ascii="Arial" w:cs="Arial" w:eastAsia="Arial" w:hAnsi="Arial"/>
                <w:sz w:val="14"/>
                <w:szCs w:val="14"/>
                <w:color w:val="auto"/>
                <w:w w:val="93"/>
              </w:rPr>
              <w:t>2.9%</w:t>
            </w:r>
          </w:p>
        </w:tc>
        <w:tc>
          <w:tcPr>
            <w:tcW w:w="52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0" w:lineRule="exact"/>
        <w:rPr>
          <w:sz w:val="20"/>
          <w:szCs w:val="20"/>
          <w:color w:val="auto"/>
        </w:rPr>
      </w:pPr>
    </w:p>
    <w:p>
      <w:pPr>
        <w:ind w:left="760" w:hanging="378"/>
        <w:spacing w:after="0"/>
        <w:tabs>
          <w:tab w:leader="none" w:pos="7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weighted averages disclosed in the table above were weighted by their relative fair value.</w:t>
      </w:r>
    </w:p>
    <w:p>
      <w:pPr>
        <w:spacing w:after="0" w:line="22" w:lineRule="exact"/>
        <w:rPr>
          <w:rFonts w:ascii="Arial" w:cs="Arial" w:eastAsia="Arial" w:hAnsi="Arial"/>
          <w:sz w:val="11"/>
          <w:szCs w:val="11"/>
          <w:color w:val="auto"/>
        </w:rPr>
      </w:pPr>
    </w:p>
    <w:p>
      <w:pPr>
        <w:ind w:left="760" w:hanging="378"/>
        <w:spacing w:after="0"/>
        <w:tabs>
          <w:tab w:leader="none" w:pos="76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DLOM is defined as discount for lack of marketability.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Pr>
          <w:p>
            <w:pPr>
              <w:ind w:left="4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7"/>
        </w:trPr>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Asset Category </w:t>
            </w:r>
            <w:r>
              <w:rPr>
                <w:rFonts w:ascii="Arial" w:cs="Arial" w:eastAsia="Arial" w:hAnsi="Arial"/>
                <w:sz w:val="14"/>
                <w:szCs w:val="14"/>
                <w:color w:val="auto"/>
              </w:rPr>
              <w:t>($ in thousands)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24"/>
                <w:szCs w:val="24"/>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60" w:type="dxa"/>
            <w:vAlign w:val="bottom"/>
          </w:tcPr>
          <w:p>
            <w:pPr>
              <w:spacing w:after="0"/>
              <w:rPr>
                <w:sz w:val="24"/>
                <w:szCs w:val="2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Unobservable Input</w:t>
            </w:r>
          </w:p>
        </w:tc>
        <w:tc>
          <w:tcPr>
            <w:tcW w:w="160" w:type="dxa"/>
            <w:vAlign w:val="bottom"/>
          </w:tcPr>
          <w:p>
            <w:pPr>
              <w:spacing w:after="0"/>
              <w:rPr>
                <w:sz w:val="24"/>
                <w:szCs w:val="24"/>
                <w:color w:val="auto"/>
              </w:rPr>
            </w:pPr>
          </w:p>
        </w:tc>
        <w:tc>
          <w:tcPr>
            <w:tcW w:w="160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Range of Input</w:t>
            </w:r>
          </w:p>
        </w:tc>
        <w:tc>
          <w:tcPr>
            <w:tcW w:w="460" w:type="dxa"/>
            <w:vAlign w:val="bottom"/>
            <w:vMerge w:val="restart"/>
          </w:tcPr>
          <w:p>
            <w:pPr>
              <w:jc w:val="right"/>
              <w:ind w:right="292"/>
              <w:spacing w:after="0"/>
              <w:rPr>
                <w:sz w:val="20"/>
                <w:szCs w:val="20"/>
                <w:color w:val="auto"/>
              </w:rPr>
            </w:pPr>
            <w:r>
              <w:rPr>
                <w:rFonts w:ascii="Arial" w:cs="Arial" w:eastAsia="Arial" w:hAnsi="Arial"/>
                <w:sz w:val="10"/>
                <w:szCs w:val="10"/>
                <w:b w:val="1"/>
                <w:bCs w:val="1"/>
                <w:color w:val="auto"/>
                <w:w w:val="81"/>
              </w:rPr>
              <w:t>(1)</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7"/>
              </w:rPr>
              <w:t>September 30, 2021</w:t>
            </w:r>
          </w:p>
        </w:tc>
        <w:tc>
          <w:tcPr>
            <w:tcW w:w="280" w:type="dxa"/>
            <w:vAlign w:val="bottom"/>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w w:val="92"/>
              </w:rPr>
              <w:t>(Weighted Average)</w:t>
            </w:r>
          </w:p>
        </w:tc>
        <w:tc>
          <w:tcPr>
            <w:tcW w:w="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First lien</w:t>
            </w:r>
          </w:p>
        </w:tc>
        <w:tc>
          <w:tcPr>
            <w:tcW w:w="1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90,266</w:t>
            </w:r>
          </w:p>
        </w:tc>
        <w:tc>
          <w:tcPr>
            <w:tcW w:w="280" w:type="dxa"/>
            <w:vAlign w:val="bottom"/>
            <w:shd w:val="clear" w:color="auto" w:fill="CCECFF"/>
          </w:tcPr>
          <w:p>
            <w:pPr>
              <w:spacing w:after="0"/>
              <w:rPr>
                <w:sz w:val="14"/>
                <w:szCs w:val="14"/>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4"/>
                <w:szCs w:val="14"/>
                <w:color w:val="auto"/>
              </w:rPr>
            </w:pPr>
          </w:p>
        </w:tc>
        <w:tc>
          <w:tcPr>
            <w:tcW w:w="20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60" w:type="dxa"/>
            <w:vAlign w:val="bottom"/>
            <w:shd w:val="clear" w:color="auto" w:fill="CCECFF"/>
          </w:tcPr>
          <w:p>
            <w:pPr>
              <w:spacing w:after="0"/>
              <w:rPr>
                <w:sz w:val="14"/>
                <w:szCs w:val="14"/>
                <w:color w:val="auto"/>
              </w:rPr>
            </w:pPr>
          </w:p>
        </w:tc>
        <w:tc>
          <w:tcPr>
            <w:tcW w:w="160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rPr>
              <w:t>N/A</w:t>
            </w:r>
          </w:p>
        </w:tc>
        <w:tc>
          <w:tcPr>
            <w:tcW w:w="4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First lien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462,264</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3"/>
              </w:rPr>
              <w:t>6.1% – 13.1% (8.1%)</w:t>
            </w: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39,298</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shd w:val="clear" w:color="auto" w:fill="CCECFF"/>
          </w:tcPr>
          <w:p>
            <w:pPr>
              <w:spacing w:after="0"/>
              <w:rPr>
                <w:sz w:val="15"/>
                <w:szCs w:val="15"/>
                <w:color w:val="auto"/>
              </w:rPr>
            </w:pPr>
          </w:p>
        </w:tc>
        <w:tc>
          <w:tcPr>
            <w:tcW w:w="204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Broker/Dealer bids or quotes</w:t>
            </w:r>
          </w:p>
        </w:tc>
        <w:tc>
          <w:tcPr>
            <w:tcW w:w="160" w:type="dxa"/>
            <w:vAlign w:val="bottom"/>
            <w:shd w:val="clear" w:color="auto" w:fill="CCECFF"/>
          </w:tcPr>
          <w:p>
            <w:pPr>
              <w:spacing w:after="0"/>
              <w:rPr>
                <w:sz w:val="15"/>
                <w:szCs w:val="15"/>
                <w:color w:val="auto"/>
              </w:rPr>
            </w:pPr>
          </w:p>
        </w:tc>
        <w:tc>
          <w:tcPr>
            <w:tcW w:w="1600" w:type="dxa"/>
            <w:vAlign w:val="bottom"/>
            <w:shd w:val="clear" w:color="auto" w:fill="CCECFF"/>
          </w:tcPr>
          <w:p>
            <w:pPr>
              <w:jc w:val="center"/>
              <w:ind w:left="408"/>
              <w:spacing w:after="0"/>
              <w:rPr>
                <w:sz w:val="20"/>
                <w:szCs w:val="20"/>
                <w:color w:val="auto"/>
              </w:rPr>
            </w:pPr>
            <w:r>
              <w:rPr>
                <w:rFonts w:ascii="Arial" w:cs="Arial" w:eastAsia="Arial" w:hAnsi="Arial"/>
                <w:sz w:val="14"/>
                <w:szCs w:val="14"/>
                <w:color w:val="auto"/>
              </w:rPr>
              <w:t>N/A</w:t>
            </w:r>
          </w:p>
        </w:tc>
        <w:tc>
          <w:tcPr>
            <w:tcW w:w="4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126,509</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3"/>
              </w:rPr>
              <w:t>10.3% – 11.5% (10.7%)</w:t>
            </w: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Second lien</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11,087</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600" w:type="dxa"/>
            <w:vAlign w:val="bottom"/>
            <w:shd w:val="clear" w:color="auto" w:fill="CCECFF"/>
          </w:tcPr>
          <w:p>
            <w:pPr>
              <w:jc w:val="center"/>
              <w:ind w:left="388"/>
              <w:spacing w:after="0"/>
              <w:rPr>
                <w:sz w:val="20"/>
                <w:szCs w:val="20"/>
                <w:color w:val="auto"/>
              </w:rPr>
            </w:pPr>
            <w:r>
              <w:rPr>
                <w:rFonts w:ascii="Arial" w:cs="Arial" w:eastAsia="Arial" w:hAnsi="Arial"/>
                <w:sz w:val="14"/>
                <w:szCs w:val="14"/>
                <w:color w:val="auto"/>
                <w:w w:val="98"/>
              </w:rPr>
              <w:t>5.4x</w:t>
            </w:r>
          </w:p>
        </w:tc>
        <w:tc>
          <w:tcPr>
            <w:tcW w:w="4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Subordinated debt / corporate notes</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121,170</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Market yield</w:t>
            </w:r>
          </w:p>
        </w:tc>
        <w:tc>
          <w:tcPr>
            <w:tcW w:w="160" w:type="dxa"/>
            <w:vAlign w:val="bottom"/>
          </w:tcPr>
          <w:p>
            <w:pPr>
              <w:spacing w:after="0"/>
              <w:rPr>
                <w:sz w:val="15"/>
                <w:szCs w:val="15"/>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color w:val="auto"/>
                <w:w w:val="94"/>
              </w:rPr>
              <w:t>9.6% – 17.1% (12.5%)</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278,486</w:t>
            </w:r>
          </w:p>
        </w:tc>
        <w:tc>
          <w:tcPr>
            <w:tcW w:w="280" w:type="dxa"/>
            <w:vAlign w:val="bottom"/>
            <w:shd w:val="clear" w:color="auto" w:fill="CCECFF"/>
          </w:tcPr>
          <w:p>
            <w:pPr>
              <w:spacing w:after="0"/>
              <w:rPr>
                <w:sz w:val="15"/>
                <w:szCs w:val="15"/>
                <w:color w:val="auto"/>
              </w:rPr>
            </w:pPr>
          </w:p>
        </w:tc>
        <w:tc>
          <w:tcPr>
            <w:tcW w:w="206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shd w:val="clear" w:color="auto" w:fill="CCECFF"/>
          </w:tcPr>
          <w:p>
            <w:pPr>
              <w:spacing w:after="0"/>
              <w:rPr>
                <w:sz w:val="15"/>
                <w:szCs w:val="15"/>
                <w:color w:val="auto"/>
              </w:rPr>
            </w:pPr>
          </w:p>
        </w:tc>
        <w:tc>
          <w:tcPr>
            <w:tcW w:w="2040" w:type="dxa"/>
            <w:vAlign w:val="bottom"/>
            <w:shd w:val="clear" w:color="auto" w:fill="CCECFF"/>
          </w:tcPr>
          <w:p>
            <w:pPr>
              <w:jc w:val="center"/>
              <w:spacing w:after="0"/>
              <w:rPr>
                <w:sz w:val="20"/>
                <w:szCs w:val="20"/>
                <w:color w:val="auto"/>
              </w:rPr>
            </w:pPr>
            <w:r>
              <w:rPr>
                <w:rFonts w:ascii="Arial" w:cs="Arial" w:eastAsia="Arial" w:hAnsi="Arial"/>
                <w:sz w:val="14"/>
                <w:szCs w:val="14"/>
                <w:color w:val="auto"/>
              </w:rPr>
              <w:t>EBITDA multiple</w:t>
            </w:r>
          </w:p>
        </w:tc>
        <w:tc>
          <w:tcPr>
            <w:tcW w:w="160" w:type="dxa"/>
            <w:vAlign w:val="bottom"/>
            <w:shd w:val="clear" w:color="auto" w:fill="CCECFF"/>
          </w:tcPr>
          <w:p>
            <w:pPr>
              <w:spacing w:after="0"/>
              <w:rPr>
                <w:sz w:val="15"/>
                <w:szCs w:val="15"/>
                <w:color w:val="auto"/>
              </w:rPr>
            </w:pPr>
          </w:p>
        </w:tc>
        <w:tc>
          <w:tcPr>
            <w:tcW w:w="1600" w:type="dxa"/>
            <w:vAlign w:val="bottom"/>
            <w:shd w:val="clear" w:color="auto" w:fill="CCECFF"/>
          </w:tcPr>
          <w:p>
            <w:pPr>
              <w:jc w:val="center"/>
              <w:ind w:left="388"/>
              <w:spacing w:after="0"/>
              <w:rPr>
                <w:sz w:val="20"/>
                <w:szCs w:val="20"/>
                <w:color w:val="auto"/>
              </w:rPr>
            </w:pPr>
            <w:r>
              <w:rPr>
                <w:rFonts w:ascii="Arial" w:cs="Arial" w:eastAsia="Arial" w:hAnsi="Arial"/>
                <w:sz w:val="14"/>
                <w:szCs w:val="14"/>
                <w:color w:val="auto"/>
                <w:w w:val="94"/>
              </w:rPr>
              <w:t>2.6x – 18.5x (8.5x)</w:t>
            </w:r>
          </w:p>
        </w:tc>
        <w:tc>
          <w:tcPr>
            <w:tcW w:w="4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60,808</w:t>
            </w:r>
          </w:p>
        </w:tc>
        <w:tc>
          <w:tcPr>
            <w:tcW w:w="280" w:type="dxa"/>
            <w:vAlign w:val="bottom"/>
          </w:tcPr>
          <w:p>
            <w:pPr>
              <w:spacing w:after="0"/>
              <w:rPr>
                <w:sz w:val="15"/>
                <w:szCs w:val="15"/>
                <w:color w:val="auto"/>
              </w:rPr>
            </w:pPr>
          </w:p>
        </w:tc>
        <w:tc>
          <w:tcPr>
            <w:tcW w:w="2060" w:type="dxa"/>
            <w:vAlign w:val="bottom"/>
          </w:tcPr>
          <w:p>
            <w:pPr>
              <w:jc w:val="center"/>
              <w:spacing w:after="0"/>
              <w:rPr>
                <w:sz w:val="20"/>
                <w:szCs w:val="20"/>
                <w:color w:val="auto"/>
              </w:rPr>
            </w:pPr>
            <w:r>
              <w:rPr>
                <w:rFonts w:ascii="Arial" w:cs="Arial" w:eastAsia="Arial" w:hAnsi="Arial"/>
                <w:sz w:val="14"/>
                <w:szCs w:val="14"/>
                <w:color w:val="auto"/>
                <w:w w:val="93"/>
              </w:rPr>
              <w:t>Enterprise Market Value</w:t>
            </w:r>
          </w:p>
        </w:tc>
        <w:tc>
          <w:tcPr>
            <w:tcW w:w="160" w:type="dxa"/>
            <w:vAlign w:val="bottom"/>
          </w:tcPr>
          <w:p>
            <w:pPr>
              <w:spacing w:after="0"/>
              <w:rPr>
                <w:sz w:val="15"/>
                <w:szCs w:val="15"/>
                <w:color w:val="auto"/>
              </w:rPr>
            </w:pPr>
          </w:p>
        </w:tc>
        <w:tc>
          <w:tcPr>
            <w:tcW w:w="2040" w:type="dxa"/>
            <w:vAlign w:val="bottom"/>
          </w:tcPr>
          <w:p>
            <w:pPr>
              <w:jc w:val="center"/>
              <w:spacing w:after="0" w:line="175" w:lineRule="exact"/>
              <w:rPr>
                <w:sz w:val="20"/>
                <w:szCs w:val="20"/>
                <w:color w:val="auto"/>
              </w:rPr>
            </w:pPr>
            <w:r>
              <w:rPr>
                <w:rFonts w:ascii="Arial" w:cs="Arial" w:eastAsia="Arial" w:hAnsi="Arial"/>
                <w:sz w:val="14"/>
                <w:szCs w:val="14"/>
                <w:color w:val="auto"/>
                <w:w w:val="92"/>
              </w:rPr>
              <w:t>DLOM</w:t>
            </w:r>
            <w:r>
              <w:rPr>
                <w:rFonts w:ascii="Arial" w:cs="Arial" w:eastAsia="Arial" w:hAnsi="Arial"/>
                <w:sz w:val="19"/>
                <w:szCs w:val="19"/>
                <w:color w:val="auto"/>
                <w:w w:val="92"/>
                <w:vertAlign w:val="superscript"/>
              </w:rPr>
              <w:t>(2)</w:t>
            </w:r>
          </w:p>
        </w:tc>
        <w:tc>
          <w:tcPr>
            <w:tcW w:w="1760" w:type="dxa"/>
            <w:vAlign w:val="bottom"/>
            <w:gridSpan w:val="2"/>
          </w:tcPr>
          <w:p>
            <w:pPr>
              <w:jc w:val="center"/>
              <w:ind w:left="548"/>
              <w:spacing w:after="0"/>
              <w:rPr>
                <w:sz w:val="20"/>
                <w:szCs w:val="20"/>
                <w:color w:val="auto"/>
              </w:rPr>
            </w:pPr>
            <w:r>
              <w:rPr>
                <w:rFonts w:ascii="Arial" w:cs="Arial" w:eastAsia="Arial" w:hAnsi="Arial"/>
                <w:sz w:val="14"/>
                <w:szCs w:val="14"/>
                <w:color w:val="auto"/>
                <w:w w:val="93"/>
              </w:rPr>
              <w:t>9.3%</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Equity</w:t>
            </w:r>
          </w:p>
        </w:tc>
        <w:tc>
          <w:tcPr>
            <w:tcW w:w="120" w:type="dxa"/>
            <w:vAlign w:val="bottom"/>
            <w:tcBorders>
              <w:bottom w:val="single" w:sz="8" w:color="CCECFF"/>
            </w:tcBorders>
            <w:shd w:val="clear" w:color="auto" w:fill="CCECFF"/>
          </w:tcPr>
          <w:p>
            <w:pPr>
              <w:spacing w:after="0"/>
              <w:rPr>
                <w:sz w:val="15"/>
                <w:szCs w:val="15"/>
                <w:color w:val="auto"/>
              </w:rPr>
            </w:pPr>
          </w:p>
        </w:tc>
        <w:tc>
          <w:tcPr>
            <w:tcW w:w="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21,133</w:t>
            </w:r>
          </w:p>
        </w:tc>
        <w:tc>
          <w:tcPr>
            <w:tcW w:w="280" w:type="dxa"/>
            <w:vAlign w:val="bottom"/>
            <w:tcBorders>
              <w:bottom w:val="single" w:sz="8" w:color="CCECFF"/>
            </w:tcBorders>
            <w:shd w:val="clear" w:color="auto" w:fill="CCECFF"/>
          </w:tcPr>
          <w:p>
            <w:pPr>
              <w:spacing w:after="0"/>
              <w:rPr>
                <w:sz w:val="15"/>
                <w:szCs w:val="15"/>
                <w:color w:val="auto"/>
              </w:rPr>
            </w:pPr>
          </w:p>
        </w:tc>
        <w:tc>
          <w:tcPr>
            <w:tcW w:w="206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4"/>
              </w:rPr>
              <w:t>Market Comparable</w:t>
            </w:r>
          </w:p>
        </w:tc>
        <w:tc>
          <w:tcPr>
            <w:tcW w:w="160" w:type="dxa"/>
            <w:vAlign w:val="bottom"/>
            <w:tcBorders>
              <w:bottom w:val="single" w:sz="8" w:color="CCECFF"/>
            </w:tcBorders>
            <w:shd w:val="clear" w:color="auto" w:fill="CCECFF"/>
          </w:tcPr>
          <w:p>
            <w:pPr>
              <w:spacing w:after="0"/>
              <w:rPr>
                <w:sz w:val="15"/>
                <w:szCs w:val="15"/>
                <w:color w:val="auto"/>
              </w:rPr>
            </w:pPr>
          </w:p>
        </w:tc>
        <w:tc>
          <w:tcPr>
            <w:tcW w:w="2040" w:type="dxa"/>
            <w:vAlign w:val="bottom"/>
            <w:tcBorders>
              <w:bottom w:val="single" w:sz="8" w:color="CCECFF"/>
            </w:tcBorders>
            <w:shd w:val="clear" w:color="auto" w:fill="CCECFF"/>
          </w:tcPr>
          <w:p>
            <w:pPr>
              <w:jc w:val="center"/>
              <w:spacing w:after="0"/>
              <w:rPr>
                <w:sz w:val="20"/>
                <w:szCs w:val="20"/>
                <w:color w:val="auto"/>
              </w:rPr>
            </w:pPr>
            <w:r>
              <w:rPr>
                <w:rFonts w:ascii="Arial" w:cs="Arial" w:eastAsia="Arial" w:hAnsi="Arial"/>
                <w:sz w:val="14"/>
                <w:szCs w:val="14"/>
                <w:color w:val="auto"/>
                <w:w w:val="95"/>
              </w:rPr>
              <w:t>Market yield</w:t>
            </w:r>
          </w:p>
        </w:tc>
        <w:tc>
          <w:tcPr>
            <w:tcW w:w="1760" w:type="dxa"/>
            <w:vAlign w:val="bottom"/>
            <w:tcBorders>
              <w:bottom w:val="single" w:sz="8" w:color="CCECFF"/>
            </w:tcBorders>
            <w:gridSpan w:val="2"/>
            <w:shd w:val="clear" w:color="auto" w:fill="CCECFF"/>
          </w:tcPr>
          <w:p>
            <w:pPr>
              <w:jc w:val="center"/>
              <w:ind w:left="548"/>
              <w:spacing w:after="0"/>
              <w:rPr>
                <w:sz w:val="20"/>
                <w:szCs w:val="20"/>
                <w:color w:val="auto"/>
              </w:rPr>
            </w:pPr>
            <w:r>
              <w:rPr>
                <w:rFonts w:ascii="Arial" w:cs="Arial" w:eastAsia="Arial" w:hAnsi="Arial"/>
                <w:sz w:val="14"/>
                <w:szCs w:val="14"/>
                <w:color w:val="auto"/>
                <w:w w:val="95"/>
              </w:rPr>
              <w:t>20.4%</w:t>
            </w:r>
          </w:p>
        </w:tc>
        <w:tc>
          <w:tcPr>
            <w:tcW w:w="46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0"/>
              <w:spacing w:after="0"/>
              <w:rPr>
                <w:sz w:val="20"/>
                <w:szCs w:val="20"/>
                <w:color w:val="auto"/>
              </w:rPr>
            </w:pPr>
            <w:r>
              <w:rPr>
                <w:rFonts w:ascii="Arial" w:cs="Arial" w:eastAsia="Arial" w:hAnsi="Arial"/>
                <w:sz w:val="14"/>
                <w:szCs w:val="14"/>
                <w:color w:val="auto"/>
              </w:rPr>
              <w:t>Total Level 3 investments</w:t>
            </w:r>
          </w:p>
        </w:tc>
        <w:tc>
          <w:tcPr>
            <w:tcW w:w="34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1,211,021</w:t>
            </w:r>
          </w:p>
        </w:tc>
        <w:tc>
          <w:tcPr>
            <w:tcW w:w="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Borders>
              <w:bottom w:val="single" w:sz="8" w:color="auto"/>
            </w:tcBorders>
            <w:shd w:val="clear" w:color="auto" w:fill="CCECFF"/>
          </w:tcPr>
          <w:p>
            <w:pPr>
              <w:ind w:left="20"/>
              <w:spacing w:after="0" w:line="156" w:lineRule="exact"/>
              <w:rPr>
                <w:sz w:val="20"/>
                <w:szCs w:val="20"/>
                <w:color w:val="auto"/>
              </w:rPr>
            </w:pPr>
            <w:r>
              <w:rPr>
                <w:rFonts w:ascii="Arial" w:cs="Arial" w:eastAsia="Arial" w:hAnsi="Arial"/>
                <w:sz w:val="14"/>
                <w:szCs w:val="14"/>
                <w:b w:val="1"/>
                <w:bCs w:val="1"/>
                <w:color w:val="auto"/>
              </w:rPr>
              <w:t xml:space="preserve">Debt Category </w:t>
            </w:r>
            <w:r>
              <w:rPr>
                <w:rFonts w:ascii="Arial" w:cs="Arial" w:eastAsia="Arial" w:hAnsi="Arial"/>
                <w:sz w:val="14"/>
                <w:szCs w:val="14"/>
                <w:color w:val="auto"/>
              </w:rPr>
              <w:t>($ in thousands)</w:t>
            </w:r>
          </w:p>
        </w:tc>
        <w:tc>
          <w:tcPr>
            <w:tcW w:w="120" w:type="dxa"/>
            <w:vAlign w:val="bottom"/>
            <w:tcBorders>
              <w:bottom w:val="single" w:sz="8" w:color="CCECFF"/>
            </w:tcBorders>
            <w:shd w:val="clear" w:color="auto" w:fill="CCECFF"/>
          </w:tcPr>
          <w:p>
            <w:pPr>
              <w:spacing w:after="0"/>
              <w:rPr>
                <w:sz w:val="13"/>
                <w:szCs w:val="13"/>
                <w:color w:val="auto"/>
              </w:rPr>
            </w:pPr>
          </w:p>
        </w:tc>
        <w:tc>
          <w:tcPr>
            <w:tcW w:w="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5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6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60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20"/>
              <w:spacing w:after="0" w:line="155" w:lineRule="exact"/>
              <w:rPr>
                <w:sz w:val="20"/>
                <w:szCs w:val="20"/>
                <w:color w:val="auto"/>
              </w:rPr>
            </w:pPr>
            <w:r>
              <w:rPr>
                <w:rFonts w:ascii="Arial" w:cs="Arial" w:eastAsia="Arial" w:hAnsi="Arial"/>
                <w:sz w:val="14"/>
                <w:szCs w:val="14"/>
                <w:color w:val="auto"/>
              </w:rPr>
              <w:t>Truist Credit Facility</w:t>
            </w:r>
          </w:p>
        </w:tc>
        <w:tc>
          <w:tcPr>
            <w:tcW w:w="340" w:type="dxa"/>
            <w:vAlign w:val="bottom"/>
            <w:gridSpan w:val="3"/>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314,813</w:t>
            </w:r>
          </w:p>
        </w:tc>
        <w:tc>
          <w:tcPr>
            <w:tcW w:w="280" w:type="dxa"/>
            <w:vAlign w:val="bottom"/>
          </w:tcPr>
          <w:p>
            <w:pPr>
              <w:spacing w:after="0"/>
              <w:rPr>
                <w:sz w:val="14"/>
                <w:szCs w:val="14"/>
                <w:color w:val="auto"/>
              </w:rPr>
            </w:pPr>
          </w:p>
        </w:tc>
        <w:tc>
          <w:tcPr>
            <w:tcW w:w="2060" w:type="dxa"/>
            <w:vAlign w:val="bottom"/>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Pr>
          <w:p>
            <w:pPr>
              <w:spacing w:after="0"/>
              <w:rPr>
                <w:sz w:val="14"/>
                <w:szCs w:val="14"/>
                <w:color w:val="auto"/>
              </w:rPr>
            </w:pPr>
          </w:p>
        </w:tc>
        <w:tc>
          <w:tcPr>
            <w:tcW w:w="2040" w:type="dxa"/>
            <w:vAlign w:val="bottom"/>
          </w:tcPr>
          <w:p>
            <w:pPr>
              <w:jc w:val="center"/>
              <w:spacing w:after="0" w:line="155" w:lineRule="exact"/>
              <w:rPr>
                <w:sz w:val="20"/>
                <w:szCs w:val="20"/>
                <w:color w:val="auto"/>
              </w:rPr>
            </w:pPr>
            <w:r>
              <w:rPr>
                <w:rFonts w:ascii="Arial" w:cs="Arial" w:eastAsia="Arial" w:hAnsi="Arial"/>
                <w:sz w:val="14"/>
                <w:szCs w:val="14"/>
                <w:color w:val="auto"/>
                <w:w w:val="95"/>
              </w:rPr>
              <w:t>Market yield</w:t>
            </w:r>
          </w:p>
        </w:tc>
        <w:tc>
          <w:tcPr>
            <w:tcW w:w="1760" w:type="dxa"/>
            <w:vAlign w:val="bottom"/>
            <w:gridSpan w:val="2"/>
          </w:tcPr>
          <w:p>
            <w:pPr>
              <w:jc w:val="center"/>
              <w:ind w:left="548"/>
              <w:spacing w:after="0" w:line="155" w:lineRule="exact"/>
              <w:rPr>
                <w:sz w:val="20"/>
                <w:szCs w:val="20"/>
                <w:color w:val="auto"/>
              </w:rPr>
            </w:pPr>
            <w:r>
              <w:rPr>
                <w:rFonts w:ascii="Arial" w:cs="Arial" w:eastAsia="Arial" w:hAnsi="Arial"/>
                <w:sz w:val="14"/>
                <w:szCs w:val="14"/>
                <w:color w:val="auto"/>
                <w:w w:val="93"/>
              </w:rPr>
              <w:t>2.4%</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-544830</wp:posOffset>
            </wp:positionV>
            <wp:extent cx="6858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-287655</wp:posOffset>
            </wp:positionV>
            <wp:extent cx="11176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1760" cy="57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color w:val="auto"/>
        </w:rPr>
        <w:t>1.The weighted averages disclosed in the table above were weighted by their relative fair value.</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2.DLOM is defined as discount for lack of marketability.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Our investments, cash and cash equivalents, Truist Credit Facility, SBA debentures, 2024 Notes, 2026 Notes and 2026 Notes-2 were categorized as follows in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Fair Value at June 30, 2022</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color w:val="auto"/>
              </w:rPr>
              <w:t>($ in 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8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Debt investments</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972,637</w:t>
            </w:r>
          </w:p>
        </w:tc>
        <w:tc>
          <w:tcPr>
            <w:tcW w:w="28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972,637</w:t>
            </w: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342,191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338</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273,397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CFF"/>
          </w:tcPr>
          <w:p>
            <w:pPr>
              <w:ind w:left="380"/>
              <w:spacing w:after="0"/>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spacing w:after="0"/>
              <w:rPr>
                <w:sz w:val="14"/>
                <w:szCs w:val="14"/>
                <w:color w:val="auto"/>
              </w:rPr>
            </w:pP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1,314,828</w:t>
            </w:r>
          </w:p>
        </w:tc>
        <w:tc>
          <w:tcPr>
            <w:tcW w:w="28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338</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spacing w:after="0"/>
              <w:rPr>
                <w:sz w:val="14"/>
                <w:szCs w:val="14"/>
                <w:color w:val="auto"/>
              </w:rPr>
            </w:pP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1,246,034</w:t>
            </w:r>
          </w:p>
        </w:tc>
        <w:tc>
          <w:tcPr>
            <w:tcW w:w="24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68,456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29,547</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29,547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1,344,375</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29,885</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1,246,034</w:t>
            </w:r>
          </w:p>
        </w:tc>
        <w:tc>
          <w:tcPr>
            <w:tcW w:w="24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68,456</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6" w:lineRule="exact"/>
              <w:rPr>
                <w:sz w:val="20"/>
                <w:szCs w:val="20"/>
                <w:color w:val="auto"/>
              </w:rPr>
            </w:pPr>
            <w:r>
              <w:rPr>
                <w:rFonts w:ascii="Arial" w:cs="Arial" w:eastAsia="Arial" w:hAnsi="Arial"/>
                <w:sz w:val="14"/>
                <w:szCs w:val="14"/>
                <w:color w:val="auto"/>
              </w:rPr>
              <w:t>Truist Credit Facility</w:t>
            </w:r>
          </w:p>
        </w:tc>
        <w:tc>
          <w:tcPr>
            <w:tcW w:w="340" w:type="dxa"/>
            <w:vAlign w:val="bottom"/>
            <w:gridSpan w:val="2"/>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412,005</w:t>
            </w:r>
          </w:p>
        </w:tc>
        <w:tc>
          <w:tcPr>
            <w:tcW w:w="54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line="156"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56" w:lineRule="exact"/>
              <w:rPr>
                <w:sz w:val="20"/>
                <w:szCs w:val="20"/>
                <w:color w:val="auto"/>
              </w:rPr>
            </w:pPr>
            <w:r>
              <w:rPr>
                <w:rFonts w:ascii="Arial" w:cs="Arial" w:eastAsia="Arial" w:hAnsi="Arial"/>
                <w:sz w:val="14"/>
                <w:szCs w:val="14"/>
                <w:color w:val="auto"/>
              </w:rPr>
              <w:t>412,005</w:t>
            </w:r>
          </w:p>
        </w:tc>
        <w:tc>
          <w:tcPr>
            <w:tcW w:w="3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SBA Debentures</w:t>
            </w:r>
            <w:r>
              <w:rPr>
                <w:rFonts w:ascii="Arial" w:cs="Arial" w:eastAsia="Arial" w:hAnsi="Arial"/>
                <w:sz w:val="19"/>
                <w:szCs w:val="19"/>
                <w:color w:val="auto"/>
                <w:vertAlign w:val="superscript"/>
              </w:rPr>
              <w:t>(2)</w:t>
            </w:r>
          </w:p>
        </w:tc>
        <w:tc>
          <w:tcPr>
            <w:tcW w:w="1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27,046</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27,046</w:t>
            </w:r>
          </w:p>
        </w:tc>
        <w:tc>
          <w:tcPr>
            <w:tcW w:w="24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line="175" w:lineRule="exact"/>
              <w:rPr>
                <w:sz w:val="20"/>
                <w:szCs w:val="20"/>
                <w:color w:val="auto"/>
              </w:rPr>
            </w:pPr>
            <w:r>
              <w:rPr>
                <w:rFonts w:ascii="Arial" w:cs="Arial" w:eastAsia="Arial" w:hAnsi="Arial"/>
                <w:sz w:val="14"/>
                <w:szCs w:val="14"/>
                <w:color w:val="auto"/>
              </w:rPr>
              <w:t>2026 Notes</w:t>
            </w:r>
            <w:r>
              <w:rPr>
                <w:rFonts w:ascii="Arial" w:cs="Arial" w:eastAsia="Arial" w:hAnsi="Arial"/>
                <w:sz w:val="19"/>
                <w:szCs w:val="19"/>
                <w:color w:val="auto"/>
                <w:vertAlign w:val="superscript"/>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146,542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146,542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Borders>
              <w:bottom w:val="single" w:sz="8" w:color="CCECFF"/>
            </w:tcBorders>
            <w:shd w:val="clear" w:color="auto" w:fill="CCECFF"/>
          </w:tcPr>
          <w:p>
            <w:pPr>
              <w:ind w:left="20"/>
              <w:spacing w:after="0" w:line="175" w:lineRule="exact"/>
              <w:rPr>
                <w:sz w:val="20"/>
                <w:szCs w:val="20"/>
                <w:color w:val="auto"/>
              </w:rPr>
            </w:pPr>
            <w:r>
              <w:rPr>
                <w:rFonts w:ascii="Arial" w:cs="Arial" w:eastAsia="Arial" w:hAnsi="Arial"/>
                <w:sz w:val="14"/>
                <w:szCs w:val="14"/>
                <w:color w:val="auto"/>
              </w:rPr>
              <w:t>2026 Notes-2</w:t>
            </w:r>
            <w:r>
              <w:rPr>
                <w:rFonts w:ascii="Arial" w:cs="Arial" w:eastAsia="Arial" w:hAnsi="Arial"/>
                <w:sz w:val="19"/>
                <w:szCs w:val="19"/>
                <w:color w:val="auto"/>
                <w:vertAlign w:val="superscript"/>
              </w:rPr>
              <w:t>(2)</w:t>
            </w:r>
          </w:p>
        </w:tc>
        <w:tc>
          <w:tcPr>
            <w:tcW w:w="1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161,159</w:t>
            </w:r>
          </w:p>
        </w:tc>
        <w:tc>
          <w:tcPr>
            <w:tcW w:w="2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161,159</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380"/>
              <w:spacing w:after="0"/>
              <w:rPr>
                <w:sz w:val="20"/>
                <w:szCs w:val="20"/>
                <w:color w:val="auto"/>
              </w:rPr>
            </w:pPr>
            <w:r>
              <w:rPr>
                <w:rFonts w:ascii="Arial" w:cs="Arial" w:eastAsia="Arial" w:hAnsi="Arial"/>
                <w:sz w:val="14"/>
                <w:szCs w:val="14"/>
                <w:color w:val="auto"/>
              </w:rPr>
              <w:t>Total debt</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746,752</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307,701</w:t>
            </w:r>
          </w:p>
        </w:tc>
        <w:tc>
          <w:tcPr>
            <w:tcW w:w="240" w:type="dxa"/>
            <w:vAlign w:val="bottom"/>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439,051</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-616585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-599440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-616585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-599440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-616585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-599440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-616585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-142240</wp:posOffset>
            </wp:positionV>
            <wp:extent cx="7683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-142240</wp:posOffset>
            </wp:positionV>
            <wp:extent cx="6858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-142240</wp:posOffset>
            </wp:positionV>
            <wp:extent cx="685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-142240</wp:posOffset>
            </wp:positionV>
            <wp:extent cx="6858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0" w:lineRule="exact"/>
        <w:rPr>
          <w:sz w:val="20"/>
          <w:szCs w:val="20"/>
          <w:color w:val="auto"/>
        </w:rPr>
      </w:pPr>
    </w:p>
    <w:p>
      <w:pPr>
        <w:ind w:left="480" w:right="160" w:hanging="459"/>
        <w:spacing w:after="0" w:line="231"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p>
      <w:pPr>
        <w:ind w:left="480" w:right="20" w:hanging="459"/>
        <w:spacing w:after="0" w:line="225"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We elected not to apply ASC 825-10 to the SBA debentures, the 2026 Notes and the 2026 Notes-2, and thus the balance reported in the Consolidated Statement of Assets and Liabilities represents the carrying value. As of June 30, 2022,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6"/>
          </w:tcPr>
          <w:p>
            <w:pPr>
              <w:jc w:val="right"/>
              <w:ind w:right="68"/>
              <w:spacing w:after="0"/>
              <w:rPr>
                <w:sz w:val="20"/>
                <w:szCs w:val="20"/>
                <w:color w:val="auto"/>
              </w:rPr>
            </w:pPr>
            <w:r>
              <w:rPr>
                <w:rFonts w:ascii="Arial" w:cs="Arial" w:eastAsia="Arial" w:hAnsi="Arial"/>
                <w:sz w:val="14"/>
                <w:szCs w:val="14"/>
                <w:b w:val="1"/>
                <w:bCs w:val="1"/>
                <w:color w:val="auto"/>
              </w:rPr>
              <w:t>Fair Value at September 30, 2021</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Measured at 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color w:val="auto"/>
              </w:rPr>
              <w:t>($ in thousands)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8"/>
              <w:spacing w:after="0" w:line="189" w:lineRule="exact"/>
              <w:rPr>
                <w:sz w:val="20"/>
                <w:szCs w:val="20"/>
                <w:color w:val="auto"/>
              </w:rPr>
            </w:pPr>
            <w:r>
              <w:rPr>
                <w:rFonts w:ascii="Arial" w:cs="Arial" w:eastAsia="Arial" w:hAnsi="Arial"/>
                <w:sz w:val="14"/>
                <w:szCs w:val="14"/>
                <w:b w:val="1"/>
                <w:bCs w:val="1"/>
                <w:color w:val="auto"/>
                <w:w w:val="97"/>
              </w:rPr>
              <w:t xml:space="preserve">Asset Value </w:t>
            </w:r>
            <w:r>
              <w:rPr>
                <w:rFonts w:ascii="Arial" w:cs="Arial" w:eastAsia="Arial" w:hAnsi="Arial"/>
                <w:sz w:val="19"/>
                <w:szCs w:val="19"/>
                <w:b w:val="1"/>
                <w:bCs w:val="1"/>
                <w:color w:val="auto"/>
                <w:w w:val="97"/>
                <w:vertAlign w:val="super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CFF"/>
          </w:tcPr>
          <w:p>
            <w:pPr>
              <w:ind w:left="20"/>
              <w:spacing w:after="0"/>
              <w:rPr>
                <w:sz w:val="20"/>
                <w:szCs w:val="20"/>
                <w:color w:val="auto"/>
              </w:rPr>
            </w:pPr>
            <w:r>
              <w:rPr>
                <w:rFonts w:ascii="Arial" w:cs="Arial" w:eastAsia="Arial" w:hAnsi="Arial"/>
                <w:sz w:val="14"/>
                <w:szCs w:val="14"/>
                <w:color w:val="auto"/>
              </w:rPr>
              <w:t>Debt investments</w:t>
            </w:r>
          </w:p>
        </w:tc>
        <w:tc>
          <w:tcPr>
            <w:tcW w:w="14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850,593</w:t>
            </w:r>
          </w:p>
        </w:tc>
        <w:tc>
          <w:tcPr>
            <w:tcW w:w="28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850,593</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404,697</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360,428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60" w:type="dxa"/>
            <w:vAlign w:val="bottom"/>
            <w:shd w:val="clear" w:color="auto" w:fill="CCECFF"/>
          </w:tcPr>
          <w:p>
            <w:pPr>
              <w:ind w:left="380"/>
              <w:spacing w:after="0"/>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1,255,290</w:t>
            </w:r>
          </w:p>
        </w:tc>
        <w:tc>
          <w:tcPr>
            <w:tcW w:w="2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3,110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1,211,021</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41,160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20,357</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CCECFF"/>
            </w:tcBorders>
            <w:shd w:val="clear" w:color="auto" w:fill="CCECFF"/>
          </w:tcPr>
          <w:p>
            <w:pPr>
              <w:ind w:left="380"/>
              <w:spacing w:after="0"/>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1,275,647</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23,467</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1,211,021</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41,160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60" w:type="dxa"/>
            <w:vAlign w:val="bottom"/>
          </w:tcPr>
          <w:p>
            <w:pPr>
              <w:ind w:left="20"/>
              <w:spacing w:after="0" w:line="156" w:lineRule="exact"/>
              <w:rPr>
                <w:sz w:val="20"/>
                <w:szCs w:val="20"/>
                <w:color w:val="auto"/>
              </w:rPr>
            </w:pPr>
            <w:r>
              <w:rPr>
                <w:rFonts w:ascii="Arial" w:cs="Arial" w:eastAsia="Arial" w:hAnsi="Arial"/>
                <w:sz w:val="14"/>
                <w:szCs w:val="14"/>
                <w:color w:val="auto"/>
              </w:rPr>
              <w:t>Truist Credit Facility</w:t>
            </w:r>
          </w:p>
        </w:tc>
        <w:tc>
          <w:tcPr>
            <w:tcW w:w="340" w:type="dxa"/>
            <w:vAlign w:val="bottom"/>
            <w:gridSpan w:val="2"/>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6" w:lineRule="exact"/>
              <w:rPr>
                <w:sz w:val="20"/>
                <w:szCs w:val="20"/>
                <w:color w:val="auto"/>
              </w:rPr>
            </w:pPr>
            <w:r>
              <w:rPr>
                <w:rFonts w:ascii="Arial" w:cs="Arial" w:eastAsia="Arial" w:hAnsi="Arial"/>
                <w:sz w:val="14"/>
                <w:szCs w:val="14"/>
                <w:color w:val="auto"/>
              </w:rPr>
              <w:t>314,813</w:t>
            </w:r>
          </w:p>
        </w:tc>
        <w:tc>
          <w:tcPr>
            <w:tcW w:w="54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8"/>
              <w:spacing w:after="0" w:line="156"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4"/>
                <w:szCs w:val="14"/>
                <w:color w:val="auto"/>
              </w:rPr>
              <w:t>314,813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SBA Debentures </w:t>
            </w:r>
            <w:r>
              <w:rPr>
                <w:rFonts w:ascii="Arial" w:cs="Arial" w:eastAsia="Arial" w:hAnsi="Arial"/>
                <w:sz w:val="19"/>
                <w:szCs w:val="19"/>
                <w:color w:val="auto"/>
                <w:vertAlign w:val="superscript"/>
              </w:rPr>
              <w:t>(2)</w:t>
            </w:r>
          </w:p>
        </w:tc>
        <w:tc>
          <w:tcPr>
            <w:tcW w:w="14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62,159</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62,159</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2024 Notes </w:t>
            </w:r>
            <w:r>
              <w:rPr>
                <w:rFonts w:ascii="Arial" w:cs="Arial" w:eastAsia="Arial" w:hAnsi="Arial"/>
                <w:sz w:val="19"/>
                <w:szCs w:val="19"/>
                <w:color w:val="auto"/>
                <w:vertAlign w:val="superscript"/>
              </w:rPr>
              <w:t>(2)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84,503</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84,503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Borders>
              <w:bottom w:val="single" w:sz="8" w:color="CCECFF"/>
            </w:tcBorders>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2026 Notes </w:t>
            </w:r>
            <w:r>
              <w:rPr>
                <w:rFonts w:ascii="Arial" w:cs="Arial" w:eastAsia="Arial" w:hAnsi="Arial"/>
                <w:sz w:val="19"/>
                <w:szCs w:val="19"/>
                <w:color w:val="auto"/>
                <w:vertAlign w:val="superscript"/>
              </w:rPr>
              <w:t>(2)</w:t>
            </w:r>
          </w:p>
        </w:tc>
        <w:tc>
          <w:tcPr>
            <w:tcW w:w="1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145,865</w:t>
            </w:r>
          </w:p>
        </w:tc>
        <w:tc>
          <w:tcPr>
            <w:tcW w:w="2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145,865</w:t>
            </w: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380"/>
              <w:spacing w:after="0"/>
              <w:rPr>
                <w:sz w:val="20"/>
                <w:szCs w:val="20"/>
                <w:color w:val="auto"/>
              </w:rPr>
            </w:pPr>
            <w:r>
              <w:rPr>
                <w:rFonts w:ascii="Arial" w:cs="Arial" w:eastAsia="Arial" w:hAnsi="Arial"/>
                <w:sz w:val="14"/>
                <w:szCs w:val="14"/>
                <w:color w:val="auto"/>
              </w:rPr>
              <w:t>Total debt</w:t>
            </w:r>
          </w:p>
        </w:tc>
        <w:tc>
          <w:tcPr>
            <w:tcW w:w="3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607,340</w:t>
            </w:r>
          </w:p>
        </w:tc>
        <w:tc>
          <w:tcPr>
            <w:tcW w:w="54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84,503</w:t>
            </w: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145,865</w:t>
            </w:r>
          </w:p>
        </w:tc>
        <w:tc>
          <w:tcPr>
            <w:tcW w:w="5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376,972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-616585</wp:posOffset>
            </wp:positionV>
            <wp:extent cx="768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-599440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-616585</wp:posOffset>
            </wp:positionV>
            <wp:extent cx="768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-599440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-616585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-599440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-616585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-599440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-616585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-142240</wp:posOffset>
            </wp:positionV>
            <wp:extent cx="7683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-142240</wp:posOffset>
            </wp:positionV>
            <wp:extent cx="76835"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-142240</wp:posOffset>
            </wp:positionV>
            <wp:extent cx="6858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-142240</wp:posOffset>
            </wp:positionV>
            <wp:extent cx="6858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0" w:lineRule="exact"/>
        <w:rPr>
          <w:sz w:val="20"/>
          <w:szCs w:val="20"/>
          <w:color w:val="auto"/>
        </w:rPr>
      </w:pPr>
    </w:p>
    <w:p>
      <w:pPr>
        <w:ind w:left="480" w:right="160" w:hanging="459"/>
        <w:spacing w:after="0" w:line="231"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ind w:left="480" w:right="480" w:hanging="459"/>
        <w:spacing w:after="0" w:line="225" w:lineRule="auto"/>
        <w:tabs>
          <w:tab w:leader="none" w:pos="4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We elected not to apply ASC 825-10 to the SBA debentures or the 2024 Notes and the 2026 Notes and thus the balance reported in the Consolidated Statement of Assets and Liabilities represents the carrying value. As of September 30, 2021, the carrying value of the SBA debentures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1912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38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8"/>
              </w:rPr>
              <w:t>June 30, 2022</w:t>
            </w: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10060" w:type="dxa"/>
            <w:vAlign w:val="bottom"/>
            <w:gridSpan w:val="11"/>
          </w:tcPr>
          <w:p>
            <w:pPr>
              <w:ind w:left="460"/>
              <w:spacing w:after="0"/>
              <w:rPr>
                <w:sz w:val="20"/>
                <w:szCs w:val="20"/>
                <w:color w:val="auto"/>
              </w:rPr>
            </w:pPr>
            <w:r>
              <w:rPr>
                <w:rFonts w:ascii="Arial" w:cs="Arial" w:eastAsia="Arial" w:hAnsi="Arial"/>
                <w:sz w:val="14"/>
                <w:szCs w:val="14"/>
                <w:color w:val="auto"/>
                <w:w w:val="94"/>
              </w:rPr>
              <w:t>The tables below show a reconciliation of the beginning and ending balances for investments measured at fair value using significant unobservable inputs (Level 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left="788"/>
              <w:spacing w:after="0"/>
              <w:rPr>
                <w:sz w:val="20"/>
                <w:szCs w:val="20"/>
                <w:color w:val="auto"/>
              </w:rPr>
            </w:pPr>
            <w:r>
              <w:rPr>
                <w:rFonts w:ascii="Arial" w:cs="Arial" w:eastAsia="Arial" w:hAnsi="Arial"/>
                <w:sz w:val="14"/>
                <w:szCs w:val="14"/>
                <w:b w:val="1"/>
                <w:bCs w:val="1"/>
                <w:color w:val="auto"/>
                <w:w w:val="93"/>
              </w:rPr>
              <w:t>Nine Months Ended June 30, 2022</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1"/>
                <w:szCs w:val="11"/>
                <w:color w:val="auto"/>
              </w:rPr>
            </w:pPr>
          </w:p>
        </w:tc>
        <w:tc>
          <w:tcPr>
            <w:tcW w:w="1460" w:type="dxa"/>
            <w:vAlign w:val="bottom"/>
            <w:gridSpan w:val="3"/>
          </w:tcPr>
          <w:p>
            <w:pPr>
              <w:jc w:val="center"/>
              <w:ind w:right="520"/>
              <w:spacing w:after="0" w:line="133" w:lineRule="exact"/>
              <w:rPr>
                <w:sz w:val="20"/>
                <w:szCs w:val="20"/>
                <w:color w:val="auto"/>
              </w:rPr>
            </w:pPr>
            <w:r>
              <w:rPr>
                <w:rFonts w:ascii="Arial" w:cs="Arial" w:eastAsia="Arial" w:hAnsi="Arial"/>
                <w:sz w:val="14"/>
                <w:szCs w:val="14"/>
                <w:b w:val="1"/>
                <w:bCs w:val="1"/>
                <w:color w:val="auto"/>
                <w:w w:val="98"/>
              </w:rPr>
              <w:t>Equity</w:t>
            </w:r>
          </w:p>
        </w:tc>
        <w:tc>
          <w:tcPr>
            <w:tcW w:w="380" w:type="dxa"/>
            <w:vAlign w:val="bottom"/>
          </w:tcPr>
          <w:p>
            <w:pPr>
              <w:spacing w:after="0"/>
              <w:rPr>
                <w:sz w:val="11"/>
                <w:szCs w:val="11"/>
                <w:color w:val="auto"/>
              </w:rPr>
            </w:pP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color w:val="auto"/>
              </w:rPr>
              <w:t>($ in thousands)</w:t>
            </w: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9"/>
                <w:szCs w:val="9"/>
                <w:color w:val="auto"/>
              </w:rPr>
            </w:pPr>
          </w:p>
        </w:tc>
        <w:tc>
          <w:tcPr>
            <w:tcW w:w="14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9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850,593</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360,428</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1,211,021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380"/>
              <w:spacing w:after="0"/>
              <w:rPr>
                <w:sz w:val="20"/>
                <w:szCs w:val="20"/>
                <w:color w:val="auto"/>
              </w:rPr>
            </w:pPr>
            <w:r>
              <w:rPr>
                <w:rFonts w:ascii="Arial" w:cs="Arial" w:eastAsia="Arial" w:hAnsi="Arial"/>
                <w:sz w:val="14"/>
                <w:szCs w:val="14"/>
                <w:color w:val="auto"/>
              </w:rPr>
              <w:t>Net realized (loss) gain</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(10,046 )</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92,381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82,335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Net change in unrealized appreciation</w:t>
            </w:r>
          </w:p>
        </w:tc>
        <w:tc>
          <w:tcPr>
            <w:tcW w:w="9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(18,198 )</w:t>
            </w:r>
          </w:p>
        </w:tc>
        <w:tc>
          <w:tcPr>
            <w:tcW w:w="240" w:type="dxa"/>
            <w:vAlign w:val="bottom"/>
            <w:shd w:val="clear" w:color="auto" w:fill="CCECFF"/>
          </w:tcPr>
          <w:p>
            <w:pPr>
              <w:spacing w:after="0"/>
              <w:rPr>
                <w:sz w:val="15"/>
                <w:szCs w:val="15"/>
                <w:color w:val="auto"/>
              </w:rPr>
            </w:pPr>
          </w:p>
        </w:tc>
        <w:tc>
          <w:tcPr>
            <w:tcW w:w="1460" w:type="dxa"/>
            <w:vAlign w:val="bottom"/>
            <w:gridSpan w:val="3"/>
            <w:shd w:val="clear" w:color="auto" w:fill="CCECFF"/>
          </w:tcPr>
          <w:p>
            <w:pPr>
              <w:jc w:val="right"/>
              <w:ind w:right="220"/>
              <w:spacing w:after="0"/>
              <w:rPr>
                <w:sz w:val="20"/>
                <w:szCs w:val="20"/>
                <w:color w:val="auto"/>
              </w:rPr>
            </w:pPr>
            <w:r>
              <w:rPr>
                <w:rFonts w:ascii="Arial" w:cs="Arial" w:eastAsia="Arial" w:hAnsi="Arial"/>
                <w:sz w:val="14"/>
                <w:szCs w:val="14"/>
                <w:color w:val="auto"/>
              </w:rPr>
              <w:t>(77,122 )</w:t>
            </w:r>
          </w:p>
        </w:tc>
        <w:tc>
          <w:tcPr>
            <w:tcW w:w="3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(95,320 )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746,389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73,925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820,314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9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(596,101 )</w:t>
            </w:r>
          </w:p>
        </w:tc>
        <w:tc>
          <w:tcPr>
            <w:tcW w:w="240" w:type="dxa"/>
            <w:vAlign w:val="bottom"/>
            <w:shd w:val="clear" w:color="auto" w:fill="CCECFF"/>
          </w:tcPr>
          <w:p>
            <w:pPr>
              <w:spacing w:after="0"/>
              <w:rPr>
                <w:sz w:val="15"/>
                <w:szCs w:val="15"/>
                <w:color w:val="auto"/>
              </w:rPr>
            </w:pPr>
          </w:p>
        </w:tc>
        <w:tc>
          <w:tcPr>
            <w:tcW w:w="1460" w:type="dxa"/>
            <w:vAlign w:val="bottom"/>
            <w:gridSpan w:val="3"/>
            <w:shd w:val="clear" w:color="auto" w:fill="CCECFF"/>
          </w:tcPr>
          <w:p>
            <w:pPr>
              <w:jc w:val="right"/>
              <w:ind w:right="220"/>
              <w:spacing w:after="0"/>
              <w:rPr>
                <w:sz w:val="20"/>
                <w:szCs w:val="20"/>
                <w:color w:val="auto"/>
              </w:rPr>
            </w:pPr>
            <w:r>
              <w:rPr>
                <w:rFonts w:ascii="Arial" w:cs="Arial" w:eastAsia="Arial" w:hAnsi="Arial"/>
                <w:sz w:val="14"/>
                <w:szCs w:val="14"/>
                <w:color w:val="auto"/>
              </w:rPr>
              <w:t>(176,215 )</w:t>
            </w:r>
          </w:p>
        </w:tc>
        <w:tc>
          <w:tcPr>
            <w:tcW w:w="3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(772,316 )</w:t>
            </w: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Transfers in/out of Level 3</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1160" w:type="dxa"/>
            <w:vAlign w:val="bottom"/>
            <w:tcBorders>
              <w:bottom w:val="single" w:sz="8" w:color="CCECFF"/>
            </w:tcBorders>
            <w:gridSpan w:val="2"/>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972,637</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273,397</w:t>
            </w:r>
          </w:p>
        </w:tc>
        <w:tc>
          <w:tcPr>
            <w:tcW w:w="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top w:val="single" w:sz="8" w:color="auto"/>
              <w:bottom w:val="single" w:sz="8" w:color="auto"/>
            </w:tcBorders>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1,246,034</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120" w:type="dxa"/>
            <w:vAlign w:val="bottom"/>
          </w:tcPr>
          <w:p>
            <w:pPr>
              <w:ind w:left="20"/>
              <w:spacing w:after="0" w:line="124" w:lineRule="exact"/>
              <w:rPr>
                <w:sz w:val="20"/>
                <w:szCs w:val="20"/>
                <w:color w:val="auto"/>
              </w:rPr>
            </w:pPr>
            <w:r>
              <w:rPr>
                <w:rFonts w:ascii="Arial" w:cs="Arial" w:eastAsia="Arial" w:hAnsi="Arial"/>
                <w:sz w:val="14"/>
                <w:szCs w:val="14"/>
                <w:color w:val="auto"/>
              </w:rPr>
              <w:t>Net change in unrealized appreciation reported within the net change in</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appreciation on investments in our Consolidated Statements of Operations</w:t>
            </w:r>
          </w:p>
        </w:tc>
        <w:tc>
          <w:tcPr>
            <w:tcW w:w="1160" w:type="dxa"/>
            <w:vAlign w:val="bottom"/>
            <w:gridSpan w:val="2"/>
            <w:vMerge w:val="restart"/>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(13,953,543 )</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(77,771,348 )</w:t>
            </w: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11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(91,724,891 )</w:t>
            </w:r>
          </w:p>
        </w:tc>
        <w:tc>
          <w:tcPr>
            <w:tcW w:w="0" w:type="dxa"/>
            <w:vAlign w:val="bottom"/>
          </w:tcPr>
          <w:p>
            <w:pPr>
              <w:spacing w:after="0"/>
              <w:rPr>
                <w:sz w:val="1"/>
                <w:szCs w:val="1"/>
                <w:color w:val="auto"/>
              </w:rPr>
            </w:pPr>
          </w:p>
        </w:tc>
      </w:tr>
      <w:tr>
        <w:trPr>
          <w:trHeight w:val="140"/>
        </w:trPr>
        <w:tc>
          <w:tcPr>
            <w:tcW w:w="5120" w:type="dxa"/>
            <w:vAlign w:val="bottom"/>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1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left="788"/>
              <w:spacing w:after="0"/>
              <w:rPr>
                <w:sz w:val="20"/>
                <w:szCs w:val="20"/>
                <w:color w:val="auto"/>
              </w:rPr>
            </w:pPr>
            <w:r>
              <w:rPr>
                <w:rFonts w:ascii="Arial" w:cs="Arial" w:eastAsia="Arial" w:hAnsi="Arial"/>
                <w:sz w:val="14"/>
                <w:szCs w:val="14"/>
                <w:b w:val="1"/>
                <w:bCs w:val="1"/>
                <w:color w:val="auto"/>
                <w:w w:val="93"/>
              </w:rPr>
              <w:t>Nine Months Ended June 30, 2021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40" w:type="dxa"/>
            <w:vAlign w:val="bottom"/>
          </w:tcPr>
          <w:p>
            <w:pPr>
              <w:spacing w:after="0"/>
              <w:rPr>
                <w:sz w:val="11"/>
                <w:szCs w:val="11"/>
                <w:color w:val="auto"/>
              </w:rPr>
            </w:pPr>
          </w:p>
        </w:tc>
        <w:tc>
          <w:tcPr>
            <w:tcW w:w="146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3"/>
              </w:rPr>
              <w:t>Equity</w:t>
            </w:r>
          </w:p>
        </w:tc>
        <w:tc>
          <w:tcPr>
            <w:tcW w:w="380" w:type="dxa"/>
            <w:vAlign w:val="bottom"/>
          </w:tcPr>
          <w:p>
            <w:pPr>
              <w:spacing w:after="0"/>
              <w:rPr>
                <w:sz w:val="11"/>
                <w:szCs w:val="11"/>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Description </w:t>
            </w:r>
            <w:r>
              <w:rPr>
                <w:rFonts w:ascii="Arial" w:cs="Arial" w:eastAsia="Arial" w:hAnsi="Arial"/>
                <w:sz w:val="14"/>
                <w:szCs w:val="14"/>
                <w:color w:val="auto"/>
              </w:rPr>
              <w:t>($ in thousands)</w:t>
            </w: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Pr>
          <w:p>
            <w:pPr>
              <w:spacing w:after="0"/>
              <w:rPr>
                <w:sz w:val="9"/>
                <w:szCs w:val="9"/>
                <w:color w:val="auto"/>
              </w:rPr>
            </w:pPr>
          </w:p>
        </w:tc>
        <w:tc>
          <w:tcPr>
            <w:tcW w:w="14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3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12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1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Beginning Balance</w:t>
            </w:r>
          </w:p>
        </w:tc>
        <w:tc>
          <w:tcPr>
            <w:tcW w:w="980" w:type="dxa"/>
            <w:vAlign w:val="bottom"/>
            <w:tcBorders>
              <w:top w:val="single" w:sz="8" w:color="auto"/>
            </w:tcBorders>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773,426</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270,754</w:t>
            </w:r>
          </w:p>
        </w:tc>
        <w:tc>
          <w:tcPr>
            <w:tcW w:w="26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1,044,180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80"/>
              <w:spacing w:after="0"/>
              <w:rPr>
                <w:sz w:val="20"/>
                <w:szCs w:val="20"/>
                <w:color w:val="auto"/>
              </w:rPr>
            </w:pPr>
            <w:r>
              <w:rPr>
                <w:rFonts w:ascii="Arial" w:cs="Arial" w:eastAsia="Arial" w:hAnsi="Arial"/>
                <w:sz w:val="14"/>
                <w:szCs w:val="14"/>
                <w:color w:val="auto"/>
              </w:rPr>
              <w:t>Net realized gain (loss)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(7,474 )</w:t>
            </w:r>
          </w:p>
        </w:tc>
        <w:tc>
          <w:tcPr>
            <w:tcW w:w="24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31,837</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Net change in unrealized depreciation</w:t>
            </w:r>
          </w:p>
        </w:tc>
        <w:tc>
          <w:tcPr>
            <w:tcW w:w="9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31,261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74,168</w:t>
            </w:r>
          </w:p>
        </w:tc>
        <w:tc>
          <w:tcPr>
            <w:tcW w:w="26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105,429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38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313,041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37,058</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350,099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380"/>
              <w:spacing w:after="0"/>
              <w:rPr>
                <w:sz w:val="20"/>
                <w:szCs w:val="20"/>
                <w:color w:val="auto"/>
              </w:rPr>
            </w:pPr>
            <w:r>
              <w:rPr>
                <w:rFonts w:ascii="Arial" w:cs="Arial" w:eastAsia="Arial" w:hAnsi="Arial"/>
                <w:sz w:val="14"/>
                <w:szCs w:val="14"/>
                <w:color w:val="auto"/>
              </w:rPr>
              <w:t>Sales, repayments and non-cash exchanges</w:t>
            </w:r>
          </w:p>
        </w:tc>
        <w:tc>
          <w:tcPr>
            <w:tcW w:w="98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(358,632 )</w:t>
            </w:r>
          </w:p>
        </w:tc>
        <w:tc>
          <w:tcPr>
            <w:tcW w:w="240" w:type="dxa"/>
            <w:vAlign w:val="bottom"/>
            <w:shd w:val="clear" w:color="auto" w:fill="CCECFF"/>
          </w:tcPr>
          <w:p>
            <w:pPr>
              <w:spacing w:after="0"/>
              <w:rPr>
                <w:sz w:val="15"/>
                <w:szCs w:val="15"/>
                <w:color w:val="auto"/>
              </w:rPr>
            </w:pPr>
          </w:p>
        </w:tc>
        <w:tc>
          <w:tcPr>
            <w:tcW w:w="1460" w:type="dxa"/>
            <w:vAlign w:val="bottom"/>
            <w:gridSpan w:val="3"/>
            <w:shd w:val="clear" w:color="auto" w:fill="CCECFF"/>
          </w:tcPr>
          <w:p>
            <w:pPr>
              <w:jc w:val="right"/>
              <w:ind w:right="200"/>
              <w:spacing w:after="0"/>
              <w:rPr>
                <w:sz w:val="20"/>
                <w:szCs w:val="20"/>
                <w:color w:val="auto"/>
              </w:rPr>
            </w:pPr>
            <w:r>
              <w:rPr>
                <w:rFonts w:ascii="Arial" w:cs="Arial" w:eastAsia="Arial" w:hAnsi="Arial"/>
                <w:sz w:val="14"/>
                <w:szCs w:val="14"/>
                <w:color w:val="auto"/>
              </w:rPr>
              <w:t>(60,427 )</w:t>
            </w:r>
          </w:p>
        </w:tc>
        <w:tc>
          <w:tcPr>
            <w:tcW w:w="380" w:type="dxa"/>
            <w:vAlign w:val="bottom"/>
            <w:shd w:val="clear" w:color="auto" w:fill="CCECFF"/>
          </w:tcPr>
          <w:p>
            <w:pPr>
              <w:spacing w:after="0"/>
              <w:rPr>
                <w:sz w:val="15"/>
                <w:szCs w:val="15"/>
                <w:color w:val="auto"/>
              </w:rPr>
            </w:pPr>
          </w:p>
        </w:tc>
        <w:tc>
          <w:tcPr>
            <w:tcW w:w="1180" w:type="dxa"/>
            <w:vAlign w:val="bottom"/>
            <w:gridSpan w:val="2"/>
            <w:shd w:val="clear" w:color="auto" w:fill="CCECFF"/>
          </w:tcPr>
          <w:p>
            <w:pPr>
              <w:jc w:val="right"/>
              <w:ind w:right="40"/>
              <w:spacing w:after="0"/>
              <w:rPr>
                <w:sz w:val="20"/>
                <w:szCs w:val="20"/>
                <w:color w:val="auto"/>
              </w:rPr>
            </w:pPr>
            <w:r>
              <w:rPr>
                <w:rFonts w:ascii="Arial" w:cs="Arial" w:eastAsia="Arial" w:hAnsi="Arial"/>
                <w:sz w:val="14"/>
                <w:szCs w:val="14"/>
                <w:color w:val="auto"/>
              </w:rPr>
              <w:t>(419,059 )</w:t>
            </w:r>
          </w:p>
        </w:tc>
        <w:tc>
          <w:tcPr>
            <w:tcW w:w="0" w:type="dxa"/>
            <w:vAlign w:val="bottom"/>
          </w:tcPr>
          <w:p>
            <w:pPr>
              <w:spacing w:after="0"/>
              <w:rPr>
                <w:sz w:val="1"/>
                <w:szCs w:val="1"/>
                <w:color w:val="auto"/>
              </w:rPr>
            </w:pPr>
          </w:p>
        </w:tc>
      </w:tr>
      <w:tr>
        <w:trPr>
          <w:trHeight w:val="175"/>
        </w:trPr>
        <w:tc>
          <w:tcPr>
            <w:tcW w:w="5120" w:type="dxa"/>
            <w:vAlign w:val="bottom"/>
          </w:tcPr>
          <w:p>
            <w:pPr>
              <w:ind w:left="380"/>
              <w:spacing w:after="0"/>
              <w:rPr>
                <w:sz w:val="20"/>
                <w:szCs w:val="20"/>
                <w:color w:val="auto"/>
              </w:rPr>
            </w:pPr>
            <w:r>
              <w:rPr>
                <w:rFonts w:ascii="Arial" w:cs="Arial" w:eastAsia="Arial" w:hAnsi="Arial"/>
                <w:sz w:val="14"/>
                <w:szCs w:val="14"/>
                <w:color w:val="auto"/>
              </w:rPr>
              <w:t>Transfers in/out of Level 3</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Ending Balance</w:t>
            </w:r>
          </w:p>
        </w:tc>
        <w:tc>
          <w:tcPr>
            <w:tcW w:w="1160" w:type="dxa"/>
            <w:vAlign w:val="bottom"/>
            <w:tcBorders>
              <w:bottom w:val="single" w:sz="8" w:color="CCECFF"/>
            </w:tcBorders>
            <w:gridSpan w:val="2"/>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751,622</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353,390</w:t>
            </w:r>
          </w:p>
        </w:tc>
        <w:tc>
          <w:tcPr>
            <w:tcW w:w="2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top w:val="single" w:sz="8" w:color="auto"/>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1,105,012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120" w:type="dxa"/>
            <w:vAlign w:val="bottom"/>
          </w:tcPr>
          <w:p>
            <w:pPr>
              <w:ind w:left="20"/>
              <w:spacing w:after="0" w:line="124" w:lineRule="exact"/>
              <w:rPr>
                <w:sz w:val="20"/>
                <w:szCs w:val="20"/>
                <w:color w:val="auto"/>
              </w:rPr>
            </w:pPr>
            <w:r>
              <w:rPr>
                <w:rFonts w:ascii="Arial" w:cs="Arial" w:eastAsia="Arial" w:hAnsi="Arial"/>
                <w:sz w:val="14"/>
                <w:szCs w:val="14"/>
                <w:color w:val="auto"/>
              </w:rPr>
              <w:t>Net change in unrealized depreciation reported within the net change in</w:t>
            </w: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ind w:left="120"/>
              <w:spacing w:after="0" w:line="149" w:lineRule="exact"/>
              <w:rPr>
                <w:sz w:val="20"/>
                <w:szCs w:val="20"/>
                <w:color w:val="auto"/>
              </w:rPr>
            </w:pPr>
            <w:r>
              <w:rPr>
                <w:rFonts w:ascii="Arial" w:cs="Arial" w:eastAsia="Arial" w:hAnsi="Arial"/>
                <w:sz w:val="14"/>
                <w:szCs w:val="14"/>
                <w:color w:val="auto"/>
                <w:w w:val="93"/>
              </w:rPr>
              <w:t>unrealized depreciation on investments in our Consolidated Statements of Operations</w:t>
            </w:r>
          </w:p>
        </w:tc>
        <w:tc>
          <w:tcPr>
            <w:tcW w:w="138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29,987</w:t>
            </w:r>
          </w:p>
        </w:tc>
        <w:tc>
          <w:tcPr>
            <w:tcW w:w="260" w:type="dxa"/>
            <w:vAlign w:val="bottom"/>
          </w:tcPr>
          <w:p>
            <w:pPr>
              <w:spacing w:after="0"/>
              <w:rPr>
                <w:sz w:val="12"/>
                <w:szCs w:val="12"/>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67,653</w:t>
            </w:r>
          </w:p>
        </w:tc>
        <w:tc>
          <w:tcPr>
            <w:tcW w:w="260" w:type="dxa"/>
            <w:vAlign w:val="bottom"/>
          </w:tcPr>
          <w:p>
            <w:pPr>
              <w:spacing w:after="0"/>
              <w:rPr>
                <w:sz w:val="12"/>
                <w:szCs w:val="12"/>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20" w:type="dxa"/>
            <w:vAlign w:val="bottom"/>
          </w:tcPr>
          <w:p>
            <w:pPr>
              <w:ind w:left="120"/>
              <w:spacing w:after="0" w:line="121" w:lineRule="exact"/>
              <w:rPr>
                <w:sz w:val="20"/>
                <w:szCs w:val="20"/>
                <w:color w:val="auto"/>
              </w:rPr>
            </w:pPr>
            <w:r>
              <w:rPr>
                <w:rFonts w:ascii="Arial" w:cs="Arial" w:eastAsia="Arial" w:hAnsi="Arial"/>
                <w:sz w:val="13"/>
                <w:szCs w:val="13"/>
                <w:color w:val="auto"/>
              </w:rPr>
              <w:t>attributable to our Level 3 assets still held at the reporting date</w:t>
            </w:r>
          </w:p>
        </w:tc>
        <w:tc>
          <w:tcPr>
            <w:tcW w:w="1380" w:type="dxa"/>
            <w:vAlign w:val="bottom"/>
            <w:gridSpan w:val="3"/>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-1902460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-1885315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-1902460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-1885315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-325120</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-307975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-325120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-307975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 below shows a reconciliation of the beginning and ending balances for liabilities measured at fair value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69"/>
        </w:trPr>
        <w:tc>
          <w:tcPr>
            <w:tcW w:w="768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Long-Term Credit Facility</w:t>
            </w: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0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Beginning Balance (cost – $316,545 and $380,252, respectively)</w:t>
            </w:r>
          </w:p>
        </w:tc>
        <w:tc>
          <w:tcPr>
            <w:tcW w:w="18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314,813</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360,702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7420" w:type="dxa"/>
            <w:vAlign w:val="bottom"/>
            <w:gridSpan w:val="2"/>
          </w:tcPr>
          <w:p>
            <w:pPr>
              <w:ind w:left="12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8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(9,183 )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18,494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shd w:val="clear" w:color="auto" w:fill="CCECFF"/>
          </w:tcPr>
          <w:p>
            <w:pPr>
              <w:spacing w:after="0"/>
              <w:rPr>
                <w:sz w:val="15"/>
                <w:szCs w:val="15"/>
                <w:color w:val="auto"/>
              </w:rPr>
            </w:pPr>
          </w:p>
        </w:tc>
        <w:tc>
          <w:tcPr>
            <w:tcW w:w="7420" w:type="dxa"/>
            <w:vAlign w:val="bottom"/>
            <w:gridSpan w:val="2"/>
            <w:shd w:val="clear" w:color="auto" w:fill="CCECFF"/>
          </w:tcPr>
          <w:p>
            <w:pPr>
              <w:ind w:left="120"/>
              <w:spacing w:after="0" w:line="175"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9"/>
                <w:szCs w:val="19"/>
                <w:color w:val="auto"/>
                <w:vertAlign w:val="superscript"/>
              </w:rPr>
              <w:t>(1)</w:t>
            </w:r>
          </w:p>
        </w:tc>
        <w:tc>
          <w:tcPr>
            <w:tcW w:w="38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815,841</w:t>
            </w:r>
          </w:p>
        </w:tc>
        <w:tc>
          <w:tcPr>
            <w:tcW w:w="30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148,312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7420" w:type="dxa"/>
            <w:vAlign w:val="bottom"/>
            <w:gridSpan w:val="2"/>
          </w:tcPr>
          <w:p>
            <w:pPr>
              <w:ind w:left="120"/>
              <w:spacing w:after="0" w:line="175"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9"/>
                <w:szCs w:val="19"/>
                <w:color w:val="auto"/>
                <w:vertAlign w:val="superscript"/>
              </w:rPr>
              <w:t>(1)</w:t>
            </w:r>
          </w:p>
        </w:tc>
        <w:tc>
          <w:tcPr>
            <w:tcW w:w="38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(709,466 )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(314,019 )</w:t>
            </w:r>
          </w:p>
        </w:tc>
        <w:tc>
          <w:tcPr>
            <w:tcW w:w="0" w:type="dxa"/>
            <w:vAlign w:val="bottom"/>
          </w:tcPr>
          <w:p>
            <w:pPr>
              <w:spacing w:after="0"/>
              <w:rPr>
                <w:sz w:val="1"/>
                <w:szCs w:val="1"/>
                <w:color w:val="auto"/>
              </w:rPr>
            </w:pPr>
          </w:p>
        </w:tc>
      </w:tr>
      <w:tr>
        <w:trPr>
          <w:trHeight w:val="175"/>
        </w:trPr>
        <w:tc>
          <w:tcPr>
            <w:tcW w:w="260" w:type="dxa"/>
            <w:vAlign w:val="bottom"/>
            <w:shd w:val="clear" w:color="auto" w:fill="CCECFF"/>
          </w:tcPr>
          <w:p>
            <w:pPr>
              <w:spacing w:after="0"/>
              <w:rPr>
                <w:sz w:val="15"/>
                <w:szCs w:val="15"/>
                <w:color w:val="auto"/>
              </w:rPr>
            </w:pPr>
          </w:p>
        </w:tc>
        <w:tc>
          <w:tcPr>
            <w:tcW w:w="742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Transfers in and/or out of Level 3</w:t>
            </w:r>
          </w:p>
        </w:tc>
        <w:tc>
          <w:tcPr>
            <w:tcW w:w="380" w:type="dxa"/>
            <w:vAlign w:val="bottom"/>
            <w:shd w:val="clear" w:color="auto" w:fill="CCECFF"/>
          </w:tcPr>
          <w:p>
            <w:pPr>
              <w:spacing w:after="0"/>
              <w:rPr>
                <w:sz w:val="15"/>
                <w:szCs w:val="15"/>
                <w:color w:val="auto"/>
              </w:rPr>
            </w:pPr>
          </w:p>
        </w:tc>
        <w:tc>
          <w:tcPr>
            <w:tcW w:w="150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680" w:type="dxa"/>
            <w:vAlign w:val="bottom"/>
            <w:tcBorders>
              <w:top w:val="single" w:sz="8" w:color="CCECFF"/>
            </w:tcBorders>
            <w:gridSpan w:val="3"/>
          </w:tcPr>
          <w:p>
            <w:pPr>
              <w:ind w:left="20"/>
              <w:spacing w:after="0" w:line="155" w:lineRule="exact"/>
              <w:rPr>
                <w:sz w:val="20"/>
                <w:szCs w:val="20"/>
                <w:color w:val="auto"/>
              </w:rPr>
            </w:pPr>
            <w:r>
              <w:rPr>
                <w:rFonts w:ascii="Arial" w:cs="Arial" w:eastAsia="Arial" w:hAnsi="Arial"/>
                <w:sz w:val="14"/>
                <w:szCs w:val="14"/>
                <w:color w:val="auto"/>
              </w:rPr>
              <w:t>Ending Balance (cost – $422,920 and $214,545, respectively)</w:t>
            </w:r>
          </w:p>
        </w:tc>
        <w:tc>
          <w:tcPr>
            <w:tcW w:w="3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412,005</w:t>
            </w:r>
          </w:p>
        </w:tc>
        <w:tc>
          <w:tcPr>
            <w:tcW w:w="30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213,489</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0" w:type="dxa"/>
            <w:vAlign w:val="bottom"/>
            <w:tcBorders>
              <w:bottom w:val="single" w:sz="8" w:color="CCECFF"/>
            </w:tcBorders>
            <w:shd w:val="clear" w:color="auto" w:fill="CCECFF"/>
          </w:tcPr>
          <w:p>
            <w:pPr>
              <w:spacing w:after="0"/>
              <w:rPr>
                <w:sz w:val="13"/>
                <w:szCs w:val="13"/>
                <w:color w:val="auto"/>
              </w:rPr>
            </w:pPr>
          </w:p>
        </w:tc>
        <w:tc>
          <w:tcPr>
            <w:tcW w:w="7420" w:type="dxa"/>
            <w:vAlign w:val="bottom"/>
            <w:tcBorders>
              <w:bottom w:val="single" w:sz="8" w:color="CCECFF"/>
            </w:tcBorders>
            <w:gridSpan w:val="2"/>
            <w:shd w:val="clear" w:color="auto" w:fill="CCECFF"/>
          </w:tcPr>
          <w:p>
            <w:pPr>
              <w:ind w:left="120"/>
              <w:spacing w:after="0" w:line="156" w:lineRule="exact"/>
              <w:rPr>
                <w:sz w:val="20"/>
                <w:szCs w:val="20"/>
                <w:color w:val="auto"/>
              </w:rPr>
            </w:pPr>
            <w:r>
              <w:rPr>
                <w:rFonts w:ascii="Arial" w:cs="Arial" w:eastAsia="Arial" w:hAnsi="Arial"/>
                <w:sz w:val="14"/>
                <w:szCs w:val="14"/>
                <w:color w:val="auto"/>
              </w:rPr>
              <w:t>Temporary draws outstanding, at cost</w:t>
            </w:r>
          </w:p>
        </w:tc>
        <w:tc>
          <w:tcPr>
            <w:tcW w:w="38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20" w:type="dxa"/>
            <w:vAlign w:val="bottom"/>
            <w:tcBorders>
              <w:top w:val="single" w:sz="8" w:color="auto"/>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8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Ending Balance (cost – $422,920 and $214,545, respectively)</w:t>
            </w:r>
          </w:p>
        </w:tc>
        <w:tc>
          <w:tcPr>
            <w:tcW w:w="3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412,005</w:t>
            </w: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0"/>
                <w:szCs w:val="10"/>
                <w:color w:val="auto"/>
              </w:rPr>
              <w:t>(1)</w:t>
            </w:r>
          </w:p>
        </w:tc>
        <w:tc>
          <w:tcPr>
            <w:tcW w:w="7420" w:type="dxa"/>
            <w:vAlign w:val="bottom"/>
            <w:gridSpan w:val="2"/>
            <w:vMerge w:val="restart"/>
          </w:tcPr>
          <w:p>
            <w:pPr>
              <w:ind w:left="120"/>
              <w:spacing w:after="0"/>
              <w:rPr>
                <w:sz w:val="20"/>
                <w:szCs w:val="20"/>
                <w:color w:val="auto"/>
              </w:rPr>
            </w:pPr>
            <w:r>
              <w:rPr>
                <w:rFonts w:ascii="Arial" w:cs="Arial" w:eastAsia="Arial" w:hAnsi="Arial"/>
                <w:sz w:val="14"/>
                <w:szCs w:val="14"/>
                <w:color w:val="auto"/>
              </w:rPr>
              <w:t>Excludes temporary draws.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60" w:type="dxa"/>
            <w:vAlign w:val="bottom"/>
            <w:vMerge w:val="continue"/>
          </w:tcPr>
          <w:p>
            <w:pPr>
              <w:spacing w:after="0"/>
              <w:rPr>
                <w:sz w:val="21"/>
                <w:szCs w:val="21"/>
                <w:color w:val="auto"/>
              </w:rPr>
            </w:pPr>
          </w:p>
        </w:tc>
        <w:tc>
          <w:tcPr>
            <w:tcW w:w="742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-571500</wp:posOffset>
            </wp:positionV>
            <wp:extent cx="6858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-571500</wp:posOffset>
            </wp:positionV>
            <wp:extent cx="6858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-314325</wp:posOffset>
            </wp:positionV>
            <wp:extent cx="6858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-314325</wp:posOffset>
            </wp:positionV>
            <wp:extent cx="6858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2" w:lineRule="exact"/>
        <w:rPr>
          <w:sz w:val="20"/>
          <w:szCs w:val="20"/>
          <w:color w:val="auto"/>
        </w:rPr>
      </w:pPr>
    </w:p>
    <w:p>
      <w:pPr>
        <w:ind w:right="220" w:firstLine="449"/>
        <w:spacing w:after="0" w:line="273" w:lineRule="auto"/>
        <w:rPr>
          <w:sz w:val="20"/>
          <w:szCs w:val="20"/>
          <w:color w:val="auto"/>
        </w:rPr>
      </w:pPr>
      <w:r>
        <w:rPr>
          <w:rFonts w:ascii="Arial" w:cs="Arial" w:eastAsia="Arial" w:hAnsi="Arial"/>
          <w:sz w:val="14"/>
          <w:szCs w:val="14"/>
          <w:color w:val="auto"/>
        </w:rPr>
        <w:t>As of June 30, 2022, we had outstanding non-U.S. dollar borrowings on our Credit Facility. Net change in fair value on foreign currency translation on outstanding borrowings is listed below ($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8"/>
              </w:rPr>
              <w:t>Amount Borrowed</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Change in Fair Value</w:t>
            </w:r>
          </w:p>
        </w:tc>
        <w:tc>
          <w:tcPr>
            <w:tcW w:w="100" w:type="dxa"/>
            <w:vAlign w:val="bottom"/>
          </w:tcPr>
          <w:p>
            <w:pPr>
              <w:spacing w:after="0"/>
              <w:rPr>
                <w:sz w:val="16"/>
                <w:szCs w:val="16"/>
                <w:color w:val="auto"/>
              </w:rPr>
            </w:pPr>
          </w:p>
        </w:tc>
      </w:tr>
      <w:tr>
        <w:trPr>
          <w:trHeight w:val="169"/>
        </w:trPr>
        <w:tc>
          <w:tcPr>
            <w:tcW w:w="1840" w:type="dxa"/>
            <w:vAlign w:val="bottom"/>
            <w:shd w:val="clear" w:color="auto" w:fill="CCECFF"/>
          </w:tcPr>
          <w:p>
            <w:pPr>
              <w:ind w:left="20"/>
              <w:spacing w:after="0"/>
              <w:rPr>
                <w:sz w:val="20"/>
                <w:szCs w:val="20"/>
                <w:color w:val="auto"/>
              </w:rPr>
            </w:pPr>
            <w:r>
              <w:rPr>
                <w:rFonts w:ascii="Arial" w:cs="Arial" w:eastAsia="Arial" w:hAnsi="Arial"/>
                <w:sz w:val="14"/>
                <w:szCs w:val="14"/>
                <w:color w:val="auto"/>
              </w:rPr>
              <w:t>British Pound</w:t>
            </w:r>
          </w:p>
        </w:tc>
        <w:tc>
          <w:tcPr>
            <w:tcW w:w="20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36,000</w:t>
            </w:r>
          </w:p>
        </w:tc>
        <w:tc>
          <w:tcPr>
            <w:tcW w:w="3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43,812</w:t>
            </w:r>
          </w:p>
        </w:tc>
        <w:tc>
          <w:tcPr>
            <w:tcW w:w="28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49,512</w:t>
            </w:r>
          </w:p>
        </w:tc>
        <w:tc>
          <w:tcPr>
            <w:tcW w:w="280" w:type="dxa"/>
            <w:vAlign w:val="bottom"/>
            <w:shd w:val="clear" w:color="auto" w:fill="CCECFF"/>
          </w:tcPr>
          <w:p>
            <w:pPr>
              <w:spacing w:after="0"/>
              <w:rPr>
                <w:sz w:val="14"/>
                <w:szCs w:val="14"/>
                <w:color w:val="auto"/>
              </w:rPr>
            </w:pPr>
          </w:p>
        </w:tc>
        <w:tc>
          <w:tcPr>
            <w:tcW w:w="16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1"/>
              </w:rPr>
              <w:t>September 30, 2022</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5,700</w:t>
            </w:r>
          </w:p>
        </w:tc>
        <w:tc>
          <w:tcPr>
            <w:tcW w:w="100" w:type="dxa"/>
            <w:vAlign w:val="bottom"/>
            <w:shd w:val="clear" w:color="auto" w:fill="CCECFF"/>
          </w:tcPr>
          <w:p>
            <w:pPr>
              <w:spacing w:after="0"/>
              <w:rPr>
                <w:sz w:val="14"/>
                <w:szCs w:val="14"/>
                <w:color w:val="auto"/>
              </w:rPr>
            </w:pPr>
          </w:p>
        </w:tc>
      </w:tr>
    </w:tbl>
    <w:p>
      <w:pPr>
        <w:spacing w:after="0" w:line="359" w:lineRule="exact"/>
        <w:rPr>
          <w:sz w:val="20"/>
          <w:szCs w:val="20"/>
          <w:color w:val="auto"/>
        </w:rPr>
      </w:pPr>
    </w:p>
    <w:p>
      <w:pPr>
        <w:ind w:right="660" w:firstLine="449"/>
        <w:spacing w:after="0" w:line="273" w:lineRule="auto"/>
        <w:rPr>
          <w:sz w:val="20"/>
          <w:szCs w:val="20"/>
          <w:color w:val="auto"/>
        </w:rPr>
      </w:pPr>
      <w:r>
        <w:rPr>
          <w:rFonts w:ascii="Arial" w:cs="Arial" w:eastAsia="Arial" w:hAnsi="Arial"/>
          <w:sz w:val="14"/>
          <w:szCs w:val="14"/>
          <w:color w:val="auto"/>
        </w:rPr>
        <w:t>As of September 30, 2021, we had outstanding non-U.S. dollar borrowings on our Truist Credit Facility. Net change in fair value on foreign currency translation on outstanding borrowings is listed below ($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Amount Borrowed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4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Reset Date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5"/>
              </w:rPr>
              <w:t>Change in Fair Value</w:t>
            </w:r>
          </w:p>
        </w:tc>
      </w:tr>
      <w:tr>
        <w:trPr>
          <w:trHeight w:val="169"/>
        </w:trPr>
        <w:tc>
          <w:tcPr>
            <w:tcW w:w="184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British Pound</w:t>
            </w:r>
          </w:p>
        </w:tc>
        <w:tc>
          <w:tcPr>
            <w:tcW w:w="20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29,000</w:t>
            </w:r>
          </w:p>
        </w:tc>
        <w:tc>
          <w:tcPr>
            <w:tcW w:w="3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40,045</w:t>
            </w:r>
          </w:p>
        </w:tc>
        <w:tc>
          <w:tcPr>
            <w:tcW w:w="2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39,102</w:t>
            </w:r>
          </w:p>
        </w:tc>
        <w:tc>
          <w:tcPr>
            <w:tcW w:w="280" w:type="dxa"/>
            <w:vAlign w:val="bottom"/>
            <w:shd w:val="clear" w:color="auto" w:fill="CCECFF"/>
          </w:tcPr>
          <w:p>
            <w:pPr>
              <w:spacing w:after="0"/>
              <w:rPr>
                <w:sz w:val="14"/>
                <w:szCs w:val="14"/>
                <w:color w:val="auto"/>
              </w:rPr>
            </w:pPr>
          </w:p>
        </w:tc>
        <w:tc>
          <w:tcPr>
            <w:tcW w:w="162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2"/>
              </w:rPr>
              <w:t>December 17, 2021</w:t>
            </w:r>
          </w:p>
        </w:tc>
        <w:tc>
          <w:tcPr>
            <w:tcW w:w="18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r>
    </w:tbl>
    <w:p>
      <w:pPr>
        <w:spacing w:after="0" w:line="184" w:lineRule="exact"/>
        <w:rPr>
          <w:sz w:val="20"/>
          <w:szCs w:val="20"/>
          <w:color w:val="auto"/>
        </w:rPr>
      </w:pPr>
    </w:p>
    <w:p>
      <w:pPr>
        <w:jc w:val="both"/>
        <w:ind w:firstLine="449"/>
        <w:spacing w:after="0" w:line="267"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Credit Facility during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Credit Facility is reported in our Consolidated Statements of Operations. We did not elect to apply ASC 825-10 to any other financial assets or liabilities, including the 2024 Notes, the 2026 Notes, 2026 Notes-2, and the SBA debentures.</w:t>
      </w:r>
    </w:p>
    <w:p>
      <w:pPr>
        <w:spacing w:after="0" w:line="16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For the three and nine months ended June 30, 2022, the Credit Facility had a net change in unrealized depreciation of $8.9 million and $9.2 million, respectively. For the three and nine months ended June 30, 2021, the Credit Facility had a net change in unrealized appreciation of $1.6 million and $18.5 million, respectively. As of June 30,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2022 and September 30, 2021, the net unrealized depreciation on the Credit Facility totaled $10.9 million and $1.7 million, respectively. We use a nationally recognized independent valuation service to measure the fair value of our Credit Facility in a manner consistent with the valuation process that our board of directors uses to value our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208"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less than 25% of its voting securities and a controlled affiliate when we own more than 25% of its voting securities. Transactions related to our funded investments with both controlled and non-controlled affiliates for the nine months ended June 30, 2022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0"/>
              </w:rPr>
              <w:t>Fair Value at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89"/>
              </w:rPr>
              <w:t>Net Change in</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ind w:left="240"/>
              <w:spacing w:after="0"/>
              <w:rPr>
                <w:sz w:val="20"/>
                <w:szCs w:val="20"/>
                <w:color w:val="auto"/>
              </w:rPr>
            </w:pPr>
            <w:r>
              <w:rPr>
                <w:rFonts w:ascii="Arial" w:cs="Arial" w:eastAsia="Arial" w:hAnsi="Arial"/>
                <w:sz w:val="13"/>
                <w:szCs w:val="13"/>
                <w:b w:val="1"/>
                <w:bCs w:val="1"/>
                <w:color w:val="auto"/>
                <w:w w:val="79"/>
              </w:rPr>
              <w:t>Gross</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538"/>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0"/>
              </w:rPr>
              <w:t>Fair Value at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3"/>
              </w:rPr>
              <w:t>Interest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PIK</w:t>
            </w:r>
          </w:p>
        </w:tc>
        <w:tc>
          <w:tcPr>
            <w:tcW w:w="200" w:type="dxa"/>
            <w:vAlign w:val="bottom"/>
          </w:tcPr>
          <w:p>
            <w:pPr>
              <w:spacing w:after="0"/>
              <w:rPr>
                <w:sz w:val="10"/>
                <w:szCs w:val="10"/>
                <w:color w:val="auto"/>
              </w:rPr>
            </w:pPr>
          </w:p>
        </w:tc>
        <w:tc>
          <w:tcPr>
            <w:tcW w:w="66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w w:val="98"/>
              </w:rPr>
              <w:t>Dividend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7"/>
              </w:rPr>
              <w:t>Realized</w:t>
            </w:r>
          </w:p>
        </w:tc>
        <w:tc>
          <w:tcPr>
            <w:tcW w:w="0" w:type="dxa"/>
            <w:vAlign w:val="bottom"/>
          </w:tcPr>
          <w:p>
            <w:pPr>
              <w:spacing w:after="0"/>
              <w:rPr>
                <w:sz w:val="1"/>
                <w:szCs w:val="1"/>
                <w:color w:val="auto"/>
              </w:rPr>
            </w:pPr>
          </w:p>
        </w:tc>
      </w:tr>
      <w:tr>
        <w:trPr>
          <w:trHeight w:val="131"/>
        </w:trPr>
        <w:tc>
          <w:tcPr>
            <w:tcW w:w="1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of Investment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57"/>
              <w:spacing w:after="0" w:line="131" w:lineRule="exact"/>
              <w:rPr>
                <w:sz w:val="20"/>
                <w:szCs w:val="20"/>
                <w:color w:val="auto"/>
              </w:rPr>
            </w:pPr>
            <w:r>
              <w:rPr>
                <w:rFonts w:ascii="Arial" w:cs="Arial" w:eastAsia="Arial" w:hAnsi="Arial"/>
                <w:sz w:val="13"/>
                <w:szCs w:val="13"/>
                <w:b w:val="1"/>
                <w:bCs w:val="1"/>
                <w:color w:val="auto"/>
                <w:w w:val="87"/>
              </w:rPr>
              <w:t>September 30,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tcPr>
          <w:p>
            <w:pPr>
              <w:jc w:val="right"/>
              <w:ind w:right="179"/>
              <w:spacing w:after="0"/>
              <w:rPr>
                <w:sz w:val="20"/>
                <w:szCs w:val="20"/>
                <w:color w:val="auto"/>
              </w:rPr>
            </w:pPr>
            <w:r>
              <w:rPr>
                <w:rFonts w:ascii="Arial" w:cs="Arial" w:eastAsia="Arial" w:hAnsi="Arial"/>
                <w:sz w:val="8"/>
                <w:szCs w:val="8"/>
                <w:b w:val="1"/>
                <w:bCs w:val="1"/>
                <w:color w:val="auto"/>
              </w:rPr>
              <w:t>(1)</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340"/>
              <w:spacing w:after="0" w:line="131" w:lineRule="exact"/>
              <w:rPr>
                <w:sz w:val="20"/>
                <w:szCs w:val="20"/>
                <w:color w:val="auto"/>
              </w:rPr>
            </w:pPr>
            <w:r>
              <w:rPr>
                <w:rFonts w:ascii="Arial" w:cs="Arial" w:eastAsia="Arial" w:hAnsi="Arial"/>
                <w:sz w:val="13"/>
                <w:szCs w:val="13"/>
                <w:b w:val="1"/>
                <w:bCs w:val="1"/>
                <w:color w:val="auto"/>
                <w:w w:val="89"/>
              </w:rPr>
              <w:t>Appreciation /</w:t>
            </w:r>
          </w:p>
        </w:tc>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88"/>
              </w:rPr>
              <w:t>Gains</w:t>
            </w:r>
          </w:p>
        </w:tc>
        <w:tc>
          <w:tcPr>
            <w:tcW w:w="0" w:type="dxa"/>
            <w:vAlign w:val="bottom"/>
          </w:tcPr>
          <w:p>
            <w:pPr>
              <w:spacing w:after="0"/>
              <w:rPr>
                <w:sz w:val="1"/>
                <w:szCs w:val="1"/>
                <w:color w:val="auto"/>
              </w:rPr>
            </w:pPr>
          </w:p>
        </w:tc>
      </w:tr>
      <w:tr>
        <w:trPr>
          <w:trHeight w:val="153"/>
        </w:trPr>
        <w:tc>
          <w:tcPr>
            <w:tcW w:w="1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59"/>
              <w:spacing w:after="0"/>
              <w:rPr>
                <w:sz w:val="20"/>
                <w:szCs w:val="20"/>
                <w:color w:val="auto"/>
              </w:rPr>
            </w:pPr>
            <w:r>
              <w:rPr>
                <w:rFonts w:ascii="Arial" w:cs="Arial" w:eastAsia="Arial" w:hAnsi="Arial"/>
                <w:sz w:val="13"/>
                <w:szCs w:val="13"/>
                <w:b w:val="1"/>
                <w:bCs w:val="1"/>
                <w:color w:val="auto"/>
              </w:rPr>
              <w:t>Additions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378"/>
              <w:spacing w:after="0"/>
              <w:rPr>
                <w:sz w:val="20"/>
                <w:szCs w:val="20"/>
                <w:color w:val="auto"/>
              </w:rPr>
            </w:pPr>
            <w:r>
              <w:rPr>
                <w:rFonts w:ascii="Arial" w:cs="Arial" w:eastAsia="Arial" w:hAnsi="Arial"/>
                <w:sz w:val="13"/>
                <w:szCs w:val="13"/>
                <w:b w:val="1"/>
                <w:bCs w:val="1"/>
                <w:color w:val="auto"/>
                <w:w w:val="90"/>
              </w:rPr>
              <w:t>Reductions</w:t>
            </w:r>
          </w:p>
        </w:tc>
        <w:tc>
          <w:tcPr>
            <w:tcW w:w="10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89"/>
              </w:rPr>
              <w:t>(Depreciation)</w:t>
            </w:r>
          </w:p>
        </w:tc>
        <w:tc>
          <w:tcPr>
            <w:tcW w:w="100" w:type="dxa"/>
            <w:vAlign w:val="bottom"/>
          </w:tcPr>
          <w:p>
            <w:pPr>
              <w:spacing w:after="0"/>
              <w:rPr>
                <w:sz w:val="13"/>
                <w:szCs w:val="13"/>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b w:val="1"/>
                <w:bCs w:val="1"/>
                <w:color w:val="auto"/>
                <w:w w:val="85"/>
              </w:rPr>
              <w:t>June 30, 2022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w w:val="96"/>
              </w:rPr>
              <w:t>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2"/>
              </w:rPr>
              <w:t>Income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2"/>
              </w:rPr>
              <w:t>(Losses)</w:t>
            </w:r>
          </w:p>
        </w:tc>
        <w:tc>
          <w:tcPr>
            <w:tcW w:w="0" w:type="dxa"/>
            <w:vAlign w:val="bottom"/>
          </w:tcPr>
          <w:p>
            <w:pPr>
              <w:spacing w:after="0"/>
              <w:rPr>
                <w:sz w:val="1"/>
                <w:szCs w:val="1"/>
                <w:color w:val="auto"/>
              </w:rPr>
            </w:pPr>
          </w:p>
        </w:tc>
      </w:tr>
      <w:tr>
        <w:trPr>
          <w:trHeight w:val="142"/>
        </w:trPr>
        <w:tc>
          <w:tcPr>
            <w:tcW w:w="1620" w:type="dxa"/>
            <w:vAlign w:val="bottom"/>
            <w:tcBorders>
              <w:top w:val="single" w:sz="8" w:color="auto"/>
            </w:tcBorders>
            <w:shd w:val="clear" w:color="auto" w:fill="CCECFF"/>
          </w:tcPr>
          <w:p>
            <w:pPr>
              <w:ind w:left="20"/>
              <w:spacing w:after="0" w:line="142" w:lineRule="exact"/>
              <w:rPr>
                <w:sz w:val="20"/>
                <w:szCs w:val="20"/>
                <w:color w:val="auto"/>
              </w:rPr>
            </w:pPr>
            <w:r>
              <w:rPr>
                <w:rFonts w:ascii="Arial" w:cs="Arial" w:eastAsia="Arial" w:hAnsi="Arial"/>
                <w:sz w:val="13"/>
                <w:szCs w:val="13"/>
                <w:b w:val="1"/>
                <w:bCs w:val="1"/>
                <w:color w:val="auto"/>
              </w:rPr>
              <w:t>Controlled Affiliates</w:t>
            </w:r>
          </w:p>
        </w:tc>
        <w:tc>
          <w:tcPr>
            <w:tcW w:w="12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380" w:type="dxa"/>
            <w:vAlign w:val="bottom"/>
            <w:tcBorders>
              <w:top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86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94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840" w:type="dxa"/>
            <w:vAlign w:val="bottom"/>
            <w:tcBorders>
              <w:top w:val="single" w:sz="8" w:color="auto"/>
            </w:tcBorders>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2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AKW Holdings Limited</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41,379</w:t>
            </w:r>
          </w:p>
        </w:tc>
        <w:tc>
          <w:tcPr>
            <w:tcW w:w="3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10,403</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(4,217 )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47,565</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2,579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20" w:type="dxa"/>
            <w:vAlign w:val="bottom"/>
            <w:shd w:val="clear" w:color="auto" w:fill="CCECFF"/>
          </w:tcPr>
          <w:p>
            <w:pPr>
              <w:ind w:left="20"/>
              <w:spacing w:after="0"/>
              <w:rPr>
                <w:sz w:val="20"/>
                <w:szCs w:val="20"/>
                <w:color w:val="auto"/>
              </w:rPr>
            </w:pPr>
            <w:r>
              <w:rPr>
                <w:rFonts w:ascii="Arial" w:cs="Arial" w:eastAsia="Arial" w:hAnsi="Arial"/>
                <w:sz w:val="13"/>
                <w:szCs w:val="13"/>
                <w:color w:val="auto"/>
              </w:rPr>
              <w:t>Mailsouth Inc.</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22,100</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1,296</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40"/>
              <w:spacing w:after="0"/>
              <w:rPr>
                <w:sz w:val="20"/>
                <w:szCs w:val="20"/>
                <w:color w:val="auto"/>
              </w:rPr>
            </w:pPr>
            <w:r>
              <w:rPr>
                <w:rFonts w:ascii="Arial" w:cs="Arial" w:eastAsia="Arial" w:hAnsi="Arial"/>
                <w:sz w:val="13"/>
                <w:szCs w:val="13"/>
                <w:color w:val="auto"/>
              </w:rPr>
              <w:t>(16,833 )</w:t>
            </w: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6,563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1,309</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620" w:type="dxa"/>
            <w:vAlign w:val="bottom"/>
          </w:tcPr>
          <w:p>
            <w:pPr>
              <w:ind w:left="20"/>
              <w:spacing w:after="0" w:line="108" w:lineRule="exact"/>
              <w:rPr>
                <w:sz w:val="20"/>
                <w:szCs w:val="20"/>
                <w:color w:val="auto"/>
              </w:rPr>
            </w:pPr>
            <w:r>
              <w:rPr>
                <w:rFonts w:ascii="Arial" w:cs="Arial" w:eastAsia="Arial" w:hAnsi="Arial"/>
                <w:sz w:val="12"/>
                <w:szCs w:val="12"/>
                <w:color w:val="auto"/>
              </w:rPr>
              <w:t>PennantPark Senior Loan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105,314</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90"/>
              </w:rPr>
              <w:t>39,325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(3,536 )</w:t>
            </w: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141,103</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4,724</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6,655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620" w:type="dxa"/>
            <w:vAlign w:val="bottom"/>
          </w:tcPr>
          <w:p>
            <w:pPr>
              <w:ind w:left="20"/>
              <w:spacing w:after="0"/>
              <w:rPr>
                <w:sz w:val="20"/>
                <w:szCs w:val="20"/>
                <w:color w:val="auto"/>
              </w:rPr>
            </w:pPr>
            <w:r>
              <w:rPr>
                <w:rFonts w:ascii="Arial" w:cs="Arial" w:eastAsia="Arial" w:hAnsi="Arial"/>
                <w:sz w:val="13"/>
                <w:szCs w:val="13"/>
                <w:color w:val="auto"/>
              </w:rPr>
              <w:t>Fund, LLC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shd w:val="clear" w:color="auto" w:fill="CCECFF"/>
          </w:tcPr>
          <w:p>
            <w:pPr>
              <w:ind w:left="20"/>
              <w:spacing w:after="0"/>
              <w:rPr>
                <w:sz w:val="20"/>
                <w:szCs w:val="20"/>
                <w:color w:val="auto"/>
              </w:rPr>
            </w:pPr>
            <w:r>
              <w:rPr>
                <w:rFonts w:ascii="Arial" w:cs="Arial" w:eastAsia="Arial" w:hAnsi="Arial"/>
                <w:sz w:val="13"/>
                <w:szCs w:val="13"/>
                <w:color w:val="auto"/>
              </w:rPr>
              <w:t>PT Networks, LLC</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134,125</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9,917</w:t>
            </w: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38"/>
              <w:spacing w:after="0"/>
              <w:rPr>
                <w:sz w:val="20"/>
                <w:szCs w:val="20"/>
                <w:color w:val="auto"/>
              </w:rPr>
            </w:pPr>
            <w:r>
              <w:rPr>
                <w:rFonts w:ascii="Arial" w:cs="Arial" w:eastAsia="Arial" w:hAnsi="Arial"/>
                <w:sz w:val="13"/>
                <w:szCs w:val="13"/>
                <w:color w:val="auto"/>
              </w:rPr>
              <w:t>(234,974 )</w:t>
            </w:r>
          </w:p>
        </w:tc>
        <w:tc>
          <w:tcPr>
            <w:tcW w:w="10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90,933</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2,674</w:t>
            </w: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3"/>
                <w:szCs w:val="13"/>
                <w:color w:val="auto"/>
              </w:rPr>
              <w:t>140,898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0"/>
              <w:spacing w:after="0"/>
              <w:rPr>
                <w:sz w:val="20"/>
                <w:szCs w:val="20"/>
                <w:color w:val="auto"/>
              </w:rPr>
            </w:pPr>
            <w:r>
              <w:rPr>
                <w:rFonts w:ascii="Arial" w:cs="Arial" w:eastAsia="Arial" w:hAnsi="Arial"/>
                <w:sz w:val="13"/>
                <w:szCs w:val="13"/>
                <w:color w:val="auto"/>
              </w:rPr>
              <w:t>RAM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81,710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27,758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109,468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1620" w:type="dxa"/>
            <w:vAlign w:val="bottom"/>
            <w:tcBorders>
              <w:bottom w:val="single" w:sz="8" w:color="CCECFF"/>
            </w:tcBorders>
            <w:shd w:val="clear" w:color="auto" w:fill="CCECFF"/>
          </w:tcPr>
          <w:p>
            <w:pPr>
              <w:ind w:left="120"/>
              <w:spacing w:after="0" w:line="142" w:lineRule="exact"/>
              <w:rPr>
                <w:sz w:val="20"/>
                <w:szCs w:val="20"/>
                <w:color w:val="auto"/>
              </w:rPr>
            </w:pPr>
            <w:r>
              <w:rPr>
                <w:rFonts w:ascii="Arial" w:cs="Arial" w:eastAsia="Arial" w:hAnsi="Arial"/>
                <w:sz w:val="13"/>
                <w:szCs w:val="13"/>
                <w:color w:val="auto"/>
              </w:rPr>
              <w:t>Total Controlled Affiliates</w:t>
            </w:r>
          </w:p>
        </w:tc>
        <w:tc>
          <w:tcPr>
            <w:tcW w:w="1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384,628</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CFF"/>
          </w:tcPr>
          <w:p>
            <w:pPr>
              <w:spacing w:after="0"/>
              <w:rPr>
                <w:sz w:val="12"/>
                <w:szCs w:val="12"/>
                <w:color w:val="auto"/>
              </w:rPr>
            </w:pPr>
          </w:p>
        </w:tc>
        <w:tc>
          <w:tcPr>
            <w:tcW w:w="3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90"/>
              </w:rPr>
              <w:t>60,941</w:t>
            </w:r>
          </w:p>
        </w:tc>
        <w:tc>
          <w:tcPr>
            <w:tcW w:w="24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(234,974</w:t>
            </w:r>
          </w:p>
        </w:tc>
        <w:tc>
          <w:tcPr>
            <w:tcW w:w="220" w:type="dxa"/>
            <w:vAlign w:val="bottom"/>
            <w:tcBorders>
              <w:bottom w:val="single" w:sz="8" w:color="CCECFF"/>
            </w:tcBorders>
            <w:shd w:val="clear" w:color="auto" w:fill="CCECFF"/>
          </w:tcPr>
          <w:p>
            <w:pPr>
              <w:jc w:val="right"/>
              <w:ind w:right="1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94,105</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304,699</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7,303</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3,983</w:t>
            </w:r>
          </w:p>
        </w:tc>
        <w:tc>
          <w:tcPr>
            <w:tcW w:w="20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6,655</w:t>
            </w:r>
          </w:p>
        </w:tc>
        <w:tc>
          <w:tcPr>
            <w:tcW w:w="2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CECFF"/>
          </w:tcPr>
          <w:p>
            <w:pPr>
              <w:jc w:val="right"/>
              <w:spacing w:after="0" w:line="142" w:lineRule="exact"/>
              <w:rPr>
                <w:sz w:val="20"/>
                <w:szCs w:val="20"/>
                <w:color w:val="auto"/>
              </w:rPr>
            </w:pPr>
            <w:r>
              <w:rPr>
                <w:rFonts w:ascii="Arial" w:cs="Arial" w:eastAsia="Arial" w:hAnsi="Arial"/>
                <w:sz w:val="13"/>
                <w:szCs w:val="13"/>
                <w:color w:val="auto"/>
              </w:rPr>
              <w:t>140,898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Non-Controlled Affiliates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CECFF"/>
          </w:tcPr>
          <w:p>
            <w:pPr>
              <w:ind w:left="20"/>
              <w:spacing w:after="0" w:line="108" w:lineRule="exact"/>
              <w:rPr>
                <w:sz w:val="20"/>
                <w:szCs w:val="20"/>
                <w:color w:val="auto"/>
              </w:rPr>
            </w:pPr>
            <w:r>
              <w:rPr>
                <w:rFonts w:ascii="Arial" w:cs="Arial" w:eastAsia="Arial" w:hAnsi="Arial"/>
                <w:sz w:val="12"/>
                <w:szCs w:val="12"/>
                <w:color w:val="auto"/>
              </w:rPr>
              <w:t>Cascade Environmental</w:t>
            </w:r>
          </w:p>
        </w:tc>
        <w:tc>
          <w:tcPr>
            <w:tcW w:w="20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64,292</w:t>
            </w:r>
          </w:p>
        </w:tc>
        <w:tc>
          <w:tcPr>
            <w:tcW w:w="380" w:type="dxa"/>
            <w:vAlign w:val="bottom"/>
            <w:gridSpan w:val="2"/>
            <w:vMerge w:val="restart"/>
            <w:shd w:val="clear" w:color="auto" w:fill="CCECFF"/>
          </w:tcPr>
          <w:p>
            <w:pPr>
              <w:jc w:val="right"/>
              <w:ind w:right="28"/>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CFF"/>
          </w:tcPr>
          <w:p>
            <w:pPr>
              <w:spacing w:after="0"/>
              <w:rPr>
                <w:sz w:val="9"/>
                <w:szCs w:val="9"/>
                <w:color w:val="auto"/>
              </w:rPr>
            </w:pPr>
          </w:p>
        </w:tc>
        <w:tc>
          <w:tcPr>
            <w:tcW w:w="3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90"/>
              </w:rPr>
              <w:t>34,201</w:t>
            </w:r>
          </w:p>
        </w:tc>
        <w:tc>
          <w:tcPr>
            <w:tcW w:w="38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CFF"/>
          </w:tcPr>
          <w:p>
            <w:pPr>
              <w:jc w:val="right"/>
              <w:ind w:right="138"/>
              <w:spacing w:after="0"/>
              <w:rPr>
                <w:sz w:val="20"/>
                <w:szCs w:val="20"/>
                <w:color w:val="auto"/>
              </w:rPr>
            </w:pPr>
            <w:r>
              <w:rPr>
                <w:rFonts w:ascii="Arial" w:cs="Arial" w:eastAsia="Arial" w:hAnsi="Arial"/>
                <w:sz w:val="13"/>
                <w:szCs w:val="13"/>
                <w:color w:val="auto"/>
              </w:rPr>
              <w:t>(61,168 )</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vMerge w:val="restart"/>
            <w:shd w:val="clear" w:color="auto" w:fill="CCECFF"/>
          </w:tcPr>
          <w:p>
            <w:pPr>
              <w:jc w:val="right"/>
              <w:ind w:right="140"/>
              <w:spacing w:after="0"/>
              <w:rPr>
                <w:sz w:val="20"/>
                <w:szCs w:val="20"/>
                <w:color w:val="auto"/>
              </w:rPr>
            </w:pPr>
            <w:r>
              <w:rPr>
                <w:rFonts w:ascii="Arial" w:cs="Arial" w:eastAsia="Arial" w:hAnsi="Arial"/>
                <w:sz w:val="13"/>
                <w:szCs w:val="13"/>
                <w:color w:val="auto"/>
              </w:rPr>
              <w:t>(4,534 )</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32,791</w:t>
            </w:r>
          </w:p>
        </w:tc>
        <w:tc>
          <w:tcPr>
            <w:tcW w:w="32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1,361</w:t>
            </w:r>
          </w:p>
        </w:tc>
        <w:tc>
          <w:tcPr>
            <w:tcW w:w="30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CFF"/>
          </w:tcPr>
          <w:p>
            <w:pPr>
              <w:jc w:val="right"/>
              <w:ind w:right="60"/>
              <w:spacing w:after="0"/>
              <w:rPr>
                <w:sz w:val="20"/>
                <w:szCs w:val="20"/>
                <w:color w:val="auto"/>
              </w:rPr>
            </w:pPr>
            <w:r>
              <w:rPr>
                <w:rFonts w:ascii="Arial" w:cs="Arial" w:eastAsia="Arial" w:hAnsi="Arial"/>
                <w:sz w:val="13"/>
                <w:szCs w:val="13"/>
                <w:color w:val="auto"/>
              </w:rPr>
              <w:t>(28,208 )</w:t>
            </w:r>
          </w:p>
        </w:tc>
        <w:tc>
          <w:tcPr>
            <w:tcW w:w="0" w:type="dxa"/>
            <w:vAlign w:val="bottom"/>
          </w:tcPr>
          <w:p>
            <w:pPr>
              <w:spacing w:after="0"/>
              <w:rPr>
                <w:sz w:val="1"/>
                <w:szCs w:val="1"/>
                <w:color w:val="auto"/>
              </w:rPr>
            </w:pPr>
          </w:p>
        </w:tc>
      </w:tr>
      <w:tr>
        <w:trPr>
          <w:trHeight w:val="162"/>
        </w:trPr>
        <w:tc>
          <w:tcPr>
            <w:tcW w:w="1620" w:type="dxa"/>
            <w:vAlign w:val="bottom"/>
            <w:shd w:val="clear" w:color="auto" w:fill="CCECFF"/>
          </w:tcPr>
          <w:p>
            <w:pPr>
              <w:ind w:left="20"/>
              <w:spacing w:after="0" w:line="162" w:lineRule="exact"/>
              <w:rPr>
                <w:sz w:val="20"/>
                <w:szCs w:val="20"/>
                <w:color w:val="auto"/>
              </w:rPr>
            </w:pPr>
            <w:r>
              <w:rPr>
                <w:rFonts w:ascii="Arial" w:cs="Arial" w:eastAsia="Arial" w:hAnsi="Arial"/>
                <w:sz w:val="13"/>
                <w:szCs w:val="13"/>
                <w:color w:val="auto"/>
              </w:rPr>
              <w:t xml:space="preserve">Holdings, LLC </w:t>
            </w:r>
            <w:r>
              <w:rPr>
                <w:rFonts w:ascii="Arial" w:cs="Arial" w:eastAsia="Arial" w:hAnsi="Arial"/>
                <w:sz w:val="16"/>
                <w:szCs w:val="16"/>
                <w:color w:val="auto"/>
                <w:vertAlign w:val="superscript"/>
              </w:rPr>
              <w:t>(2)</w:t>
            </w:r>
          </w:p>
        </w:tc>
        <w:tc>
          <w:tcPr>
            <w:tcW w:w="200" w:type="dxa"/>
            <w:vAlign w:val="bottom"/>
            <w:gridSpan w:val="2"/>
            <w:vMerge w:val="continue"/>
            <w:shd w:val="clear" w:color="auto" w:fill="CCECFF"/>
          </w:tcPr>
          <w:p>
            <w:pPr>
              <w:spacing w:after="0"/>
              <w:rPr>
                <w:sz w:val="14"/>
                <w:szCs w:val="14"/>
                <w:color w:val="auto"/>
              </w:rPr>
            </w:pPr>
          </w:p>
        </w:tc>
        <w:tc>
          <w:tcPr>
            <w:tcW w:w="900" w:type="dxa"/>
            <w:vAlign w:val="bottom"/>
            <w:vMerge w:val="continue"/>
            <w:shd w:val="clear" w:color="auto" w:fill="CCECFF"/>
          </w:tcPr>
          <w:p>
            <w:pPr>
              <w:spacing w:after="0"/>
              <w:rPr>
                <w:sz w:val="14"/>
                <w:szCs w:val="14"/>
                <w:color w:val="auto"/>
              </w:rPr>
            </w:pPr>
          </w:p>
        </w:tc>
        <w:tc>
          <w:tcPr>
            <w:tcW w:w="380" w:type="dxa"/>
            <w:vAlign w:val="bottom"/>
            <w:gridSpan w:val="2"/>
            <w:vMerge w:val="continue"/>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80" w:type="dxa"/>
            <w:vAlign w:val="bottom"/>
            <w:vMerge w:val="continue"/>
            <w:shd w:val="clear" w:color="auto" w:fill="CCECFF"/>
          </w:tcPr>
          <w:p>
            <w:pPr>
              <w:spacing w:after="0"/>
              <w:rPr>
                <w:sz w:val="14"/>
                <w:szCs w:val="14"/>
                <w:color w:val="auto"/>
              </w:rPr>
            </w:pPr>
          </w:p>
        </w:tc>
        <w:tc>
          <w:tcPr>
            <w:tcW w:w="380" w:type="dxa"/>
            <w:vAlign w:val="bottom"/>
            <w:gridSpan w:val="2"/>
            <w:vMerge w:val="continue"/>
            <w:shd w:val="clear" w:color="auto" w:fill="CCECFF"/>
          </w:tcPr>
          <w:p>
            <w:pPr>
              <w:spacing w:after="0"/>
              <w:rPr>
                <w:sz w:val="14"/>
                <w:szCs w:val="14"/>
                <w:color w:val="auto"/>
              </w:rPr>
            </w:pPr>
          </w:p>
        </w:tc>
        <w:tc>
          <w:tcPr>
            <w:tcW w:w="1080" w:type="dxa"/>
            <w:vAlign w:val="bottom"/>
            <w:gridSpan w:val="2"/>
            <w:vMerge w:val="continue"/>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1140" w:type="dxa"/>
            <w:vAlign w:val="bottom"/>
            <w:gridSpan w:val="2"/>
            <w:vMerge w:val="continue"/>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840" w:type="dxa"/>
            <w:vAlign w:val="bottom"/>
            <w:vMerge w:val="continue"/>
            <w:shd w:val="clear" w:color="auto" w:fill="CCECFF"/>
          </w:tcPr>
          <w:p>
            <w:pPr>
              <w:spacing w:after="0"/>
              <w:rPr>
                <w:sz w:val="14"/>
                <w:szCs w:val="14"/>
                <w:color w:val="auto"/>
              </w:rPr>
            </w:pPr>
          </w:p>
        </w:tc>
        <w:tc>
          <w:tcPr>
            <w:tcW w:w="320" w:type="dxa"/>
            <w:vAlign w:val="bottom"/>
            <w:gridSpan w:val="2"/>
            <w:vMerge w:val="continue"/>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300" w:type="dxa"/>
            <w:vAlign w:val="bottom"/>
            <w:gridSpan w:val="2"/>
            <w:vMerge w:val="continue"/>
            <w:shd w:val="clear" w:color="auto" w:fill="CCECFF"/>
          </w:tcPr>
          <w:p>
            <w:pPr>
              <w:spacing w:after="0"/>
              <w:rPr>
                <w:sz w:val="14"/>
                <w:szCs w:val="14"/>
                <w:color w:val="auto"/>
              </w:rPr>
            </w:pPr>
          </w:p>
        </w:tc>
        <w:tc>
          <w:tcPr>
            <w:tcW w:w="520" w:type="dxa"/>
            <w:vAlign w:val="bottom"/>
            <w:vMerge w:val="continue"/>
            <w:shd w:val="clear" w:color="auto" w:fill="CCECFF"/>
          </w:tcPr>
          <w:p>
            <w:pPr>
              <w:spacing w:after="0"/>
              <w:rPr>
                <w:sz w:val="14"/>
                <w:szCs w:val="14"/>
                <w:color w:val="auto"/>
              </w:rPr>
            </w:pPr>
          </w:p>
        </w:tc>
        <w:tc>
          <w:tcPr>
            <w:tcW w:w="300" w:type="dxa"/>
            <w:vAlign w:val="bottom"/>
            <w:gridSpan w:val="2"/>
            <w:vMerge w:val="continue"/>
            <w:shd w:val="clear" w:color="auto" w:fill="CCECFF"/>
          </w:tcPr>
          <w:p>
            <w:pPr>
              <w:spacing w:after="0"/>
              <w:rPr>
                <w:sz w:val="14"/>
                <w:szCs w:val="14"/>
                <w:color w:val="auto"/>
              </w:rPr>
            </w:pPr>
          </w:p>
        </w:tc>
        <w:tc>
          <w:tcPr>
            <w:tcW w:w="560" w:type="dxa"/>
            <w:vAlign w:val="bottom"/>
            <w:vMerge w:val="continue"/>
            <w:shd w:val="clear" w:color="auto" w:fill="CCECFF"/>
          </w:tcPr>
          <w:p>
            <w:pPr>
              <w:spacing w:after="0"/>
              <w:rPr>
                <w:sz w:val="14"/>
                <w:szCs w:val="14"/>
                <w:color w:val="auto"/>
              </w:rPr>
            </w:pPr>
          </w:p>
        </w:tc>
        <w:tc>
          <w:tcPr>
            <w:tcW w:w="280" w:type="dxa"/>
            <w:vAlign w:val="bottom"/>
            <w:gridSpan w:val="2"/>
            <w:vMerge w:val="continue"/>
            <w:shd w:val="clear" w:color="auto" w:fill="CCECFF"/>
          </w:tcPr>
          <w:p>
            <w:pPr>
              <w:spacing w:after="0"/>
              <w:rPr>
                <w:sz w:val="14"/>
                <w:szCs w:val="14"/>
                <w:color w:val="auto"/>
              </w:rPr>
            </w:pPr>
          </w:p>
        </w:tc>
        <w:tc>
          <w:tcPr>
            <w:tcW w:w="66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tcPr>
          <w:p>
            <w:pPr>
              <w:ind w:left="20"/>
              <w:spacing w:after="0"/>
              <w:rPr>
                <w:sz w:val="20"/>
                <w:szCs w:val="20"/>
                <w:color w:val="auto"/>
              </w:rPr>
            </w:pPr>
            <w:r>
              <w:rPr>
                <w:rFonts w:ascii="Arial" w:cs="Arial" w:eastAsia="Arial" w:hAnsi="Arial"/>
                <w:sz w:val="13"/>
                <w:szCs w:val="13"/>
                <w:color w:val="auto"/>
              </w:rPr>
              <w:t>ETX Energy, 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3"/>
                <w:szCs w:val="13"/>
                <w:color w:val="auto"/>
              </w:rPr>
              <w:t>(38,541 )</w:t>
            </w:r>
          </w:p>
        </w:tc>
        <w:tc>
          <w:tcPr>
            <w:tcW w:w="1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38,541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(37,447 )</w:t>
            </w:r>
          </w:p>
        </w:tc>
        <w:tc>
          <w:tcPr>
            <w:tcW w:w="0" w:type="dxa"/>
            <w:vAlign w:val="bottom"/>
          </w:tcPr>
          <w:p>
            <w:pPr>
              <w:spacing w:after="0"/>
              <w:rPr>
                <w:sz w:val="1"/>
                <w:szCs w:val="1"/>
                <w:color w:val="auto"/>
              </w:rPr>
            </w:pPr>
          </w:p>
        </w:tc>
      </w:tr>
      <w:tr>
        <w:trPr>
          <w:trHeight w:val="108"/>
        </w:trPr>
        <w:tc>
          <w:tcPr>
            <w:tcW w:w="1620" w:type="dxa"/>
            <w:vAlign w:val="bottom"/>
            <w:shd w:val="clear" w:color="auto" w:fill="CCECFF"/>
          </w:tcPr>
          <w:p>
            <w:pPr>
              <w:ind w:left="20"/>
              <w:spacing w:after="0" w:line="108" w:lineRule="exact"/>
              <w:rPr>
                <w:sz w:val="20"/>
                <w:szCs w:val="20"/>
                <w:color w:val="auto"/>
              </w:rPr>
            </w:pPr>
            <w:r>
              <w:rPr>
                <w:rFonts w:ascii="Arial" w:cs="Arial" w:eastAsia="Arial" w:hAnsi="Arial"/>
                <w:sz w:val="12"/>
                <w:szCs w:val="12"/>
                <w:color w:val="auto"/>
              </w:rPr>
              <w:t>MidOcean JF Holdings</w:t>
            </w:r>
          </w:p>
        </w:tc>
        <w:tc>
          <w:tcPr>
            <w:tcW w:w="1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50,161</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3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140" w:type="dxa"/>
            <w:vAlign w:val="bottom"/>
            <w:gridSpan w:val="2"/>
            <w:vMerge w:val="restart"/>
            <w:shd w:val="clear" w:color="auto" w:fill="CCECFF"/>
          </w:tcPr>
          <w:p>
            <w:pPr>
              <w:jc w:val="right"/>
              <w:ind w:right="140"/>
              <w:spacing w:after="0"/>
              <w:rPr>
                <w:sz w:val="20"/>
                <w:szCs w:val="20"/>
                <w:color w:val="auto"/>
              </w:rPr>
            </w:pPr>
            <w:r>
              <w:rPr>
                <w:rFonts w:ascii="Arial" w:cs="Arial" w:eastAsia="Arial" w:hAnsi="Arial"/>
                <w:sz w:val="13"/>
                <w:szCs w:val="13"/>
                <w:color w:val="auto"/>
              </w:rPr>
              <w:t>(33,855 )</w:t>
            </w:r>
          </w:p>
        </w:tc>
        <w:tc>
          <w:tcPr>
            <w:tcW w:w="100" w:type="dxa"/>
            <w:vAlign w:val="bottom"/>
            <w:shd w:val="clear" w:color="auto" w:fill="CCECFF"/>
          </w:tcPr>
          <w:p>
            <w:pPr>
              <w:spacing w:after="0"/>
              <w:rPr>
                <w:sz w:val="9"/>
                <w:szCs w:val="9"/>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16,306</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6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660" w:type="dxa"/>
            <w:vAlign w:val="bottom"/>
            <w:gridSpan w:val="2"/>
            <w:vMerge w:val="restart"/>
            <w:shd w:val="clear" w:color="auto" w:fill="CCEC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20" w:type="dxa"/>
            <w:vAlign w:val="bottom"/>
            <w:shd w:val="clear" w:color="auto" w:fill="CCECFF"/>
          </w:tcPr>
          <w:p>
            <w:pPr>
              <w:ind w:left="120"/>
              <w:spacing w:after="0"/>
              <w:rPr>
                <w:sz w:val="20"/>
                <w:szCs w:val="20"/>
                <w:color w:val="auto"/>
              </w:rPr>
            </w:pPr>
            <w:r>
              <w:rPr>
                <w:rFonts w:ascii="Arial" w:cs="Arial" w:eastAsia="Arial" w:hAnsi="Arial"/>
                <w:sz w:val="13"/>
                <w:szCs w:val="13"/>
                <w:color w:val="auto"/>
              </w:rPr>
              <w:t>Corp.</w:t>
            </w: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vMerge w:val="continue"/>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80" w:type="dxa"/>
            <w:vAlign w:val="bottom"/>
            <w:vMerge w:val="continue"/>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60" w:type="dxa"/>
            <w:vAlign w:val="bottom"/>
            <w:vMerge w:val="continue"/>
            <w:shd w:val="clear" w:color="auto" w:fill="CCECFF"/>
          </w:tcPr>
          <w:p>
            <w:pPr>
              <w:spacing w:after="0"/>
              <w:rPr>
                <w:sz w:val="12"/>
                <w:szCs w:val="12"/>
                <w:color w:val="auto"/>
              </w:rPr>
            </w:pPr>
          </w:p>
        </w:tc>
        <w:tc>
          <w:tcPr>
            <w:tcW w:w="2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40" w:type="dxa"/>
            <w:vAlign w:val="bottom"/>
            <w:gridSpan w:val="2"/>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2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gridSpan w:val="2"/>
            <w:vMerge w:val="continue"/>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tcPr>
          <w:p>
            <w:pPr>
              <w:ind w:left="140"/>
              <w:spacing w:after="0" w:line="102" w:lineRule="exact"/>
              <w:rPr>
                <w:sz w:val="20"/>
                <w:szCs w:val="20"/>
                <w:color w:val="auto"/>
              </w:rPr>
            </w:pPr>
            <w:r>
              <w:rPr>
                <w:rFonts w:ascii="Arial" w:cs="Arial" w:eastAsia="Arial" w:hAnsi="Arial"/>
                <w:sz w:val="10"/>
                <w:szCs w:val="10"/>
                <w:color w:val="auto"/>
              </w:rPr>
              <w:t>Total Non-Controlled</w:t>
            </w:r>
          </w:p>
        </w:tc>
        <w:tc>
          <w:tcPr>
            <w:tcW w:w="120" w:type="dxa"/>
            <w:vAlign w:val="bottom"/>
            <w:vMerge w:val="restart"/>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114,453</w:t>
            </w:r>
          </w:p>
        </w:tc>
        <w:tc>
          <w:tcPr>
            <w:tcW w:w="240" w:type="dxa"/>
            <w:vAlign w:val="bottom"/>
            <w:vMerge w:val="restart"/>
          </w:tcPr>
          <w:p>
            <w:pPr>
              <w:spacing w:after="0"/>
              <w:rPr>
                <w:sz w:val="8"/>
                <w:szCs w:val="8"/>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spacing w:after="0"/>
              <w:rPr>
                <w:sz w:val="8"/>
                <w:szCs w:val="8"/>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w w:val="90"/>
              </w:rPr>
              <w:t>34,201</w:t>
            </w:r>
          </w:p>
        </w:tc>
        <w:tc>
          <w:tcPr>
            <w:tcW w:w="240" w:type="dxa"/>
            <w:vAlign w:val="bottom"/>
            <w:vMerge w:val="restart"/>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tcPr>
          <w:p>
            <w:pPr>
              <w:jc w:val="right"/>
              <w:ind w:right="138"/>
              <w:spacing w:after="0"/>
              <w:rPr>
                <w:sz w:val="20"/>
                <w:szCs w:val="20"/>
                <w:color w:val="auto"/>
              </w:rPr>
            </w:pPr>
            <w:r>
              <w:rPr>
                <w:rFonts w:ascii="Arial" w:cs="Arial" w:eastAsia="Arial" w:hAnsi="Arial"/>
                <w:sz w:val="13"/>
                <w:szCs w:val="13"/>
                <w:color w:val="auto"/>
              </w:rPr>
              <w:t>(99,709 )</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49,097</w:t>
            </w:r>
          </w:p>
        </w:tc>
        <w:tc>
          <w:tcPr>
            <w:tcW w:w="3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1,361</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(65,655 )</w:t>
            </w:r>
          </w:p>
        </w:tc>
        <w:tc>
          <w:tcPr>
            <w:tcW w:w="0" w:type="dxa"/>
            <w:vAlign w:val="bottom"/>
          </w:tcPr>
          <w:p>
            <w:pPr>
              <w:spacing w:after="0"/>
              <w:rPr>
                <w:sz w:val="1"/>
                <w:szCs w:val="1"/>
                <w:color w:val="auto"/>
              </w:rPr>
            </w:pPr>
          </w:p>
        </w:tc>
      </w:tr>
      <w:tr>
        <w:trPr>
          <w:trHeight w:val="148"/>
        </w:trPr>
        <w:tc>
          <w:tcPr>
            <w:tcW w:w="1620" w:type="dxa"/>
            <w:vAlign w:val="bottom"/>
          </w:tcPr>
          <w:p>
            <w:pPr>
              <w:ind w:left="200"/>
              <w:spacing w:after="0"/>
              <w:rPr>
                <w:sz w:val="20"/>
                <w:szCs w:val="20"/>
                <w:color w:val="auto"/>
              </w:rPr>
            </w:pPr>
            <w:r>
              <w:rPr>
                <w:rFonts w:ascii="Arial" w:cs="Arial" w:eastAsia="Arial" w:hAnsi="Arial"/>
                <w:sz w:val="13"/>
                <w:szCs w:val="13"/>
                <w:color w:val="auto"/>
              </w:rPr>
              <w:t>Affiliates</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20" w:type="dxa"/>
            <w:vAlign w:val="bottom"/>
            <w:shd w:val="clear" w:color="auto" w:fill="CCECFF"/>
          </w:tcPr>
          <w:p>
            <w:pPr>
              <w:ind w:left="20"/>
              <w:spacing w:after="0" w:line="102" w:lineRule="exact"/>
              <w:rPr>
                <w:sz w:val="20"/>
                <w:szCs w:val="20"/>
                <w:color w:val="auto"/>
              </w:rPr>
            </w:pPr>
            <w:r>
              <w:rPr>
                <w:rFonts w:ascii="Arial" w:cs="Arial" w:eastAsia="Arial" w:hAnsi="Arial"/>
                <w:sz w:val="10"/>
                <w:szCs w:val="10"/>
                <w:b w:val="1"/>
                <w:bCs w:val="1"/>
                <w:color w:val="auto"/>
              </w:rPr>
              <w:t>Total Controlled and</w:t>
            </w:r>
          </w:p>
        </w:tc>
        <w:tc>
          <w:tcPr>
            <w:tcW w:w="120" w:type="dxa"/>
            <w:vAlign w:val="bottom"/>
            <w:vMerge w:val="restart"/>
            <w:shd w:val="clear" w:color="auto" w:fill="CCECFF"/>
          </w:tcPr>
          <w:p>
            <w:pPr>
              <w:spacing w:after="0"/>
              <w:rPr>
                <w:sz w:val="8"/>
                <w:szCs w:val="8"/>
                <w:color w:val="auto"/>
              </w:rPr>
            </w:pPr>
          </w:p>
        </w:tc>
        <w:tc>
          <w:tcPr>
            <w:tcW w:w="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499,081</w:t>
            </w:r>
          </w:p>
        </w:tc>
        <w:tc>
          <w:tcPr>
            <w:tcW w:w="240" w:type="dxa"/>
            <w:vAlign w:val="bottom"/>
            <w:vMerge w:val="restart"/>
            <w:shd w:val="clear" w:color="auto" w:fill="CCECFF"/>
          </w:tcPr>
          <w:p>
            <w:pPr>
              <w:spacing w:after="0"/>
              <w:rPr>
                <w:sz w:val="8"/>
                <w:szCs w:val="8"/>
                <w:color w:val="auto"/>
              </w:rPr>
            </w:pPr>
          </w:p>
        </w:tc>
        <w:tc>
          <w:tcPr>
            <w:tcW w:w="140" w:type="dxa"/>
            <w:vAlign w:val="bottom"/>
            <w:vMerge w:val="restart"/>
            <w:shd w:val="clear" w:color="auto" w:fill="CCEC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spacing w:after="0"/>
              <w:rPr>
                <w:sz w:val="8"/>
                <w:szCs w:val="8"/>
                <w:color w:val="auto"/>
              </w:rPr>
            </w:pPr>
          </w:p>
        </w:tc>
        <w:tc>
          <w:tcPr>
            <w:tcW w:w="38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90"/>
              </w:rPr>
              <w:t>95,142</w:t>
            </w:r>
          </w:p>
        </w:tc>
        <w:tc>
          <w:tcPr>
            <w:tcW w:w="240" w:type="dxa"/>
            <w:vAlign w:val="bottom"/>
            <w:vMerge w:val="restart"/>
            <w:shd w:val="clear" w:color="auto" w:fill="CCECFF"/>
          </w:tcPr>
          <w:p>
            <w:pPr>
              <w:spacing w:after="0"/>
              <w:rPr>
                <w:sz w:val="8"/>
                <w:szCs w:val="8"/>
                <w:color w:val="auto"/>
              </w:rPr>
            </w:pPr>
          </w:p>
        </w:tc>
        <w:tc>
          <w:tcPr>
            <w:tcW w:w="1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vMerge w:val="restart"/>
            <w:shd w:val="clear" w:color="auto" w:fill="CCECFF"/>
          </w:tcPr>
          <w:p>
            <w:pPr>
              <w:jc w:val="right"/>
              <w:ind w:right="138"/>
              <w:spacing w:after="0"/>
              <w:rPr>
                <w:sz w:val="20"/>
                <w:szCs w:val="20"/>
                <w:color w:val="auto"/>
              </w:rPr>
            </w:pPr>
            <w:r>
              <w:rPr>
                <w:rFonts w:ascii="Arial" w:cs="Arial" w:eastAsia="Arial" w:hAnsi="Arial"/>
                <w:sz w:val="13"/>
                <w:szCs w:val="13"/>
                <w:color w:val="auto"/>
              </w:rPr>
              <w:t>(334,683 )</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94,257</w:t>
            </w:r>
          </w:p>
        </w:tc>
        <w:tc>
          <w:tcPr>
            <w:tcW w:w="200" w:type="dxa"/>
            <w:vAlign w:val="bottom"/>
            <w:shd w:val="clear" w:color="auto" w:fill="CCECFF"/>
          </w:tcPr>
          <w:p>
            <w:pPr>
              <w:spacing w:after="0"/>
              <w:rPr>
                <w:sz w:val="8"/>
                <w:szCs w:val="8"/>
                <w:color w:val="auto"/>
              </w:rPr>
            </w:pP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353,796</w:t>
            </w:r>
          </w:p>
        </w:tc>
        <w:tc>
          <w:tcPr>
            <w:tcW w:w="32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8,664</w:t>
            </w:r>
          </w:p>
        </w:tc>
        <w:tc>
          <w:tcPr>
            <w:tcW w:w="30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3,983</w:t>
            </w:r>
          </w:p>
        </w:tc>
        <w:tc>
          <w:tcPr>
            <w:tcW w:w="30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6,655</w:t>
            </w:r>
          </w:p>
        </w:tc>
        <w:tc>
          <w:tcPr>
            <w:tcW w:w="280" w:type="dxa"/>
            <w:vAlign w:val="bottom"/>
            <w:gridSpan w:val="2"/>
            <w:vMerge w:val="restart"/>
            <w:shd w:val="clear" w:color="auto" w:fill="CCEC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CFF"/>
          </w:tcPr>
          <w:p>
            <w:pPr>
              <w:jc w:val="right"/>
              <w:spacing w:after="0"/>
              <w:rPr>
                <w:sz w:val="20"/>
                <w:szCs w:val="20"/>
                <w:color w:val="auto"/>
              </w:rPr>
            </w:pPr>
            <w:r>
              <w:rPr>
                <w:rFonts w:ascii="Arial" w:cs="Arial" w:eastAsia="Arial" w:hAnsi="Arial"/>
                <w:sz w:val="13"/>
                <w:szCs w:val="13"/>
                <w:color w:val="auto"/>
              </w:rPr>
              <w:t>75,243</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CFF"/>
          </w:tcPr>
          <w:p>
            <w:pPr>
              <w:ind w:left="120"/>
              <w:spacing w:after="0" w:line="102" w:lineRule="exact"/>
              <w:rPr>
                <w:sz w:val="20"/>
                <w:szCs w:val="20"/>
                <w:color w:val="auto"/>
              </w:rPr>
            </w:pPr>
            <w:r>
              <w:rPr>
                <w:rFonts w:ascii="Arial" w:cs="Arial" w:eastAsia="Arial" w:hAnsi="Arial"/>
                <w:sz w:val="10"/>
                <w:szCs w:val="10"/>
                <w:b w:val="1"/>
                <w:bCs w:val="1"/>
                <w:color w:val="auto"/>
              </w:rPr>
              <w:t>Non-Controlled Affiliates</w:t>
            </w:r>
          </w:p>
        </w:tc>
        <w:tc>
          <w:tcPr>
            <w:tcW w:w="120" w:type="dxa"/>
            <w:vAlign w:val="bottom"/>
            <w:vMerge w:val="continue"/>
            <w:shd w:val="clear" w:color="auto" w:fill="CCECFF"/>
          </w:tcPr>
          <w:p>
            <w:pPr>
              <w:spacing w:after="0"/>
              <w:rPr>
                <w:sz w:val="12"/>
                <w:szCs w:val="12"/>
                <w:color w:val="auto"/>
              </w:rPr>
            </w:pPr>
          </w:p>
        </w:tc>
        <w:tc>
          <w:tcPr>
            <w:tcW w:w="80" w:type="dxa"/>
            <w:vAlign w:val="bottom"/>
            <w:vMerge w:val="continue"/>
            <w:shd w:val="clear" w:color="auto" w:fill="CCECFF"/>
          </w:tcPr>
          <w:p>
            <w:pPr>
              <w:spacing w:after="0"/>
              <w:rPr>
                <w:sz w:val="12"/>
                <w:szCs w:val="12"/>
                <w:color w:val="auto"/>
              </w:rPr>
            </w:pPr>
          </w:p>
        </w:tc>
        <w:tc>
          <w:tcPr>
            <w:tcW w:w="900" w:type="dxa"/>
            <w:vAlign w:val="bottom"/>
            <w:vMerge w:val="continue"/>
            <w:shd w:val="clear" w:color="auto" w:fill="CCECFF"/>
          </w:tcPr>
          <w:p>
            <w:pPr>
              <w:spacing w:after="0"/>
              <w:rPr>
                <w:sz w:val="12"/>
                <w:szCs w:val="12"/>
                <w:color w:val="auto"/>
              </w:rPr>
            </w:pPr>
          </w:p>
        </w:tc>
        <w:tc>
          <w:tcPr>
            <w:tcW w:w="240" w:type="dxa"/>
            <w:vAlign w:val="bottom"/>
            <w:vMerge w:val="continue"/>
            <w:shd w:val="clear" w:color="auto" w:fill="CCECFF"/>
          </w:tcPr>
          <w:p>
            <w:pPr>
              <w:spacing w:after="0"/>
              <w:rPr>
                <w:sz w:val="12"/>
                <w:szCs w:val="12"/>
                <w:color w:val="auto"/>
              </w:rPr>
            </w:pPr>
          </w:p>
        </w:tc>
        <w:tc>
          <w:tcPr>
            <w:tcW w:w="140" w:type="dxa"/>
            <w:vAlign w:val="bottom"/>
            <w:vMerge w:val="continue"/>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380" w:type="dxa"/>
            <w:vAlign w:val="bottom"/>
            <w:vMerge w:val="continue"/>
            <w:shd w:val="clear" w:color="auto" w:fill="CCECFF"/>
          </w:tcPr>
          <w:p>
            <w:pPr>
              <w:spacing w:after="0"/>
              <w:rPr>
                <w:sz w:val="12"/>
                <w:szCs w:val="12"/>
                <w:color w:val="auto"/>
              </w:rPr>
            </w:pPr>
          </w:p>
        </w:tc>
        <w:tc>
          <w:tcPr>
            <w:tcW w:w="240" w:type="dxa"/>
            <w:vAlign w:val="bottom"/>
            <w:vMerge w:val="continue"/>
            <w:shd w:val="clear" w:color="auto" w:fill="CCECFF"/>
          </w:tcPr>
          <w:p>
            <w:pPr>
              <w:spacing w:after="0"/>
              <w:rPr>
                <w:sz w:val="12"/>
                <w:szCs w:val="12"/>
                <w:color w:val="auto"/>
              </w:rPr>
            </w:pPr>
          </w:p>
        </w:tc>
        <w:tc>
          <w:tcPr>
            <w:tcW w:w="140" w:type="dxa"/>
            <w:vAlign w:val="bottom"/>
            <w:vMerge w:val="continue"/>
            <w:shd w:val="clear" w:color="auto" w:fill="CCECFF"/>
          </w:tcPr>
          <w:p>
            <w:pPr>
              <w:spacing w:after="0"/>
              <w:rPr>
                <w:sz w:val="12"/>
                <w:szCs w:val="12"/>
                <w:color w:val="auto"/>
              </w:rPr>
            </w:pPr>
          </w:p>
        </w:tc>
        <w:tc>
          <w:tcPr>
            <w:tcW w:w="1080" w:type="dxa"/>
            <w:vAlign w:val="bottom"/>
            <w:gridSpan w:val="2"/>
            <w:vMerge w:val="continue"/>
            <w:shd w:val="clear" w:color="auto" w:fill="CCECFF"/>
          </w:tcPr>
          <w:p>
            <w:pPr>
              <w:spacing w:after="0"/>
              <w:rPr>
                <w:sz w:val="12"/>
                <w:szCs w:val="12"/>
                <w:color w:val="auto"/>
              </w:rPr>
            </w:pPr>
          </w:p>
        </w:tc>
        <w:tc>
          <w:tcPr>
            <w:tcW w:w="100" w:type="dxa"/>
            <w:vAlign w:val="bottom"/>
            <w:vMerge w:val="continue"/>
            <w:shd w:val="clear" w:color="auto" w:fill="CCECFF"/>
          </w:tcPr>
          <w:p>
            <w:pPr>
              <w:spacing w:after="0"/>
              <w:rPr>
                <w:sz w:val="12"/>
                <w:szCs w:val="12"/>
                <w:color w:val="auto"/>
              </w:rPr>
            </w:pPr>
          </w:p>
        </w:tc>
        <w:tc>
          <w:tcPr>
            <w:tcW w:w="940" w:type="dxa"/>
            <w:vAlign w:val="bottom"/>
            <w:vMerge w:val="continue"/>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00" w:type="dxa"/>
            <w:vAlign w:val="bottom"/>
            <w:vMerge w:val="continue"/>
            <w:shd w:val="clear" w:color="auto" w:fill="CCECFF"/>
          </w:tcPr>
          <w:p>
            <w:pPr>
              <w:spacing w:after="0"/>
              <w:rPr>
                <w:sz w:val="12"/>
                <w:szCs w:val="12"/>
                <w:color w:val="auto"/>
              </w:rPr>
            </w:pPr>
          </w:p>
        </w:tc>
        <w:tc>
          <w:tcPr>
            <w:tcW w:w="840" w:type="dxa"/>
            <w:vAlign w:val="bottom"/>
            <w:vMerge w:val="continue"/>
            <w:shd w:val="clear" w:color="auto" w:fill="CCECFF"/>
          </w:tcPr>
          <w:p>
            <w:pPr>
              <w:spacing w:after="0"/>
              <w:rPr>
                <w:sz w:val="12"/>
                <w:szCs w:val="12"/>
                <w:color w:val="auto"/>
              </w:rPr>
            </w:pPr>
          </w:p>
        </w:tc>
        <w:tc>
          <w:tcPr>
            <w:tcW w:w="320" w:type="dxa"/>
            <w:vAlign w:val="bottom"/>
            <w:gridSpan w:val="2"/>
            <w:vMerge w:val="continue"/>
            <w:shd w:val="clear" w:color="auto" w:fill="CCECFF"/>
          </w:tcPr>
          <w:p>
            <w:pPr>
              <w:spacing w:after="0"/>
              <w:rPr>
                <w:sz w:val="12"/>
                <w:szCs w:val="12"/>
                <w:color w:val="auto"/>
              </w:rPr>
            </w:pPr>
          </w:p>
        </w:tc>
        <w:tc>
          <w:tcPr>
            <w:tcW w:w="620" w:type="dxa"/>
            <w:vAlign w:val="bottom"/>
            <w:vMerge w:val="continue"/>
            <w:shd w:val="clear" w:color="auto" w:fill="CCECFF"/>
          </w:tcPr>
          <w:p>
            <w:pPr>
              <w:spacing w:after="0"/>
              <w:rPr>
                <w:sz w:val="12"/>
                <w:szCs w:val="12"/>
                <w:color w:val="auto"/>
              </w:rPr>
            </w:pPr>
          </w:p>
        </w:tc>
        <w:tc>
          <w:tcPr>
            <w:tcW w:w="300" w:type="dxa"/>
            <w:vAlign w:val="bottom"/>
            <w:gridSpan w:val="2"/>
            <w:vMerge w:val="continue"/>
            <w:shd w:val="clear" w:color="auto" w:fill="CCECFF"/>
          </w:tcPr>
          <w:p>
            <w:pPr>
              <w:spacing w:after="0"/>
              <w:rPr>
                <w:sz w:val="12"/>
                <w:szCs w:val="12"/>
                <w:color w:val="auto"/>
              </w:rPr>
            </w:pPr>
          </w:p>
        </w:tc>
        <w:tc>
          <w:tcPr>
            <w:tcW w:w="520" w:type="dxa"/>
            <w:vAlign w:val="bottom"/>
            <w:vMerge w:val="continue"/>
            <w:shd w:val="clear" w:color="auto" w:fill="CCECFF"/>
          </w:tcPr>
          <w:p>
            <w:pPr>
              <w:spacing w:after="0"/>
              <w:rPr>
                <w:sz w:val="12"/>
                <w:szCs w:val="12"/>
                <w:color w:val="auto"/>
              </w:rPr>
            </w:pPr>
          </w:p>
        </w:tc>
        <w:tc>
          <w:tcPr>
            <w:tcW w:w="300" w:type="dxa"/>
            <w:vAlign w:val="bottom"/>
            <w:gridSpan w:val="2"/>
            <w:vMerge w:val="continue"/>
            <w:shd w:val="clear" w:color="auto" w:fill="CCECFF"/>
          </w:tcPr>
          <w:p>
            <w:pPr>
              <w:spacing w:after="0"/>
              <w:rPr>
                <w:sz w:val="12"/>
                <w:szCs w:val="12"/>
                <w:color w:val="auto"/>
              </w:rPr>
            </w:pPr>
          </w:p>
        </w:tc>
        <w:tc>
          <w:tcPr>
            <w:tcW w:w="560" w:type="dxa"/>
            <w:vAlign w:val="bottom"/>
            <w:vMerge w:val="continue"/>
            <w:shd w:val="clear" w:color="auto" w:fill="CCECFF"/>
          </w:tcPr>
          <w:p>
            <w:pPr>
              <w:spacing w:after="0"/>
              <w:rPr>
                <w:sz w:val="12"/>
                <w:szCs w:val="12"/>
                <w:color w:val="auto"/>
              </w:rPr>
            </w:pPr>
          </w:p>
        </w:tc>
        <w:tc>
          <w:tcPr>
            <w:tcW w:w="280" w:type="dxa"/>
            <w:vAlign w:val="bottom"/>
            <w:gridSpan w:val="2"/>
            <w:vMerge w:val="continue"/>
            <w:shd w:val="clear" w:color="auto" w:fill="CCECFF"/>
          </w:tcPr>
          <w:p>
            <w:pPr>
              <w:spacing w:after="0"/>
              <w:rPr>
                <w:sz w:val="12"/>
                <w:szCs w:val="12"/>
                <w:color w:val="auto"/>
              </w:rPr>
            </w:pPr>
          </w:p>
        </w:tc>
        <w:tc>
          <w:tcPr>
            <w:tcW w:w="56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-879475</wp:posOffset>
            </wp:positionV>
            <wp:extent cx="76835"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-879475</wp:posOffset>
            </wp:positionV>
            <wp:extent cx="7683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-879475</wp:posOffset>
            </wp:positionV>
            <wp:extent cx="7747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-879475</wp:posOffset>
            </wp:positionV>
            <wp:extent cx="6858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-879475</wp:posOffset>
            </wp:positionV>
            <wp:extent cx="6858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-879475</wp:posOffset>
            </wp:positionV>
            <wp:extent cx="685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-879475</wp:posOffset>
            </wp:positionV>
            <wp:extent cx="6858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-879475</wp:posOffset>
            </wp:positionV>
            <wp:extent cx="685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-347980</wp:posOffset>
            </wp:positionV>
            <wp:extent cx="7683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-347980</wp:posOffset>
            </wp:positionV>
            <wp:extent cx="76835"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-347980</wp:posOffset>
            </wp:positionV>
            <wp:extent cx="7747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-347980</wp:posOffset>
            </wp:positionV>
            <wp:extent cx="6858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-347980</wp:posOffset>
            </wp:positionV>
            <wp:extent cx="6858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-347980</wp:posOffset>
            </wp:positionV>
            <wp:extent cx="6858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-347980</wp:posOffset>
            </wp:positionV>
            <wp:extent cx="6858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-347980</wp:posOffset>
            </wp:positionV>
            <wp:extent cx="6858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wp:posOffset>
            </wp:positionV>
            <wp:extent cx="6858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-24765</wp:posOffset>
            </wp:positionV>
            <wp:extent cx="768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-7620</wp:posOffset>
            </wp:positionV>
            <wp:extent cx="768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8"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4"/>
          <w:szCs w:val="14"/>
          <w:b w:val="1"/>
          <w:bCs w:val="1"/>
          <w:color w:val="auto"/>
          <w:vertAlign w:val="superscript"/>
        </w:rPr>
      </w:pPr>
      <w:r>
        <w:rPr>
          <w:rFonts w:ascii="Arial" w:cs="Arial" w:eastAsia="Arial" w:hAnsi="Arial"/>
          <w:sz w:val="11"/>
          <w:szCs w:val="11"/>
          <w:color w:val="auto"/>
        </w:rPr>
        <w:t>Includes PIK.</w:t>
      </w:r>
    </w:p>
    <w:p>
      <w:pPr>
        <w:ind w:left="380" w:hanging="372"/>
        <w:spacing w:after="0" w:line="181" w:lineRule="auto"/>
        <w:tabs>
          <w:tab w:leader="none" w:pos="380" w:val="left"/>
        </w:tabs>
        <w:numPr>
          <w:ilvl w:val="0"/>
          <w:numId w:val="24"/>
        </w:numPr>
        <w:rPr>
          <w:rFonts w:ascii="Arial" w:cs="Arial" w:eastAsia="Arial" w:hAnsi="Arial"/>
          <w:sz w:val="14"/>
          <w:szCs w:val="14"/>
          <w:b w:val="1"/>
          <w:bCs w:val="1"/>
          <w:color w:val="auto"/>
          <w:vertAlign w:val="superscript"/>
        </w:rPr>
      </w:pPr>
      <w:r>
        <w:rPr>
          <w:rFonts w:ascii="Arial" w:cs="Arial" w:eastAsia="Arial" w:hAnsi="Arial"/>
          <w:sz w:val="11"/>
          <w:szCs w:val="11"/>
          <w:color w:val="auto"/>
        </w:rPr>
        <w:t>Cascade Environmental Holdings, LLC became a controlled affiliate during the quarter ended June 30, 2022.</w:t>
      </w:r>
    </w:p>
    <w:p>
      <w:pPr>
        <w:ind w:left="380" w:right="440" w:hanging="372"/>
        <w:spacing w:after="0" w:line="267" w:lineRule="auto"/>
        <w:tabs>
          <w:tab w:leader="none" w:pos="3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decisions regarding PSLF must be submitted to PSLF’s four-person Member Designees’ Committee, which is comprised of two members appointed by each of us and Pantheon. Because management of PSLF is shared equally between us and Pantheon, we do not believe we control PSLF for purposes of the 1940 Act or otherwise.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Numerator for net increase (decrease) in net assets resulting from operations</w:t>
            </w: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(18,481</w:t>
            </w:r>
          </w:p>
        </w:tc>
        <w:tc>
          <w:tcPr>
            <w:tcW w:w="28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31,880</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10,187</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141,509</w:t>
            </w:r>
          </w:p>
        </w:tc>
        <w:tc>
          <w:tcPr>
            <w:tcW w:w="100" w:type="dxa"/>
            <w:vAlign w:val="bottom"/>
            <w:shd w:val="clear" w:color="auto" w:fill="CCECFF"/>
          </w:tcPr>
          <w:p>
            <w:pPr>
              <w:spacing w:after="0"/>
              <w:rPr>
                <w:sz w:val="14"/>
                <w:szCs w:val="14"/>
                <w:color w:val="auto"/>
              </w:rPr>
            </w:pPr>
          </w:p>
        </w:tc>
      </w:tr>
      <w:tr>
        <w:trPr>
          <w:trHeight w:val="175"/>
        </w:trPr>
        <w:tc>
          <w:tcPr>
            <w:tcW w:w="5440" w:type="dxa"/>
            <w:vAlign w:val="bottom"/>
          </w:tcPr>
          <w:p>
            <w:pPr>
              <w:ind w:left="20"/>
              <w:spacing w:after="0"/>
              <w:rPr>
                <w:sz w:val="20"/>
                <w:szCs w:val="20"/>
                <w:color w:val="auto"/>
              </w:rPr>
            </w:pPr>
            <w:r>
              <w:rPr>
                <w:rFonts w:ascii="Arial" w:cs="Arial" w:eastAsia="Arial" w:hAnsi="Arial"/>
                <w:sz w:val="14"/>
                <w:szCs w:val="14"/>
                <w:color w:val="auto"/>
              </w:rPr>
              <w:t>Denominator for basic and diluted weighted average shares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65,897,233</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67,045,105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66,564,289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67,045,105</w:t>
            </w:r>
          </w:p>
        </w:tc>
        <w:tc>
          <w:tcPr>
            <w:tcW w:w="100" w:type="dxa"/>
            <w:vAlign w:val="bottom"/>
          </w:tcPr>
          <w:p>
            <w:pPr>
              <w:spacing w:after="0"/>
              <w:rPr>
                <w:sz w:val="15"/>
                <w:szCs w:val="15"/>
                <w:color w:val="auto"/>
              </w:rPr>
            </w:pPr>
          </w:p>
        </w:tc>
      </w:tr>
      <w:tr>
        <w:trPr>
          <w:trHeight w:val="175"/>
        </w:trPr>
        <w:tc>
          <w:tcPr>
            <w:tcW w:w="5440" w:type="dxa"/>
            <w:vAlign w:val="bottom"/>
            <w:shd w:val="clear" w:color="auto" w:fill="CCECFF"/>
          </w:tcPr>
          <w:p>
            <w:pPr>
              <w:ind w:left="20"/>
              <w:spacing w:after="0"/>
              <w:rPr>
                <w:sz w:val="20"/>
                <w:szCs w:val="20"/>
                <w:color w:val="auto"/>
              </w:rPr>
            </w:pPr>
            <w:r>
              <w:rPr>
                <w:rFonts w:ascii="Arial" w:cs="Arial" w:eastAsia="Arial" w:hAnsi="Arial"/>
                <w:sz w:val="14"/>
                <w:szCs w:val="14"/>
                <w:color w:val="auto"/>
                <w:w w:val="96"/>
              </w:rPr>
              <w:t>Basic and diluted net increase (decrease) in net assets per share resulting from operations</w:t>
            </w:r>
          </w:p>
        </w:tc>
        <w:tc>
          <w:tcPr>
            <w:tcW w:w="28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(0.28 )</w:t>
            </w: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0.48</w:t>
            </w:r>
          </w:p>
        </w:tc>
        <w:tc>
          <w:tcPr>
            <w:tcW w:w="52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0.15</w:t>
            </w:r>
          </w:p>
        </w:tc>
        <w:tc>
          <w:tcPr>
            <w:tcW w:w="520" w:type="dxa"/>
            <w:vAlign w:val="bottom"/>
            <w:gridSpan w:val="2"/>
            <w:shd w:val="clear" w:color="auto" w:fill="CCEC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94" w:lineRule="exact"/>
        <w:rPr>
          <w:sz w:val="20"/>
          <w:szCs w:val="20"/>
          <w:color w:val="auto"/>
        </w:rPr>
      </w:pPr>
    </w:p>
    <w:p>
      <w:pPr>
        <w:jc w:val="both"/>
        <w:ind w:firstLine="449"/>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2022 and September 30, 2021, cash and cash equivalents consisted of money market funds in the amounts of $29.5 million and $20.4 million at fair value,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ind w:right="8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June 30,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820" w:type="dxa"/>
            <w:vAlign w:val="bottom"/>
          </w:tcPr>
          <w:p>
            <w:pPr>
              <w:ind w:left="460"/>
              <w:spacing w:after="0"/>
              <w:rPr>
                <w:sz w:val="20"/>
                <w:szCs w:val="20"/>
                <w:color w:val="auto"/>
              </w:rPr>
            </w:pPr>
            <w:r>
              <w:rPr>
                <w:rFonts w:ascii="Arial" w:cs="Arial" w:eastAsia="Arial" w:hAnsi="Arial"/>
                <w:sz w:val="14"/>
                <w:szCs w:val="14"/>
                <w:color w:val="auto"/>
              </w:rPr>
              <w:t>Below are the financial highlights ($ in thousands, except share and per share data):</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20" w:type="dxa"/>
            <w:vAlign w:val="bottom"/>
          </w:tcPr>
          <w:p>
            <w:pPr>
              <w:spacing w:after="0"/>
              <w:rPr>
                <w:sz w:val="24"/>
                <w:szCs w:val="24"/>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Nine Months Ended June 30,</w:t>
            </w:r>
          </w:p>
        </w:tc>
        <w:tc>
          <w:tcPr>
            <w:tcW w:w="122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2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rPr>
                <w:sz w:val="20"/>
                <w:szCs w:val="20"/>
                <w:color w:val="auto"/>
              </w:rPr>
            </w:pPr>
            <w:r>
              <w:rPr>
                <w:rFonts w:ascii="Arial" w:cs="Arial" w:eastAsia="Arial" w:hAnsi="Arial"/>
                <w:sz w:val="14"/>
                <w:szCs w:val="14"/>
                <w:b w:val="1"/>
                <w:bCs w:val="1"/>
                <w:color w:val="auto"/>
              </w:rPr>
              <w:t>Per Share Data:</w:t>
            </w:r>
          </w:p>
        </w:tc>
        <w:tc>
          <w:tcPr>
            <w:tcW w:w="12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rPr>
                <w:sz w:val="20"/>
                <w:szCs w:val="20"/>
                <w:color w:val="auto"/>
              </w:rPr>
            </w:pPr>
            <w:r>
              <w:rPr>
                <w:rFonts w:ascii="Arial" w:cs="Arial" w:eastAsia="Arial" w:hAnsi="Arial"/>
                <w:sz w:val="14"/>
                <w:szCs w:val="14"/>
                <w:color w:val="auto"/>
              </w:rPr>
              <w:t>Net asset value, beginning of period</w:t>
            </w: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9.85</w:t>
            </w:r>
          </w:p>
        </w:tc>
        <w:tc>
          <w:tcPr>
            <w:tcW w:w="340" w:type="dxa"/>
            <w:vAlign w:val="bottom"/>
          </w:tcPr>
          <w:p>
            <w:pPr>
              <w:spacing w:after="0"/>
              <w:rPr>
                <w:sz w:val="15"/>
                <w:szCs w:val="15"/>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9"/>
                <w:szCs w:val="19"/>
                <w:color w:val="auto"/>
                <w:vertAlign w:val="superscript"/>
              </w:rPr>
              <w:t>(1)</w:t>
            </w:r>
          </w:p>
        </w:tc>
        <w:tc>
          <w:tcPr>
            <w:tcW w:w="12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0.52</w:t>
            </w:r>
          </w:p>
        </w:tc>
        <w:tc>
          <w:tcPr>
            <w:tcW w:w="34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Net change in realized and unrealized (loss) gain </w:t>
            </w:r>
            <w:r>
              <w:rPr>
                <w:rFonts w:ascii="Arial" w:cs="Arial" w:eastAsia="Arial" w:hAnsi="Arial"/>
                <w:sz w:val="19"/>
                <w:szCs w:val="19"/>
                <w:color w:val="auto"/>
                <w:vertAlign w:val="superscript"/>
              </w:rPr>
              <w:t>(1)</w:t>
            </w:r>
          </w:p>
        </w:tc>
        <w:tc>
          <w:tcPr>
            <w:tcW w:w="1200" w:type="dxa"/>
            <w:vAlign w:val="bottom"/>
          </w:tcPr>
          <w:p>
            <w:pPr>
              <w:spacing w:after="0"/>
              <w:rPr>
                <w:sz w:val="15"/>
                <w:szCs w:val="15"/>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4"/>
                <w:szCs w:val="14"/>
                <w:color w:val="auto"/>
              </w:rPr>
              <w:t>(0.37 )</w:t>
            </w:r>
          </w:p>
        </w:tc>
        <w:tc>
          <w:tcPr>
            <w:tcW w:w="7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9"/>
                <w:szCs w:val="19"/>
                <w:color w:val="auto"/>
                <w:vertAlign w:val="superscript"/>
              </w:rPr>
              <w:t>(1)</w:t>
            </w:r>
          </w:p>
        </w:tc>
        <w:tc>
          <w:tcPr>
            <w:tcW w:w="120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0.15</w:t>
            </w:r>
          </w:p>
        </w:tc>
        <w:tc>
          <w:tcPr>
            <w:tcW w:w="340" w:type="dxa"/>
            <w:vAlign w:val="bottom"/>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9"/>
                <w:szCs w:val="19"/>
                <w:color w:val="auto"/>
                <w:vertAlign w:val="superscript"/>
              </w:rPr>
              <w:t>(1), (2)</w:t>
            </w:r>
          </w:p>
        </w:tc>
        <w:tc>
          <w:tcPr>
            <w:tcW w:w="1200" w:type="dxa"/>
            <w:vAlign w:val="bottom"/>
          </w:tcPr>
          <w:p>
            <w:pPr>
              <w:spacing w:after="0"/>
              <w:rPr>
                <w:sz w:val="15"/>
                <w:szCs w:val="15"/>
                <w:color w:val="auto"/>
              </w:rPr>
            </w:pPr>
          </w:p>
        </w:tc>
        <w:tc>
          <w:tcPr>
            <w:tcW w:w="1120" w:type="dxa"/>
            <w:vAlign w:val="bottom"/>
            <w:gridSpan w:val="2"/>
          </w:tcPr>
          <w:p>
            <w:pPr>
              <w:jc w:val="right"/>
              <w:ind w:right="208"/>
              <w:spacing w:after="0"/>
              <w:rPr>
                <w:sz w:val="20"/>
                <w:szCs w:val="20"/>
                <w:color w:val="auto"/>
              </w:rPr>
            </w:pPr>
            <w:r>
              <w:rPr>
                <w:rFonts w:ascii="Arial" w:cs="Arial" w:eastAsia="Arial" w:hAnsi="Arial"/>
                <w:sz w:val="14"/>
                <w:szCs w:val="14"/>
                <w:color w:val="auto"/>
              </w:rPr>
              <w:t>(0.40 )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(0.36 )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9"/>
                <w:szCs w:val="19"/>
                <w:color w:val="auto"/>
                <w:vertAlign w:val="superscript"/>
              </w:rPr>
              <w:t>(1)</w:t>
            </w:r>
          </w:p>
        </w:tc>
        <w:tc>
          <w:tcPr>
            <w:tcW w:w="12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0.05</w:t>
            </w:r>
          </w:p>
        </w:tc>
        <w:tc>
          <w:tcPr>
            <w:tcW w:w="34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ind w:right="5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Borders>
              <w:top w:val="single" w:sz="8" w:color="CCECFF"/>
            </w:tcBorders>
          </w:tcPr>
          <w:p>
            <w:pPr>
              <w:ind w:left="20"/>
              <w:spacing w:after="0"/>
              <w:rPr>
                <w:sz w:val="20"/>
                <w:szCs w:val="20"/>
                <w:color w:val="auto"/>
              </w:rPr>
            </w:pPr>
            <w:r>
              <w:rPr>
                <w:rFonts w:ascii="Arial" w:cs="Arial" w:eastAsia="Arial" w:hAnsi="Arial"/>
                <w:sz w:val="14"/>
                <w:szCs w:val="14"/>
                <w:color w:val="auto"/>
              </w:rPr>
              <w:t>Net asset value, end of period</w:t>
            </w:r>
          </w:p>
        </w:tc>
        <w:tc>
          <w:tcPr>
            <w:tcW w:w="1200" w:type="dxa"/>
            <w:vAlign w:val="bottom"/>
            <w:tcBorders>
              <w:top w:val="single" w:sz="8" w:color="auto"/>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w:t>
            </w:r>
          </w:p>
        </w:tc>
        <w:tc>
          <w:tcPr>
            <w:tcW w:w="340" w:type="dxa"/>
            <w:vAlign w:val="bottom"/>
            <w:tcBorders>
              <w:top w:val="single" w:sz="8" w:color="CCEC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Borders>
              <w:top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CCECFF"/>
            </w:tcBorders>
            <w:shd w:val="clear" w:color="auto" w:fill="CCECFF"/>
          </w:tcPr>
          <w:p>
            <w:pPr>
              <w:ind w:left="20"/>
              <w:spacing w:after="0" w:line="156" w:lineRule="exact"/>
              <w:rPr>
                <w:sz w:val="20"/>
                <w:szCs w:val="20"/>
                <w:color w:val="auto"/>
              </w:rPr>
            </w:pPr>
            <w:r>
              <w:rPr>
                <w:rFonts w:ascii="Arial" w:cs="Arial" w:eastAsia="Arial" w:hAnsi="Arial"/>
                <w:sz w:val="14"/>
                <w:szCs w:val="14"/>
                <w:color w:val="auto"/>
              </w:rPr>
              <w:t>Per share market value, end of period</w:t>
            </w:r>
          </w:p>
        </w:tc>
        <w:tc>
          <w:tcPr>
            <w:tcW w:w="1200" w:type="dxa"/>
            <w:vAlign w:val="bottom"/>
            <w:tcBorders>
              <w:bottom w:val="single" w:sz="8" w:color="auto"/>
            </w:tcBorders>
            <w:shd w:val="clear" w:color="auto" w:fill="CCECFF"/>
          </w:tcPr>
          <w:p>
            <w:pPr>
              <w:jc w:val="right"/>
              <w:ind w:right="1048"/>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6.18</w:t>
            </w:r>
          </w:p>
        </w:tc>
        <w:tc>
          <w:tcPr>
            <w:tcW w:w="34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ind w:right="628"/>
              <w:spacing w:after="0" w:line="156"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6" w:lineRule="exact"/>
              <w:rPr>
                <w:sz w:val="20"/>
                <w:szCs w:val="20"/>
                <w:color w:val="auto"/>
              </w:rPr>
            </w:pPr>
            <w:r>
              <w:rPr>
                <w:rFonts w:ascii="Arial" w:cs="Arial" w:eastAsia="Arial" w:hAnsi="Arial"/>
                <w:sz w:val="14"/>
                <w:szCs w:val="14"/>
                <w:color w:val="auto"/>
              </w:rPr>
              <w:t>6.68</w:t>
            </w:r>
          </w:p>
        </w:tc>
        <w:tc>
          <w:tcPr>
            <w:tcW w:w="100" w:type="dxa"/>
            <w:vAlign w:val="bottom"/>
            <w:tcBorders>
              <w:bottom w:val="single" w:sz="8" w:color="CCECFF"/>
            </w:tcBorders>
            <w:shd w:val="clear" w:color="auto" w:fill="CCE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820" w:type="dxa"/>
            <w:vAlign w:val="bottom"/>
          </w:tcPr>
          <w:p>
            <w:pPr>
              <w:ind w:left="20"/>
              <w:spacing w:after="0" w:line="156" w:lineRule="exact"/>
              <w:rPr>
                <w:sz w:val="20"/>
                <w:szCs w:val="20"/>
                <w:color w:val="auto"/>
              </w:rPr>
            </w:pPr>
            <w:r>
              <w:rPr>
                <w:rFonts w:ascii="Arial" w:cs="Arial" w:eastAsia="Arial" w:hAnsi="Arial"/>
                <w:sz w:val="14"/>
                <w:szCs w:val="14"/>
                <w:color w:val="auto"/>
              </w:rPr>
              <w:t>Total return</w:t>
            </w:r>
            <w:r>
              <w:rPr>
                <w:rFonts w:ascii="Arial" w:cs="Arial" w:eastAsia="Arial" w:hAnsi="Arial"/>
                <w:sz w:val="18"/>
                <w:szCs w:val="18"/>
                <w:color w:val="auto"/>
                <w:vertAlign w:val="superscript"/>
              </w:rPr>
              <w:t>* (3)</w:t>
            </w:r>
          </w:p>
        </w:tc>
        <w:tc>
          <w:tcPr>
            <w:tcW w:w="1200" w:type="dxa"/>
            <w:vAlign w:val="bottom"/>
          </w:tcPr>
          <w:p>
            <w:pPr>
              <w:spacing w:after="0"/>
              <w:rPr>
                <w:sz w:val="13"/>
                <w:szCs w:val="13"/>
                <w:color w:val="auto"/>
              </w:rPr>
            </w:pPr>
          </w:p>
        </w:tc>
        <w:tc>
          <w:tcPr>
            <w:tcW w:w="1120" w:type="dxa"/>
            <w:vAlign w:val="bottom"/>
            <w:gridSpan w:val="2"/>
          </w:tcPr>
          <w:p>
            <w:pPr>
              <w:jc w:val="right"/>
              <w:ind w:right="148"/>
              <w:spacing w:after="0" w:line="156" w:lineRule="exact"/>
              <w:rPr>
                <w:sz w:val="20"/>
                <w:szCs w:val="20"/>
                <w:color w:val="auto"/>
              </w:rPr>
            </w:pPr>
            <w:r>
              <w:rPr>
                <w:rFonts w:ascii="Arial" w:cs="Arial" w:eastAsia="Arial" w:hAnsi="Arial"/>
                <w:sz w:val="14"/>
                <w:szCs w:val="14"/>
                <w:color w:val="auto"/>
              </w:rPr>
              <w:t>0.88 %</w:t>
            </w:r>
          </w:p>
        </w:tc>
        <w:tc>
          <w:tcPr>
            <w:tcW w:w="780" w:type="dxa"/>
            <w:vAlign w:val="bottom"/>
          </w:tcPr>
          <w:p>
            <w:pPr>
              <w:spacing w:after="0"/>
              <w:rPr>
                <w:sz w:val="13"/>
                <w:szCs w:val="13"/>
                <w:color w:val="auto"/>
              </w:rPr>
            </w:pPr>
          </w:p>
        </w:tc>
        <w:tc>
          <w:tcPr>
            <w:tcW w:w="13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123.38 %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Shares outstanding at end of period</w:t>
            </w:r>
          </w:p>
        </w:tc>
        <w:tc>
          <w:tcPr>
            <w:tcW w:w="1200" w:type="dxa"/>
            <w:vAlign w:val="bottom"/>
            <w:tcBorders>
              <w:bottom w:val="single" w:sz="8" w:color="auto"/>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65,413,942</w:t>
            </w:r>
          </w:p>
        </w:tc>
        <w:tc>
          <w:tcPr>
            <w:tcW w:w="34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67,045,105</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line="169" w:lineRule="exact"/>
              <w:rPr>
                <w:sz w:val="20"/>
                <w:szCs w:val="20"/>
                <w:color w:val="auto"/>
              </w:rPr>
            </w:pPr>
            <w:r>
              <w:rPr>
                <w:rFonts w:ascii="Arial" w:cs="Arial" w:eastAsia="Arial" w:hAnsi="Arial"/>
                <w:sz w:val="14"/>
                <w:szCs w:val="14"/>
                <w:b w:val="1"/>
                <w:bCs w:val="1"/>
                <w:color w:val="auto"/>
              </w:rPr>
              <w:t>Ratios</w:t>
            </w:r>
            <w:r>
              <w:rPr>
                <w:rFonts w:ascii="Arial" w:cs="Arial" w:eastAsia="Arial" w:hAnsi="Arial"/>
                <w:sz w:val="19"/>
                <w:szCs w:val="19"/>
                <w:b w:val="1"/>
                <w:bCs w:val="1"/>
                <w:color w:val="auto"/>
                <w:vertAlign w:val="superscript"/>
              </w:rPr>
              <w:t>**</w:t>
            </w:r>
            <w:r>
              <w:rPr>
                <w:rFonts w:ascii="Arial" w:cs="Arial" w:eastAsia="Arial" w:hAnsi="Arial"/>
                <w:sz w:val="14"/>
                <w:szCs w:val="14"/>
                <w:b w:val="1"/>
                <w:bCs w:val="1"/>
                <w:color w:val="auto"/>
              </w:rPr>
              <w:t xml:space="preserve"> / Supplemental Data:</w:t>
            </w: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shd w:val="clear" w:color="auto" w:fill="CCECFF"/>
          </w:tcPr>
          <w:p>
            <w:pPr>
              <w:ind w:left="20"/>
              <w:spacing w:after="0" w:line="175"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9"/>
                <w:szCs w:val="19"/>
                <w:color w:val="auto"/>
                <w:vertAlign w:val="superscript"/>
              </w:rPr>
              <w:t>(4)</w:t>
            </w:r>
          </w:p>
        </w:tc>
        <w:tc>
          <w:tcPr>
            <w:tcW w:w="12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148"/>
              <w:spacing w:after="0"/>
              <w:rPr>
                <w:sz w:val="20"/>
                <w:szCs w:val="20"/>
                <w:color w:val="auto"/>
              </w:rPr>
            </w:pPr>
            <w:r>
              <w:rPr>
                <w:rFonts w:ascii="Arial" w:cs="Arial" w:eastAsia="Arial" w:hAnsi="Arial"/>
                <w:sz w:val="14"/>
                <w:szCs w:val="14"/>
                <w:color w:val="auto"/>
              </w:rPr>
              <w:t>4.27 %</w:t>
            </w:r>
          </w:p>
        </w:tc>
        <w:tc>
          <w:tcPr>
            <w:tcW w:w="780" w:type="dxa"/>
            <w:vAlign w:val="bottom"/>
            <w:shd w:val="clear" w:color="auto" w:fill="CCECFF"/>
          </w:tcPr>
          <w:p>
            <w:pPr>
              <w:spacing w:after="0"/>
              <w:rPr>
                <w:sz w:val="15"/>
                <w:szCs w:val="15"/>
                <w:color w:val="auto"/>
              </w:rPr>
            </w:pPr>
          </w:p>
        </w:tc>
        <w:tc>
          <w:tcPr>
            <w:tcW w:w="13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3.71 %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9"/>
                <w:szCs w:val="19"/>
                <w:color w:val="auto"/>
                <w:vertAlign w:val="superscript"/>
              </w:rPr>
              <w:t>(5)</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4.06 %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3.80 %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9"/>
                <w:szCs w:val="19"/>
                <w:color w:val="auto"/>
                <w:vertAlign w:val="superscript"/>
              </w:rPr>
              <w:t>(5)</w:t>
            </w:r>
          </w:p>
        </w:tc>
        <w:tc>
          <w:tcPr>
            <w:tcW w:w="120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8.33</w:t>
            </w:r>
          </w:p>
        </w:tc>
        <w:tc>
          <w:tcPr>
            <w:tcW w:w="34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shd w:val="clear" w:color="auto" w:fill="CCECFF"/>
          </w:tcPr>
          <w:p>
            <w:pPr>
              <w:spacing w:after="0"/>
              <w:rPr>
                <w:sz w:val="14"/>
                <w:szCs w:val="14"/>
                <w:color w:val="auto"/>
              </w:rPr>
            </w:pP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20" w:type="dxa"/>
            <w:vAlign w:val="bottom"/>
          </w:tcPr>
          <w:p>
            <w:pPr>
              <w:ind w:left="20"/>
              <w:spacing w:after="0" w:line="175"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9"/>
                <w:szCs w:val="19"/>
                <w:color w:val="auto"/>
                <w:vertAlign w:val="superscript"/>
              </w:rPr>
              <w:t>(5)</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7.02 %</w:t>
            </w:r>
          </w:p>
        </w:tc>
        <w:tc>
          <w:tcPr>
            <w:tcW w:w="7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5.70 %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Net assets at end of period</w:t>
            </w:r>
          </w:p>
        </w:tc>
        <w:tc>
          <w:tcPr>
            <w:tcW w:w="1200" w:type="dxa"/>
            <w:vAlign w:val="bottom"/>
            <w:tcBorders>
              <w:bottom w:val="single" w:sz="8" w:color="auto"/>
            </w:tcBorders>
            <w:shd w:val="clear" w:color="auto" w:fill="CCECFF"/>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631,510</w:t>
            </w:r>
          </w:p>
        </w:tc>
        <w:tc>
          <w:tcPr>
            <w:tcW w:w="34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643,081</w:t>
            </w:r>
          </w:p>
        </w:tc>
        <w:tc>
          <w:tcPr>
            <w:tcW w:w="100" w:type="dxa"/>
            <w:vAlign w:val="bottom"/>
            <w:tcBorders>
              <w:bottom w:val="single" w:sz="8" w:color="CCECFF"/>
            </w:tcBorders>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20" w:type="dxa"/>
            <w:vAlign w:val="bottom"/>
          </w:tcPr>
          <w:p>
            <w:pPr>
              <w:ind w:left="20"/>
              <w:spacing w:after="0"/>
              <w:rPr>
                <w:sz w:val="20"/>
                <w:szCs w:val="20"/>
                <w:color w:val="auto"/>
              </w:rPr>
            </w:pPr>
            <w:r>
              <w:rPr>
                <w:rFonts w:ascii="Arial" w:cs="Arial" w:eastAsia="Arial" w:hAnsi="Arial"/>
                <w:sz w:val="14"/>
                <w:szCs w:val="14"/>
                <w:color w:val="auto"/>
              </w:rPr>
              <w:t>Weighted average debt outstanding</w:t>
            </w: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676,738</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649,965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CFF"/>
          </w:tcPr>
          <w:p>
            <w:pPr>
              <w:ind w:left="20"/>
              <w:spacing w:after="0" w:line="16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9"/>
                <w:szCs w:val="19"/>
                <w:color w:val="auto"/>
                <w:vertAlign w:val="superscript"/>
              </w:rPr>
              <w:t>(1)</w:t>
            </w:r>
          </w:p>
        </w:tc>
        <w:tc>
          <w:tcPr>
            <w:tcW w:w="1200" w:type="dxa"/>
            <w:vAlign w:val="bottom"/>
            <w:shd w:val="clear" w:color="auto" w:fill="CCECFF"/>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10.17</w:t>
            </w:r>
          </w:p>
        </w:tc>
        <w:tc>
          <w:tcPr>
            <w:tcW w:w="340" w:type="dxa"/>
            <w:vAlign w:val="bottom"/>
            <w:shd w:val="clear" w:color="auto" w:fill="CCECFF"/>
          </w:tcPr>
          <w:p>
            <w:pPr>
              <w:spacing w:after="0"/>
              <w:rPr>
                <w:sz w:val="14"/>
                <w:szCs w:val="14"/>
                <w:color w:val="auto"/>
              </w:rPr>
            </w:pPr>
          </w:p>
        </w:tc>
        <w:tc>
          <w:tcPr>
            <w:tcW w:w="780" w:type="dxa"/>
            <w:vAlign w:val="bottom"/>
            <w:shd w:val="clear" w:color="auto" w:fill="CCECFF"/>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820" w:type="dxa"/>
            <w:vAlign w:val="bottom"/>
          </w:tcPr>
          <w:p>
            <w:pPr>
              <w:ind w:left="20"/>
              <w:spacing w:after="0" w:line="171"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9"/>
                <w:szCs w:val="19"/>
                <w:color w:val="auto"/>
                <w:vertAlign w:val="superscript"/>
              </w:rPr>
              <w:t>(6)</w:t>
            </w: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1,871</w:t>
            </w:r>
          </w:p>
        </w:tc>
        <w:tc>
          <w:tcPr>
            <w:tcW w:w="340" w:type="dxa"/>
            <w:vAlign w:val="bottom"/>
          </w:tcPr>
          <w:p>
            <w:pPr>
              <w:spacing w:after="0"/>
              <w:rPr>
                <w:sz w:val="14"/>
                <w:szCs w:val="14"/>
                <w:color w:val="auto"/>
              </w:rPr>
            </w:pP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20" w:type="dxa"/>
            <w:vAlign w:val="bottom"/>
          </w:tcPr>
          <w:p>
            <w:pPr>
              <w:ind w:left="20"/>
              <w:spacing w:after="0"/>
              <w:rPr>
                <w:sz w:val="20"/>
                <w:szCs w:val="20"/>
                <w:color w:val="auto"/>
              </w:rPr>
            </w:pPr>
            <w:r>
              <w:rPr>
                <w:rFonts w:ascii="Arial" w:cs="Arial" w:eastAsia="Arial" w:hAnsi="Arial"/>
                <w:sz w:val="14"/>
                <w:szCs w:val="14"/>
                <w:color w:val="auto"/>
              </w:rPr>
              <w:t>Portfolio turnover ratio</w:t>
            </w:r>
          </w:p>
        </w:tc>
        <w:tc>
          <w:tcPr>
            <w:tcW w:w="120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Arial" w:cs="Arial" w:eastAsia="Arial" w:hAnsi="Arial"/>
                <w:sz w:val="14"/>
                <w:szCs w:val="14"/>
                <w:color w:val="auto"/>
              </w:rPr>
              <w:t>56.91 %</w:t>
            </w:r>
          </w:p>
        </w:tc>
        <w:tc>
          <w:tcPr>
            <w:tcW w:w="7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32.92 %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-1649730</wp:posOffset>
            </wp:positionV>
            <wp:extent cx="6858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-1649730</wp:posOffset>
            </wp:positionV>
            <wp:extent cx="685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-1395730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-1378585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-1395730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-1378585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-1144270</wp:posOffset>
            </wp:positionV>
            <wp:extent cx="6858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-1144270</wp:posOffset>
            </wp:positionV>
            <wp:extent cx="6858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-458470</wp:posOffset>
            </wp:positionV>
            <wp:extent cx="6858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-458470</wp:posOffset>
            </wp:positionV>
            <wp:extent cx="6858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1176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ind w:right="9200" w:firstLine="8"/>
        <w:spacing w:after="0" w:line="281" w:lineRule="auto"/>
        <w:tabs>
          <w:tab w:leader="none" w:pos="81" w:val="left"/>
        </w:tabs>
        <w:numPr>
          <w:ilvl w:val="0"/>
          <w:numId w:val="26"/>
        </w:numPr>
        <w:rPr>
          <w:rFonts w:ascii="Arial" w:cs="Arial" w:eastAsia="Arial" w:hAnsi="Arial"/>
          <w:sz w:val="9"/>
          <w:szCs w:val="9"/>
          <w:b w:val="1"/>
          <w:bCs w:val="1"/>
          <w:color w:val="auto"/>
        </w:rPr>
      </w:pPr>
      <w:r>
        <w:rPr>
          <w:rFonts w:ascii="Arial" w:cs="Arial" w:eastAsia="Arial" w:hAnsi="Arial"/>
          <w:sz w:val="9"/>
          <w:szCs w:val="9"/>
          <w:color w:val="auto"/>
        </w:rPr>
        <w:t xml:space="preserve">Not annualized for periods less than one year. </w:t>
      </w:r>
      <w:r>
        <w:rPr>
          <w:rFonts w:ascii="Arial" w:cs="Arial" w:eastAsia="Arial" w:hAnsi="Arial"/>
          <w:sz w:val="9"/>
          <w:szCs w:val="9"/>
          <w:b w:val="1"/>
          <w:bCs w:val="1"/>
          <w:color w:val="auto"/>
        </w:rPr>
        <w:t xml:space="preserve">** </w:t>
      </w:r>
      <w:r>
        <w:rPr>
          <w:rFonts w:ascii="Arial" w:cs="Arial" w:eastAsia="Arial" w:hAnsi="Arial"/>
          <w:sz w:val="9"/>
          <w:szCs w:val="9"/>
          <w:color w:val="auto"/>
        </w:rPr>
        <w:t>Annualized for periods less than one year.</w:t>
      </w:r>
    </w:p>
    <w:p>
      <w:pPr>
        <w:ind w:left="380" w:hanging="372"/>
        <w:spacing w:after="0" w:line="182"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Based on the weighted average shares outstanding for the respective periods.</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Based on the change in market price per share during the periods and assumes distributions, if any, are reinvested.</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Excludes debt-related costs.</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Includes interest and expenses on debt (annualized) as well as Credit Facility amendment, debt issuance costs and excludes debt extinguishment cost, if any, (not annualized).</w:t>
      </w:r>
    </w:p>
    <w:p>
      <w:pPr>
        <w:ind w:left="380" w:hanging="372"/>
        <w:spacing w:after="0" w:line="181"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Includes SBA debentures outstanding.</w:t>
      </w:r>
    </w:p>
    <w:p>
      <w:pPr>
        <w:ind w:left="380" w:right="240" w:hanging="372"/>
        <w:spacing w:after="0" w:line="215" w:lineRule="auto"/>
        <w:tabs>
          <w:tab w:leader="none" w:pos="380" w:val="left"/>
        </w:tabs>
        <w:numPr>
          <w:ilvl w:val="0"/>
          <w:numId w:val="27"/>
        </w:numPr>
        <w:rPr>
          <w:rFonts w:ascii="Arial" w:cs="Arial" w:eastAsia="Arial" w:hAnsi="Arial"/>
          <w:sz w:val="14"/>
          <w:szCs w:val="14"/>
          <w:color w:val="auto"/>
          <w:vertAlign w:val="superscript"/>
        </w:rPr>
      </w:pPr>
      <w:r>
        <w:rPr>
          <w:rFonts w:ascii="Arial" w:cs="Arial" w:eastAsia="Arial" w:hAnsi="Arial"/>
          <w:sz w:val="11"/>
          <w:szCs w:val="11"/>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208" w:lineRule="exact"/>
        <w:rPr>
          <w:sz w:val="20"/>
          <w:szCs w:val="20"/>
          <w:color w:val="auto"/>
        </w:rPr>
      </w:pPr>
    </w:p>
    <w:p>
      <w:pPr>
        <w:jc w:val="both"/>
        <w:ind w:right="20" w:firstLine="449"/>
        <w:spacing w:after="0" w:line="252" w:lineRule="auto"/>
        <w:rPr>
          <w:sz w:val="20"/>
          <w:szCs w:val="20"/>
          <w:color w:val="auto"/>
        </w:rPr>
      </w:pPr>
      <w:r>
        <w:rPr>
          <w:rFonts w:ascii="Arial" w:cs="Arial" w:eastAsia="Arial" w:hAnsi="Arial"/>
          <w:sz w:val="14"/>
          <w:szCs w:val="14"/>
          <w:color w:val="auto"/>
        </w:rPr>
        <w:t>The annualized weighted average cost of debt for the nine months ended June 30, 2022 and 2021, inclusive of the fee on the undrawn commitment under the Truist Credit Facility and amortized upfront fees on SBA debentures, 2024 Notes, 2026 Notes and 2026 Notes-2, was 4.0% and 3.5%, respectively. As of June 30, 2022, in accordance with the 1940 Act, with certain limited exceptions, we were only allowed to borrow amounts such that we are in compliance with a 150% asset coverage ratio requirement after such borrowing, excluding SBA debentures, pursuant to exemptive relief from the SEC received in June 2011.</w:t>
      </w:r>
    </w:p>
    <w:p>
      <w:pPr>
        <w:spacing w:after="0" w:line="174" w:lineRule="exact"/>
        <w:rPr>
          <w:sz w:val="20"/>
          <w:szCs w:val="20"/>
          <w:color w:val="auto"/>
        </w:rPr>
      </w:pPr>
    </w:p>
    <w:p>
      <w:pPr>
        <w:jc w:val="both"/>
        <w:ind w:right="20" w:firstLine="449"/>
        <w:spacing w:after="0" w:line="249"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2022 and September 30, 2021, our asset coverage ratio, as computed in accordance with the 1940 Act, was 187% and 221%,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Truist Credit Facility</w:t>
      </w:r>
    </w:p>
    <w:p>
      <w:pPr>
        <w:spacing w:after="0" w:line="204" w:lineRule="exact"/>
        <w:rPr>
          <w:sz w:val="20"/>
          <w:szCs w:val="20"/>
          <w:color w:val="auto"/>
        </w:rPr>
      </w:pPr>
    </w:p>
    <w:p>
      <w:pPr>
        <w:jc w:val="both"/>
        <w:ind w:right="20" w:firstLine="449"/>
        <w:spacing w:after="0" w:line="268" w:lineRule="auto"/>
        <w:rPr>
          <w:sz w:val="20"/>
          <w:szCs w:val="20"/>
          <w:color w:val="auto"/>
        </w:rPr>
      </w:pPr>
      <w:r>
        <w:rPr>
          <w:rFonts w:ascii="Arial" w:cs="Arial" w:eastAsia="Arial" w:hAnsi="Arial"/>
          <w:sz w:val="13"/>
          <w:szCs w:val="13"/>
          <w:color w:val="auto"/>
        </w:rPr>
        <w:t>As of June 30, 2022, we had the multi-currency Truist Credit Facility for up to $465.0 million (increased from $435.0 million in December 2021) in borrowings with certain lenders and Truist Bank (formerly SunTrust Bank), acting as administrative agent, and JPMorgan Chase Bank, N.A., acting as syndication agent for the lenders. As of June 30, 2022 and September 30, 2021, we had $422.9 million and $316.5 million, respectively, in outstanding borrowings under the Truist Credit Facility. The Truist Credit Facility had a weighted average interest rate of 3.9% and 2.4%, respectively, exclusive of the fee on undrawn commitment, as of June 30,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June 30, 2022 and September 30, 2021, we had $42.1 million and $118.5 million of unused borrowing capacity under the Truist Credit Facility, respectively, subject to leverage and borrowing base restrictions. The Truist Credit Facility is secured by substantially all of our assets, excluding assets held by SBIC II. As of June 30, 2022, we were in compliance with the terms of the Truist Credit Facility.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20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and $63.5 million as of June 30,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3" w:name="page34"/>
    <w:bookmarkEnd w:id="3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9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As of both June 30, 2022 and September 30, 2021, SBIC II had an initial $150.0 million in debt commitments, all of which were drawn. During the three and nine months ended June 30, 2022, zero and $36.0 million in SBA debentures were repaid, respectively. During the three and nine months ended June 30, 2021, there was $45.0 million and $55.0 million in SBA debentures were repaid, respectively. As of both June 30, 2022 and September 30, 2021, the unamortized fees on the SBA debentures was $0.5 million, respectively. The SBA debentures’ upfront fees of 3.4% consist of a commitment fee of 1.0% and an issuance discount of 2.4%, which are being amortized.</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fixed-rate SBA debentures were as follows ($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14"/>
                <w:szCs w:val="14"/>
                <w:color w:val="auto"/>
              </w:rPr>
            </w:pPr>
          </w:p>
        </w:tc>
        <w:tc>
          <w:tcPr>
            <w:tcW w:w="21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56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9"/>
                <w:szCs w:val="19"/>
                <w:b w:val="1"/>
                <w:bCs w:val="1"/>
                <w:color w:val="auto"/>
                <w:vertAlign w:val="superscript"/>
              </w:rPr>
              <w:t>(1)</w:t>
            </w:r>
          </w:p>
        </w:tc>
        <w:tc>
          <w:tcPr>
            <w:tcW w:w="280" w:type="dxa"/>
            <w:vAlign w:val="bottom"/>
          </w:tcPr>
          <w:p>
            <w:pPr>
              <w:spacing w:after="0"/>
              <w:rPr>
                <w:sz w:val="14"/>
                <w:szCs w:val="14"/>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As of June 30,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2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4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35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1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256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9"/>
                <w:szCs w:val="19"/>
                <w:b w:val="1"/>
                <w:bCs w:val="1"/>
                <w:color w:val="auto"/>
                <w:vertAlign w:val="superscript"/>
              </w:rPr>
              <w:t>(1)</w:t>
            </w:r>
          </w:p>
        </w:tc>
        <w:tc>
          <w:tcPr>
            <w:tcW w:w="280" w:type="dxa"/>
            <w:vAlign w:val="bottom"/>
          </w:tcPr>
          <w:p>
            <w:pPr>
              <w:spacing w:after="0"/>
              <w:rPr>
                <w:sz w:val="24"/>
                <w:szCs w:val="24"/>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2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4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March 1, 2028</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4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6"/>
          <w:szCs w:val="16"/>
          <w:b w:val="1"/>
          <w:bCs w:val="1"/>
          <w:color w:val="auto"/>
          <w:vertAlign w:val="superscript"/>
        </w:rPr>
      </w:pPr>
      <w:r>
        <w:rPr>
          <w:rFonts w:ascii="Arial" w:cs="Arial" w:eastAsia="Arial" w:hAnsi="Arial"/>
          <w:sz w:val="12"/>
          <w:szCs w:val="12"/>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1912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7"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June 30, 2022, SBIC II was in compliance with its regulatory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Notes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As of June 30, 2022 and September 30, 2021, we had zero and $86.3 million in aggregate principal amount of 2024 Notes outstanding, respectively. The 2024 Notes were redeemed on November 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w:t>
      </w:r>
    </w:p>
    <w:p>
      <w:pPr>
        <w:spacing w:after="0" w:line="20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2026 Notes-2</w:t>
      </w:r>
    </w:p>
    <w:p>
      <w:pPr>
        <w:spacing w:after="0" w:line="20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3"/>
          <w:szCs w:val="13"/>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20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June 30, 2022 and September 30, 2021, we had $177.6 million and $104.8 million, respectively, in commitments to fund investments. For the same periods, there were no letters of credit issued.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spacing w:after="0" w:line="1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NOTES TO CONSOLIDATED FINANCIAL STATEMENTS (Unaudited)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20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We must determine which, if any, of our unconsolidated controlled portfolio companies is a "significant subsidiary" within the meaning of Regulation S-X. We have determined that, as of September 30, 2021, PennantPark Senior Loan Fund, LLC, PT Networks, LLC and RAM Energy Holdings LLC triggered at least one of the significance tests. As a result and in accordance with Rule 3-09 of Regulation S-X, presented below is summarized unaudited financial information for RAM Energy Holdings LLC for the three and nine months ended June 30, 2022 and 2021.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PT Networks, LLC was realized on February 14, 2022.</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ind w:left="260"/>
              <w:spacing w:after="0"/>
              <w:rPr>
                <w:sz w:val="20"/>
                <w:szCs w:val="20"/>
                <w:color w:val="auto"/>
              </w:rPr>
            </w:pPr>
            <w:r>
              <w:rPr>
                <w:rFonts w:ascii="Arial" w:cs="Arial" w:eastAsia="Arial" w:hAnsi="Arial"/>
                <w:sz w:val="14"/>
                <w:szCs w:val="14"/>
                <w:color w:val="auto"/>
              </w:rPr>
              <w:t>a)</w:t>
            </w:r>
          </w:p>
        </w:tc>
        <w:tc>
          <w:tcPr>
            <w:tcW w:w="3260" w:type="dxa"/>
            <w:vAlign w:val="bottom"/>
            <w:gridSpan w:val="2"/>
          </w:tcPr>
          <w:p>
            <w:pPr>
              <w:ind w:left="140"/>
              <w:spacing w:after="0"/>
              <w:rPr>
                <w:sz w:val="20"/>
                <w:szCs w:val="20"/>
                <w:color w:val="auto"/>
              </w:rPr>
            </w:pPr>
            <w:r>
              <w:rPr>
                <w:rFonts w:ascii="Arial" w:cs="Arial" w:eastAsia="Arial" w:hAnsi="Arial"/>
                <w:sz w:val="14"/>
                <w:szCs w:val="14"/>
                <w:color w:val="auto"/>
              </w:rPr>
              <w:t>RAM Energy Holdings LLC:</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0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24"/>
                <w:szCs w:val="24"/>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Nine Months Ended June 30,</w:t>
            </w:r>
          </w:p>
        </w:tc>
      </w:tr>
      <w:tr>
        <w:trPr>
          <w:trHeight w:val="169"/>
        </w:trPr>
        <w:tc>
          <w:tcPr>
            <w:tcW w:w="37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Statement</w:t>
            </w: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580" w:type="dxa"/>
            <w:vAlign w:val="bottom"/>
            <w:tcBorders>
              <w:top w:val="single" w:sz="8" w:color="auto"/>
            </w:tcBorders>
            <w:gridSpan w:val="2"/>
            <w:shd w:val="clear" w:color="auto" w:fill="CCECFF"/>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17,726</w:t>
            </w:r>
          </w:p>
        </w:tc>
        <w:tc>
          <w:tcPr>
            <w:tcW w:w="300" w:type="dxa"/>
            <w:vAlign w:val="bottom"/>
            <w:shd w:val="clear" w:color="auto" w:fill="CCECFF"/>
          </w:tcPr>
          <w:p>
            <w:pPr>
              <w:spacing w:after="0"/>
              <w:rPr>
                <w:sz w:val="14"/>
                <w:szCs w:val="14"/>
                <w:color w:val="auto"/>
              </w:rPr>
            </w:pPr>
          </w:p>
        </w:tc>
        <w:tc>
          <w:tcPr>
            <w:tcW w:w="38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23,044</w:t>
            </w:r>
          </w:p>
        </w:tc>
        <w:tc>
          <w:tcPr>
            <w:tcW w:w="2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35,522</w:t>
            </w:r>
          </w:p>
        </w:tc>
        <w:tc>
          <w:tcPr>
            <w:tcW w:w="30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50,134</w:t>
            </w:r>
          </w:p>
        </w:tc>
        <w:tc>
          <w:tcPr>
            <w:tcW w:w="100" w:type="dxa"/>
            <w:vAlign w:val="bottom"/>
            <w:shd w:val="clear" w:color="auto" w:fill="CCECFF"/>
          </w:tcPr>
          <w:p>
            <w:pPr>
              <w:spacing w:after="0"/>
              <w:rPr>
                <w:sz w:val="14"/>
                <w:szCs w:val="14"/>
                <w:color w:val="auto"/>
              </w:rPr>
            </w:pPr>
          </w:p>
        </w:tc>
      </w:tr>
      <w:tr>
        <w:trPr>
          <w:trHeight w:val="176"/>
        </w:trPr>
        <w:tc>
          <w:tcPr>
            <w:tcW w:w="3760" w:type="dxa"/>
            <w:vAlign w:val="bottom"/>
            <w:gridSpan w:val="3"/>
          </w:tcPr>
          <w:p>
            <w:pPr>
              <w:ind w:left="20"/>
              <w:spacing w:after="0"/>
              <w:rPr>
                <w:sz w:val="20"/>
                <w:szCs w:val="20"/>
                <w:color w:val="auto"/>
              </w:rPr>
            </w:pPr>
            <w:r>
              <w:rPr>
                <w:rFonts w:ascii="Arial" w:cs="Arial" w:eastAsia="Arial" w:hAnsi="Arial"/>
                <w:sz w:val="14"/>
                <w:szCs w:val="14"/>
                <w:color w:val="auto"/>
              </w:rPr>
              <w:t>Total expenses</w:t>
            </w:r>
          </w:p>
        </w:tc>
        <w:tc>
          <w:tcPr>
            <w:tcW w:w="380" w:type="dxa"/>
            <w:vAlign w:val="bottom"/>
          </w:tcPr>
          <w:p>
            <w:pPr>
              <w:spacing w:after="0"/>
              <w:rPr>
                <w:sz w:val="15"/>
                <w:szCs w:val="15"/>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(12,499 )</w:t>
            </w:r>
          </w:p>
        </w:tc>
        <w:tc>
          <w:tcPr>
            <w:tcW w:w="38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(9,393 )</w:t>
            </w:r>
          </w:p>
        </w:tc>
        <w:tc>
          <w:tcPr>
            <w:tcW w:w="36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(29,337 )</w:t>
            </w:r>
          </w:p>
        </w:tc>
        <w:tc>
          <w:tcPr>
            <w:tcW w:w="360" w:type="dxa"/>
            <w:vAlign w:val="bottom"/>
          </w:tcPr>
          <w:p>
            <w:pPr>
              <w:spacing w:after="0"/>
              <w:rPr>
                <w:sz w:val="15"/>
                <w:szCs w:val="15"/>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4"/>
                <w:szCs w:val="14"/>
                <w:color w:val="auto"/>
              </w:rPr>
              <w:t>(27,090 )</w:t>
            </w:r>
          </w:p>
        </w:tc>
      </w:tr>
      <w:tr>
        <w:trPr>
          <w:trHeight w:val="176"/>
        </w:trPr>
        <w:tc>
          <w:tcPr>
            <w:tcW w:w="3760" w:type="dxa"/>
            <w:vAlign w:val="bottom"/>
            <w:gridSpan w:val="3"/>
            <w:shd w:val="clear" w:color="auto" w:fill="CCECFF"/>
          </w:tcPr>
          <w:p>
            <w:pPr>
              <w:ind w:left="20"/>
              <w:spacing w:after="0"/>
              <w:rPr>
                <w:sz w:val="20"/>
                <w:szCs w:val="20"/>
                <w:color w:val="auto"/>
              </w:rPr>
            </w:pPr>
            <w:r>
              <w:rPr>
                <w:rFonts w:ascii="Arial" w:cs="Arial" w:eastAsia="Arial" w:hAnsi="Arial"/>
                <w:sz w:val="14"/>
                <w:szCs w:val="14"/>
                <w:color w:val="auto"/>
              </w:rPr>
              <w:t>Net income (loss)</w:t>
            </w:r>
          </w:p>
        </w:tc>
        <w:tc>
          <w:tcPr>
            <w:tcW w:w="38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5,227</w:t>
            </w:r>
          </w:p>
        </w:tc>
        <w:tc>
          <w:tcPr>
            <w:tcW w:w="300" w:type="dxa"/>
            <w:vAlign w:val="bottom"/>
            <w:shd w:val="clear" w:color="auto" w:fill="CCECFF"/>
          </w:tcPr>
          <w:p>
            <w:pPr>
              <w:spacing w:after="0"/>
              <w:rPr>
                <w:sz w:val="15"/>
                <w:szCs w:val="15"/>
                <w:color w:val="auto"/>
              </w:rPr>
            </w:pPr>
          </w:p>
        </w:tc>
        <w:tc>
          <w:tcPr>
            <w:tcW w:w="38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13,651</w:t>
            </w:r>
          </w:p>
        </w:tc>
        <w:tc>
          <w:tcPr>
            <w:tcW w:w="28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6,185</w:t>
            </w:r>
          </w:p>
        </w:tc>
        <w:tc>
          <w:tcPr>
            <w:tcW w:w="300" w:type="dxa"/>
            <w:vAlign w:val="bottom"/>
            <w:shd w:val="clear" w:color="auto" w:fill="CCECFF"/>
          </w:tcPr>
          <w:p>
            <w:pPr>
              <w:spacing w:after="0"/>
              <w:rPr>
                <w:sz w:val="15"/>
                <w:szCs w:val="15"/>
                <w:color w:val="auto"/>
              </w:rPr>
            </w:pPr>
          </w:p>
        </w:tc>
        <w:tc>
          <w:tcPr>
            <w:tcW w:w="36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23,044</w:t>
            </w:r>
          </w:p>
        </w:tc>
        <w:tc>
          <w:tcPr>
            <w:tcW w:w="100" w:type="dxa"/>
            <w:vAlign w:val="bottom"/>
            <w:shd w:val="clear" w:color="auto" w:fill="CCECFF"/>
          </w:tcPr>
          <w:p>
            <w:pPr>
              <w:spacing w:after="0"/>
              <w:rPr>
                <w:sz w:val="15"/>
                <w:szCs w:val="15"/>
                <w:color w:val="auto"/>
              </w:rPr>
            </w:pPr>
          </w:p>
        </w:tc>
      </w:tr>
    </w:tbl>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rPr>
          <w:sz w:val="20"/>
          <w:szCs w:val="20"/>
          <w:color w:val="auto"/>
        </w:rPr>
      </w:pPr>
      <w:r>
        <w:rPr>
          <w:rFonts w:ascii="Arial" w:cs="Arial" w:eastAsia="Arial" w:hAnsi="Arial"/>
          <w:sz w:val="14"/>
          <w:szCs w:val="14"/>
          <w:b w:val="1"/>
          <w:bCs w:val="1"/>
          <w:color w:val="auto"/>
        </w:rPr>
        <w:t>13. STOCK REPURCHASE PROGRAM</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and nine months ended June 30, 2022, we repurchased 717,709 and 1,631,163, respectively, shares of common stock in open market transactions for an aggregate cost (including transaction costs) of $4.9 million and $12.0 million, respectively. During the three and nine months ended June 30, 2021, we did not make any repurchases of shares of our common stock.</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208" w:lineRule="exact"/>
        <w:rPr>
          <w:sz w:val="20"/>
          <w:szCs w:val="20"/>
          <w:color w:val="auto"/>
        </w:rPr>
      </w:pPr>
    </w:p>
    <w:p>
      <w:pPr>
        <w:jc w:val="both"/>
        <w:ind w:firstLine="402"/>
        <w:spacing w:after="0" w:line="246" w:lineRule="auto"/>
        <w:rPr>
          <w:sz w:val="20"/>
          <w:szCs w:val="20"/>
          <w:color w:val="auto"/>
        </w:rPr>
      </w:pPr>
      <w:r>
        <w:rPr>
          <w:rFonts w:ascii="Arial" w:cs="Arial" w:eastAsia="Arial" w:hAnsi="Arial"/>
          <w:sz w:val="14"/>
          <w:szCs w:val="14"/>
          <w:color w:val="auto"/>
        </w:rPr>
        <w:t>On July 29, 2022, the Company entered into the Fifth Amendment to the Truist Credit Facility. The Fifth Amendment amends certain provisions of the Credit Agreement to, among other things, (1) increase the facility size from $465.0 million to $500.0 million, which may be further increased up to $750.0 million, subject to the terms of the Amended Credit Agreement, (2) extend the term of the revolving period from September 4, 2023 to July 29, 2026 and the stated maturity date from September 4, 2024 to July 29, 2027 for $475.0 million out of the total $500.0 million commitments (with the revolving period with respect to the remaining $25.0 million of commitments continuing to expire on September 4, 2023 and the related obligations maturing on September 4, 2024), (3) adjust the applicable margin with respect to the loans extended by the lenders of the extended $475.0 million commitments and (4) replace the LIBOR benchmark provisions with SOFR benchmark provisions, including applicable credit adjustment spread. In connection with the facility increase contemplated by the Fifth Amendment, Regions Bank joined the Amended Credit Agreement as an additional multicurrency lender.</w:t>
      </w:r>
    </w:p>
    <w:p>
      <w:pPr>
        <w:spacing w:after="0" w:line="18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 foregoing descriptions of the Fifth Amendment does not purport to be complete and is qualified in their entirety by reference to the full text of the Fifth Amendment, which is filed as an exhibit hereto and incorporated by reference herein.</w:t>
      </w:r>
    </w:p>
    <w:p>
      <w:pPr>
        <w:spacing w:after="0" w:line="16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Subsequent to quarter end we and Pantheon Ventures (UK) LLP, have agreed to increase our capital commitments to PSLF from $234.8 million to $310.8 million. PNNT's portion of this capital commitment increase is $45.9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Investment Corporation and its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June 30, 2022, and the related consolidated statements of operations and changes in net assets for the three-month and nine-month periods ended June 30, 2022 and 2021, and cash flows for the nine-month periods ended June 30, 2022 and 2021, and the related notes to the consolidated financial statements (collectively, the interim financial information or financial statements). Based on our reviews, we are not aware of any material modifications that should be made to the accompanying interim financial information for them to be in conformity with accounting principles generally accepted in the United States of America.</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2021, and the related consolidated statements of operations, changes in net assets, and cash flows for the year then ended (not presented herein), and in our report dated November 17, 2021, we expressed an unqualified opinion on those consolidated financial statements. In our opinion, the information set forth in the accompanying consolidated statement of assets and liabilities as of September 30, 2021, is fairly stated, in all material respects, in relation to the consolidated statement of assets and liabilities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August 3,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4"/>
          <w:szCs w:val="14"/>
          <w:b w:val="1"/>
          <w:bCs w:val="1"/>
          <w:color w:val="auto"/>
        </w:rPr>
        <w:t>Awareness Letter of Independent Registered Public Accounting Firm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Investment Corporation and its Subsidiaries</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reviewed, in accordance with the standards of the Public Company Accounting Oversight Board (United States), the unaudited interim financial information of PennantPark Investment Corporation and its Subsidiaries for the periods ended June 30, 2022 and 2021, as indicated in our report dated August 3, 2022; because we did not perform an audit, we expressed no opinion on that information.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are aware that our report referred to above, which is included in your Quarterly Report on Form 10-Q for the quarter ended June 30, 2022, is incorporated by reference in Registration Statement No. 333-263564 on Form N-2.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August 3,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74" w:lineRule="exact"/>
        <w:rPr>
          <w:sz w:val="20"/>
          <w:szCs w:val="20"/>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 including as a result of the current pandemic caused by COVID-19 or any worsening there of;</w:t>
      </w:r>
    </w:p>
    <w:p>
      <w:pPr>
        <w:spacing w:after="0" w:line="215" w:lineRule="exact"/>
        <w:rPr>
          <w:rFonts w:ascii="Arial" w:cs="Arial" w:eastAsia="Arial" w:hAnsi="Arial"/>
          <w:sz w:val="13"/>
          <w:szCs w:val="13"/>
          <w:color w:val="auto"/>
        </w:rPr>
      </w:pPr>
    </w:p>
    <w:p>
      <w:pPr>
        <w:ind w:left="960" w:right="20" w:hanging="383"/>
        <w:spacing w:after="0" w:line="273" w:lineRule="auto"/>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 or any worsening there of;</w:t>
      </w:r>
    </w:p>
    <w:p>
      <w:pPr>
        <w:spacing w:after="0" w:line="160"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 or any worsening there of;</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203" w:lineRule="exact"/>
        <w:rPr>
          <w:rFonts w:ascii="Arial" w:cs="Arial" w:eastAsia="Arial" w:hAnsi="Arial"/>
          <w:sz w:val="14"/>
          <w:szCs w:val="14"/>
          <w:color w:val="auto"/>
        </w:rPr>
      </w:pPr>
    </w:p>
    <w:p>
      <w:pPr>
        <w:ind w:left="960" w:hanging="383"/>
        <w:spacing w:after="0"/>
        <w:tabs>
          <w:tab w:leader="none" w:pos="9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and other world economic and political issues.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71"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7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20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jc w:val="both"/>
        <w:ind w:firstLine="449"/>
        <w:spacing w:after="0" w:line="267"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77" w:lineRule="exact"/>
        <w:rPr>
          <w:sz w:val="20"/>
          <w:szCs w:val="20"/>
          <w:color w:val="auto"/>
        </w:rPr>
      </w:pPr>
    </w:p>
    <w:p>
      <w:pPr>
        <w:jc w:val="both"/>
        <w:ind w:firstLine="449"/>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71"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56" w:lineRule="exact"/>
        <w:rPr>
          <w:sz w:val="20"/>
          <w:szCs w:val="20"/>
          <w:color w:val="auto"/>
        </w:rPr>
      </w:pPr>
    </w:p>
    <w:p>
      <w:pPr>
        <w:jc w:val="both"/>
        <w:ind w:firstLine="449"/>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77" w:lineRule="exact"/>
        <w:rPr>
          <w:sz w:val="20"/>
          <w:szCs w:val="20"/>
          <w:color w:val="auto"/>
        </w:rPr>
      </w:pPr>
    </w:p>
    <w:p>
      <w:pPr>
        <w:jc w:val="both"/>
        <w:ind w:firstLine="464"/>
        <w:spacing w:after="0" w:line="249" w:lineRule="auto"/>
        <w:rPr>
          <w:sz w:val="20"/>
          <w:szCs w:val="20"/>
          <w:color w:val="auto"/>
        </w:rPr>
      </w:pPr>
      <w:r>
        <w:rPr>
          <w:rFonts w:ascii="Arial" w:cs="Arial" w:eastAsia="Arial" w:hAnsi="Arial"/>
          <w:sz w:val="14"/>
          <w:szCs w:val="14"/>
          <w:color w:val="auto"/>
        </w:rPr>
        <w:t>COVID-19 was first detected in December 2019 and has since been identified as a global pandemic by the World Health Organization. The effect of the ongoing COVID-19 pandemic or any worsening thereof, uncertainty relating to more contagious strains of the virus, the length of recovery of certain economic sectors in the U.S. and globally and the speed and efficiency of the vaccination process, including the extent to which the available vaccines are ineffective against any new COVID- 19 variants may create stress on the market and may affect some of our portfolio companies. We cannot predict the full impact of the COVID-19 pandemic, including any worsening thereof or its duration in the United States and globally and any impact to our business operations or the business operations of our portfolio companies.</w:t>
      </w:r>
    </w:p>
    <w:p>
      <w:pPr>
        <w:spacing w:after="0" w:line="177" w:lineRule="exact"/>
        <w:rPr>
          <w:sz w:val="20"/>
          <w:szCs w:val="20"/>
          <w:color w:val="auto"/>
        </w:rPr>
      </w:pPr>
    </w:p>
    <w:p>
      <w:pPr>
        <w:jc w:val="both"/>
        <w:ind w:firstLine="464"/>
        <w:spacing w:after="0" w:line="247" w:lineRule="auto"/>
        <w:rPr>
          <w:sz w:val="20"/>
          <w:szCs w:val="20"/>
          <w:color w:val="auto"/>
        </w:rPr>
      </w:pPr>
      <w:r>
        <w:rPr>
          <w:rFonts w:ascii="Arial" w:cs="Arial" w:eastAsia="Arial" w:hAnsi="Arial"/>
          <w:sz w:val="14"/>
          <w:szCs w:val="14"/>
          <w:color w:val="auto"/>
        </w:rPr>
        <w:t>Due to the nature of certain governmental restrictions imposed in response to the COVID-19 pandemic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Depending on the length and magnitude of the disruption to the operations of our portfolio companies, certain portfolio companies may experience financial distress and possibly default on their financial obligations to us and their other capital providers in the future. These developments could impact the value of our investments in such portfolio companies.</w:t>
      </w:r>
    </w:p>
    <w:p>
      <w:pPr>
        <w:spacing w:after="0" w:line="180" w:lineRule="exact"/>
        <w:rPr>
          <w:sz w:val="20"/>
          <w:szCs w:val="20"/>
          <w:color w:val="auto"/>
        </w:rPr>
      </w:pPr>
    </w:p>
    <w:p>
      <w:pPr>
        <w:jc w:val="both"/>
        <w:ind w:firstLine="464"/>
        <w:spacing w:after="0" w:line="249" w:lineRule="auto"/>
        <w:rPr>
          <w:sz w:val="20"/>
          <w:szCs w:val="20"/>
          <w:color w:val="auto"/>
        </w:rPr>
      </w:pPr>
      <w:r>
        <w:rPr>
          <w:rFonts w:ascii="Arial" w:cs="Arial" w:eastAsia="Arial" w:hAnsi="Arial"/>
          <w:sz w:val="14"/>
          <w:szCs w:val="14"/>
          <w:color w:val="auto"/>
        </w:rPr>
        <w:t>The COVID-19 pandemic, including any worsening thereof, may have an adverse impact on certain sectors of the global economy. Particularly, COVID-19 presents material uncertainty and risk with respect to our future performance and financial results as well as the future performance and financial results of our portfolio companies due to the risk of any sever adverse reaction to the vaccine, politicization of the vaccination process or general public skepticism of the safety and efficacy of the vaccine. While we are unable to predict the ultimate adverse effect of the COVID-19 pandemic, or any worsening thereof, on our results of operation, we have identified certain factors that are likely to affect market, economic and geopolitical conditions, and thereby may adversely affect our business, including:</w:t>
      </w:r>
    </w:p>
    <w:p>
      <w:pPr>
        <w:spacing w:after="0" w:line="123" w:lineRule="exact"/>
        <w:rPr>
          <w:sz w:val="20"/>
          <w:szCs w:val="20"/>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U.S. and global economic recovery;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49" w:lineRule="exact"/>
        <w:rPr>
          <w:rFonts w:ascii="Arial" w:cs="Arial" w:eastAsia="Arial" w:hAnsi="Arial"/>
          <w:sz w:val="14"/>
          <w:szCs w:val="14"/>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940" w:hanging="370"/>
        <w:spacing w:after="0"/>
        <w:tabs>
          <w:tab w:leader="none" w:pos="9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204" w:lineRule="exact"/>
        <w:rPr>
          <w:sz w:val="20"/>
          <w:szCs w:val="20"/>
          <w:color w:val="auto"/>
        </w:rPr>
      </w:pPr>
    </w:p>
    <w:p>
      <w:pPr>
        <w:jc w:val="both"/>
        <w:ind w:firstLine="464"/>
        <w:spacing w:after="0" w:line="246" w:lineRule="auto"/>
        <w:rPr>
          <w:sz w:val="20"/>
          <w:szCs w:val="20"/>
          <w:color w:val="auto"/>
        </w:rPr>
      </w:pPr>
      <w:r>
        <w:rPr>
          <w:rFonts w:ascii="Arial" w:cs="Arial" w:eastAsia="Arial" w:hAnsi="Arial"/>
          <w:sz w:val="14"/>
          <w:szCs w:val="14"/>
          <w:color w:val="auto"/>
        </w:rPr>
        <w:t>The business disruption and financial harm resulting from the COVID-19 pandemic experienced by some of our portfolio companies may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previous years. As of June 30, 2022, we had one portfolio company on non-accrual status, and the continuing impact of the COVID-19 pandemic, or any worsening thereof, may result in portfolio investments being placed on non-accrual status in the future.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39" w:name="page40"/>
    <w:bookmarkEnd w:id="39"/>
    <w:p>
      <w:pPr>
        <w:jc w:val="both"/>
        <w:ind w:firstLine="449"/>
        <w:spacing w:after="0" w:line="231" w:lineRule="auto"/>
        <w:rPr>
          <w:sz w:val="20"/>
          <w:szCs w:val="20"/>
          <w:color w:val="auto"/>
        </w:rPr>
      </w:pPr>
      <w:r>
        <w:rPr>
          <w:rFonts w:ascii="Arial" w:cs="Arial" w:eastAsia="Arial" w:hAnsi="Arial"/>
          <w:sz w:val="14"/>
          <w:szCs w:val="14"/>
          <w:color w:val="auto"/>
        </w:rPr>
        <w:t>Additionally, as of June 30, 2022 and September 30, 2021, our asset coverage ratio, as computed in accordance with the 1940 Act, was 187% and 221%, respectively. The Truist Credit Facility includes standard covenants and events of default provisions. If we fail to make the required payments or breach the covenants therein, it could result in a default under the Truist Credit Facility. Failure to cure such default or obtain a waiver from the appropriate party would result in an event of default, and the lenders may accelerate the repayment of our indebtedness under the Truist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57" w:lineRule="exact"/>
        <w:rPr>
          <w:sz w:val="20"/>
          <w:szCs w:val="20"/>
          <w:color w:val="auto"/>
        </w:rPr>
      </w:pPr>
    </w:p>
    <w:p>
      <w:pPr>
        <w:jc w:val="both"/>
        <w:ind w:firstLine="449"/>
        <w:spacing w:after="0" w:line="248" w:lineRule="auto"/>
        <w:rPr>
          <w:sz w:val="20"/>
          <w:szCs w:val="20"/>
          <w:color w:val="auto"/>
        </w:rPr>
      </w:pPr>
      <w:r>
        <w:rPr>
          <w:rFonts w:ascii="Arial" w:cs="Arial" w:eastAsia="Arial" w:hAnsi="Arial"/>
          <w:sz w:val="13"/>
          <w:szCs w:val="13"/>
          <w:color w:val="auto"/>
        </w:rPr>
        <w:t>We are also subject to financial risks, including changes in market interest rates. As of June 30, 2022, our interest bearing debt portfolio consisted of 96%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Truist Credit Facility also has floating rate interest provisions, with pricing set at 225 basis points over LIBOR (or an alternative risk-free floating interest rate index). Due to such rates, our gross investment income may decrease,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53"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In addition, we have continued to implement our business continuity planning strategy. Our priority has been to safeguard the health of our employees and to ensure continuity of business operations on behalf of our investors. As a result of our business continuity planning strategy, nearly all of our employees have returned to the office.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LIBOR Developments</w:t>
      </w:r>
    </w:p>
    <w:p>
      <w:pPr>
        <w:spacing w:after="0" w:line="190" w:lineRule="exact"/>
        <w:rPr>
          <w:sz w:val="20"/>
          <w:szCs w:val="20"/>
          <w:color w:val="auto"/>
        </w:rPr>
      </w:pPr>
    </w:p>
    <w:p>
      <w:pPr>
        <w:jc w:val="both"/>
        <w:ind w:firstLine="449"/>
        <w:spacing w:after="0" w:line="248" w:lineRule="auto"/>
        <w:rPr>
          <w:sz w:val="20"/>
          <w:szCs w:val="20"/>
          <w:color w:val="auto"/>
        </w:rPr>
      </w:pPr>
      <w:r>
        <w:rPr>
          <w:rFonts w:ascii="Arial" w:cs="Arial" w:eastAsia="Arial" w:hAnsi="Arial"/>
          <w:sz w:val="13"/>
          <w:szCs w:val="13"/>
          <w:color w:val="auto"/>
        </w:rPr>
        <w:t>In July 2017, the head of the United Kingdom Financial Conduct Authority announced the desire to phase out the use of LIBOR by the end of 2021. As of December 31, 2021, all non-U.S. dollar LIBOR publications have been phased out. The phase out of a majority of the U.S. dollar publications is currently delayed until June 30, 2023. The Alternative Reference Rates Committee, a steering committee comprised of large U.S. financial institutions, has identified the Secured Overnight Financing Rate (“SOFR”) as its preferred alternative rate for LIBOR. SOFR is a measure of the cost of borrowing cash overnight, collateralized by the U.S. Treasury securities, and is based on directly observable U.S. Treasury-backed repurchase transactions. Although SOFR appears to be the preferred replacement rate for U.S. dollar LIBOR, it is not possible at this time to predict the effect of any such changes, any establishment of alternative reference rates, whether the COVID-19 pandemic will have further effect on LIBOR transition timelines, or other reforms to LIBOR that may be enacted.</w:t>
      </w:r>
    </w:p>
    <w:p>
      <w:pPr>
        <w:spacing w:after="0" w:line="153" w:lineRule="exact"/>
        <w:rPr>
          <w:sz w:val="20"/>
          <w:szCs w:val="20"/>
          <w:color w:val="auto"/>
        </w:rPr>
      </w:pPr>
    </w:p>
    <w:p>
      <w:pPr>
        <w:jc w:val="both"/>
        <w:ind w:firstLine="449"/>
        <w:spacing w:after="0" w:line="231" w:lineRule="auto"/>
        <w:rPr>
          <w:sz w:val="20"/>
          <w:szCs w:val="20"/>
          <w:color w:val="auto"/>
        </w:rPr>
      </w:pPr>
      <w:r>
        <w:rPr>
          <w:rFonts w:ascii="Arial" w:cs="Arial" w:eastAsia="Arial" w:hAnsi="Arial"/>
          <w:sz w:val="14"/>
          <w:szCs w:val="14"/>
          <w:color w:val="auto"/>
        </w:rPr>
        <w:t>The effect of the establishment of alternative reference rates or other reforms to LIBOR or other reference rates is complex and could have a material adverse effect on our business, financial condition and results of operations. Given the inherent differences between LIBOR and SOFR, or any other alternative benchmark rate that may be established, there are continuing uncertainties regarding the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157"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77" w:lineRule="exact"/>
        <w:rPr>
          <w:sz w:val="20"/>
          <w:szCs w:val="20"/>
          <w:color w:val="auto"/>
        </w:rPr>
      </w:pPr>
    </w:p>
    <w:p>
      <w:pPr>
        <w:jc w:val="both"/>
        <w:ind w:firstLine="449"/>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77"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58" w:lineRule="exact"/>
        <w:rPr>
          <w:sz w:val="20"/>
          <w:szCs w:val="20"/>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76" w:lineRule="exact"/>
        <w:rPr>
          <w:rFonts w:ascii="Arial" w:cs="Arial" w:eastAsia="Arial" w:hAnsi="Arial"/>
          <w:sz w:val="14"/>
          <w:szCs w:val="14"/>
          <w:color w:val="auto"/>
        </w:rPr>
      </w:pPr>
    </w:p>
    <w:p>
      <w:pPr>
        <w:ind w:left="940" w:hanging="370"/>
        <w:spacing w:after="0" w:line="253" w:lineRule="auto"/>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4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0" w:name="page41"/>
    <w:bookmarkEnd w:id="40"/>
    <w:p>
      <w:pPr>
        <w:ind w:left="940" w:hanging="370"/>
        <w:spacing w:after="0"/>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76" w:lineRule="exact"/>
        <w:rPr>
          <w:rFonts w:ascii="Arial" w:cs="Arial" w:eastAsia="Arial" w:hAnsi="Arial"/>
          <w:sz w:val="14"/>
          <w:szCs w:val="14"/>
          <w:color w:val="auto"/>
        </w:rPr>
      </w:pPr>
    </w:p>
    <w:p>
      <w:pPr>
        <w:ind w:left="940" w:hanging="370"/>
        <w:spacing w:after="0"/>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76" w:lineRule="exact"/>
        <w:rPr>
          <w:rFonts w:ascii="Arial" w:cs="Arial" w:eastAsia="Arial" w:hAnsi="Arial"/>
          <w:sz w:val="14"/>
          <w:szCs w:val="14"/>
          <w:color w:val="auto"/>
        </w:rPr>
      </w:pPr>
    </w:p>
    <w:p>
      <w:pPr>
        <w:jc w:val="both"/>
        <w:ind w:left="940" w:hanging="370"/>
        <w:spacing w:after="0" w:line="233" w:lineRule="auto"/>
        <w:tabs>
          <w:tab w:leader="none" w:pos="9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171"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20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As of June 30, 2022, our portfolio totaled $1,314.8 million, which consisted of $721.8 million of first lien secured debt, $129.7 million of second lien secured debt, $121.2 million of subordinated debt (including $88.0 million in PSLF) and $342.2 million of preferred and common equity (including $53.1 million in PSLF). Our debt portfolio consisted of 96% variable-rate investments and 4% fixed-rate investments. As of June 30, 2022, we had one portfolio company on non-accrual, representing 0.9% and 0.5% of our overall portfolio on a cost and fair value basis, respectively. Overall, the portfolio had net unrealized depreciation of $64.9 million as of June 30, 2022. Our overall portfolio consisted of 118 companies with an average investment size of $11.1 million, had a weighted average yield on interest bearing debt investments of 9.3% and was invested 55% in first lien secured debt, 10% in second lien secured debt, 9% in subordinated debt (including 7% in PSLF) and 26% in preferred and common equity (including 4% in PSLF). As of June 30, 2022, all of the investments held by PSLF were first lien secured debt.</w:t>
      </w:r>
    </w:p>
    <w:p>
      <w:pPr>
        <w:spacing w:after="0" w:line="165"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interest bearing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 equity (including 3% in PSLF). As of September 30, 2021, all of the investments held by PSLF were first lien secured debt.</w:t>
      </w:r>
    </w:p>
    <w:p>
      <w:pPr>
        <w:spacing w:after="0" w:line="180"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For the three months ended June 30, 2022, we invested $326.3 million in 11 new and 36 existing portfolio companies with a weighted average yield on debt investments of 8.7%. Sales and repayments of investments for the three months ended June 30, 2022 totaled $198.3 million. For the nine months ended June 30, 2022, we invested $799.4 million in 35 new and 95 existing portfolio companies with a weighted average yield on debt investments of 8.2%. Sales and repayments of investments for the nine months ended June 30, 2022 totaled $736.0 million.</w:t>
      </w:r>
    </w:p>
    <w:p>
      <w:pPr>
        <w:spacing w:after="0" w:line="15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3"/>
          <w:szCs w:val="13"/>
          <w:color w:val="auto"/>
        </w:rPr>
        <w:t>For the three months ended June 30, 2021, we invested $133.4 million in seven new and nine existing portfolio companies with a weighted average yield on debt investments of 7.9%. Sales and repayments of investments for the three months ended June 30, 2021 totaled $191.0 million. For the nine months ended June 30, 2021, we invested $276.4 million in 14 new and 32 existing portfolio companies with a weighted average yield on debt investments of 8.4%. Sales and repayments of investments for the nine months ended June 30, 2021 totaled $358.6 million.</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08"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As of June 30, 2022, PSLF’s portfolio totaled $608.4 million, consisted of 72 companies with an average investment size of $8.5 million and had a weighted average yield on debt investments of 7.9 %.</w:t>
      </w:r>
    </w:p>
    <w:p>
      <w:pPr>
        <w:spacing w:after="0" w:line="16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As of September 30, 2021, PSLF’s portfolio totaled $405.2 million, consisted of 47 companies with an average investment size of $8.6 million and had a weighted average yield on debt investments of 7.2%.</w:t>
      </w:r>
    </w:p>
    <w:p>
      <w:pPr>
        <w:spacing w:after="0" w:line="160"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months ended June 30, 2022, PSLF invested $200.5 million (of which $176.0 million was purchased from the Company) in 14 new and 17 existing portfolio companies with a weighted average yield on debt investments of 7.3% . PSLF’s sales and repayments of investments for the same period totaled $35.1 million. For the nine months ended June 30, 2022, PSLF invested $278.6 million (of which $235.6 million was purchased from the Company) in 29 new and 19 existing portfolio companies with a weighted average yield on debt investments of 7.3%. PSLF’s sales and repayments of investments for the same period totaled $73.0 million.</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months ended June 30, 2021, PSLF invested $54.1 million (of which $54.1 million was purchased from the Company) in six new and two existing portfolio companies with a weighted average yield on debt investments of 7.1%. PSLF’s sales and repayments of investments for the same period totaled $50.9 million. For the nine months ended June 30, 2021, PSLF invested $117.8 million (of which $91.9 million was purchased from the Company) in 12 new and eight existing portfolio companies with a weighted average yield on debt investments of 7.3%. PSLF’s sales and repayments of investments for the same period totaled $91.6 million.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208"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and the global outbreak of COVID-19.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1" w:name="page42"/>
    <w:bookmarkEnd w:id="41"/>
    <w:p>
      <w:pPr>
        <w:jc w:val="both"/>
        <w:ind w:right="20"/>
        <w:spacing w:after="0" w:line="273" w:lineRule="auto"/>
        <w:rPr>
          <w:sz w:val="20"/>
          <w:szCs w:val="20"/>
          <w:color w:val="auto"/>
        </w:rPr>
      </w:pPr>
      <w:r>
        <w:rPr>
          <w:rFonts w:ascii="Arial" w:cs="Arial" w:eastAsia="Arial" w:hAnsi="Arial"/>
          <w:sz w:val="14"/>
          <w:szCs w:val="14"/>
          <w:color w:val="auto"/>
        </w:rPr>
        <w:t>in Management’s Discussion and Analysis of Financial Condition and Results of Operations in our 2021 Annual Report on Form 10-K. There have been no significant changes in our critical accounting estimates during the nine months from those disclosed in our 2021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204"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68"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60" w:lineRule="exact"/>
        <w:rPr>
          <w:sz w:val="20"/>
          <w:szCs w:val="20"/>
          <w:color w:val="auto"/>
        </w:rPr>
      </w:pPr>
    </w:p>
    <w:p>
      <w:pPr>
        <w:ind w:left="940" w:hanging="370"/>
        <w:spacing w:after="0" w:line="273" w:lineRule="auto"/>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60" w:lineRule="exact"/>
        <w:rPr>
          <w:rFonts w:ascii="Arial" w:cs="Arial" w:eastAsia="Arial" w:hAnsi="Arial"/>
          <w:sz w:val="14"/>
          <w:szCs w:val="14"/>
          <w:color w:val="auto"/>
        </w:rPr>
      </w:pPr>
    </w:p>
    <w:p>
      <w:pPr>
        <w:ind w:left="940" w:hanging="370"/>
        <w:spacing w:after="0"/>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203" w:lineRule="exact"/>
        <w:rPr>
          <w:rFonts w:ascii="Arial" w:cs="Arial" w:eastAsia="Arial" w:hAnsi="Arial"/>
          <w:sz w:val="14"/>
          <w:szCs w:val="14"/>
          <w:color w:val="auto"/>
        </w:rPr>
      </w:pPr>
    </w:p>
    <w:p>
      <w:pPr>
        <w:jc w:val="both"/>
        <w:ind w:left="940" w:hanging="370"/>
        <w:spacing w:after="0" w:line="286" w:lineRule="auto"/>
        <w:tabs>
          <w:tab w:leader="none" w:pos="9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54" w:lineRule="exact"/>
        <w:rPr>
          <w:rFonts w:ascii="Arial" w:cs="Arial" w:eastAsia="Arial" w:hAnsi="Arial"/>
          <w:sz w:val="13"/>
          <w:szCs w:val="13"/>
          <w:color w:val="auto"/>
        </w:rPr>
      </w:pPr>
    </w:p>
    <w:p>
      <w:pPr>
        <w:jc w:val="both"/>
        <w:ind w:left="940" w:hanging="370"/>
        <w:spacing w:after="0" w:line="257" w:lineRule="auto"/>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71" w:lineRule="exact"/>
        <w:rPr>
          <w:rFonts w:ascii="Arial" w:cs="Arial" w:eastAsia="Arial" w:hAnsi="Arial"/>
          <w:sz w:val="14"/>
          <w:szCs w:val="14"/>
          <w:color w:val="auto"/>
        </w:rPr>
      </w:pPr>
    </w:p>
    <w:p>
      <w:pPr>
        <w:ind w:left="940" w:hanging="370"/>
        <w:spacing w:after="0" w:line="273" w:lineRule="auto"/>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204" w:lineRule="exact"/>
        <w:rPr>
          <w:sz w:val="20"/>
          <w:szCs w:val="20"/>
          <w:color w:val="auto"/>
        </w:rPr>
      </w:pPr>
    </w:p>
    <w:p>
      <w:pPr>
        <w:ind w:left="580"/>
        <w:spacing w:after="0"/>
        <w:tabs>
          <w:tab w:leader="none" w:pos="17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50" w:lineRule="exact"/>
        <w:rPr>
          <w:sz w:val="20"/>
          <w:szCs w:val="20"/>
          <w:color w:val="auto"/>
        </w:rPr>
      </w:pPr>
    </w:p>
    <w:p>
      <w:pPr>
        <w:jc w:val="both"/>
        <w:ind w:left="1720" w:right="700" w:hanging="1133"/>
        <w:spacing w:after="0" w:line="238" w:lineRule="auto"/>
        <w:tabs>
          <w:tab w:leader="none" w:pos="17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29" w:lineRule="exact"/>
        <w:rPr>
          <w:sz w:val="20"/>
          <w:szCs w:val="20"/>
          <w:color w:val="auto"/>
        </w:rPr>
      </w:pPr>
    </w:p>
    <w:p>
      <w:pPr>
        <w:jc w:val="both"/>
        <w:ind w:left="1720" w:right="700" w:hanging="1133"/>
        <w:spacing w:after="0" w:line="253" w:lineRule="auto"/>
        <w:tabs>
          <w:tab w:leader="none" w:pos="17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17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Credit Facility, 2026 Notes, 2026-2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7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The SEC recently adopted Rule 2a-5 under the 1940 Act which established requirements for determining fair value in good faith purposes of the 1940 Act. We will comply with the requirement of the rule before the requirement date of September 8, 2022.</w:t>
      </w:r>
    </w:p>
    <w:p>
      <w:pPr>
        <w:spacing w:after="0" w:line="16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addition to using the above inputs to value cash equivalents, investments, our SBA debentures, our 2024 Notes, our 2026 Notes, 2026 Notes-2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2" w:name="page43"/>
    <w:bookmarkEnd w:id="42"/>
    <w:p>
      <w:pPr>
        <w:jc w:val="both"/>
        <w:spacing w:after="0" w:line="247" w:lineRule="auto"/>
        <w:rPr>
          <w:sz w:val="20"/>
          <w:szCs w:val="20"/>
          <w:color w:val="auto"/>
        </w:rPr>
      </w:pPr>
      <w:r>
        <w:rPr>
          <w:rFonts w:ascii="Arial" w:cs="Arial" w:eastAsia="Arial" w:hAnsi="Arial"/>
          <w:sz w:val="14"/>
          <w:szCs w:val="14"/>
          <w:color w:val="auto"/>
        </w:rPr>
        <w:t>mitigating volatility in earnings from using different measurement attributes. Due to that election and in accordance with GAAP, we did not incur any expenses relating to amendment costs on the Credit Facility for both the three and nine months ended June 30, 2022 and 2021.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is reported in our Consolidated Statements of Operations. We elect not to apply ASC 825-10 to any other financial assets or liabilities, including the 2024 Notes, 2026 Notes, 2026 Notes-2 and SBA debentures.</w:t>
      </w:r>
    </w:p>
    <w:p>
      <w:pPr>
        <w:spacing w:after="0" w:line="180"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For the three and nine months ended June 30, 2022, the Truist Credit Facility had a net change in unrealized depreciation of $8.9 million and $9.1 million, respectively. For the three and nine months ended June 30, 2021, our Truist Credit Facility had a net change in unrealized appreciation of $1.6 million and $18.5 million, respectively. As of June 30, 2022 and September 30, 2021, the net unrealized depreciation on the Truist Credit Facility totaled $10.9 million and $1.7 million, respectively. We use a nationally recognized independent valuation service to measure the fair value of our Truist Credit Facility in a manner consistent with the valuation process that the board of directors uses to value our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50"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20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Credit Facility including any reversal of previously recorded unrealized appreciation or depreciation, when gains or losses are realized.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204" w:lineRule="exact"/>
        <w:rPr>
          <w:sz w:val="20"/>
          <w:szCs w:val="20"/>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203" w:lineRule="exact"/>
        <w:rPr>
          <w:rFonts w:ascii="Arial" w:cs="Arial" w:eastAsia="Arial" w:hAnsi="Arial"/>
          <w:sz w:val="14"/>
          <w:szCs w:val="14"/>
          <w:color w:val="auto"/>
        </w:rPr>
      </w:pPr>
    </w:p>
    <w:p>
      <w:pPr>
        <w:ind w:left="940" w:hanging="370"/>
        <w:spacing w:after="0"/>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204"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60"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U.S.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7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For the three and nine months ended June 30, 2022, we recorded a provision for taxes on net investment income of $0.2 million and $0.6 million respectively, all of which pertains to U.S. federal excise tax. For the three and nine months ended June 30, 2021, we recorded a provision for taxes on net investment income of $0.2 million and $0.5 million respectively, all of which pertains to U.S. federal excise tax.</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3" w:name="page44"/>
    <w:bookmarkEnd w:id="43"/>
    <w:p>
      <w:pPr>
        <w:jc w:val="both"/>
        <w:ind w:right="20" w:firstLine="449"/>
        <w:spacing w:after="0" w:line="273" w:lineRule="auto"/>
        <w:rPr>
          <w:sz w:val="20"/>
          <w:szCs w:val="20"/>
          <w:color w:val="auto"/>
        </w:rPr>
      </w:pPr>
      <w:r>
        <w:rPr>
          <w:rFonts w:ascii="Arial" w:cs="Arial" w:eastAsia="Arial" w:hAnsi="Arial"/>
          <w:sz w:val="14"/>
          <w:szCs w:val="14"/>
          <w:color w:val="auto"/>
        </w:rPr>
        <w:t>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For the three and nine months ended June 30, 2022, the Company recognized a provision for taxes of $1.1 million and $6.2 million, respectively, on net realized gain on investments by the Taxable Subsidiary. For the three and nine months ended June 30, 2022, the Company recognized a provision for taxes of $8.1 million and $8.1 million,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2022 and (ii) the expected tax benefit resulting from the use of loss carryforwards to offset such gains. For the three and nine months ended June 30, 2021, the Company recognized a provision for taxes of zero on net realized and unrealized gains on investments by the Taxable Subsidiary.</w:t>
      </w:r>
    </w:p>
    <w:p>
      <w:pPr>
        <w:spacing w:after="0" w:line="16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During the three and nine months ended June 30, 2022, the Company paid zero and $4.0 million, respectively, in federal taxes on realized gains on the sale of investments held by the Taxable Subsidiary. Due to offsetting losses in the three months ended June 30, 2022 the $4.0 million is expected to be refunded and is shown on the consolidated statement of assets and liabilities under prepaid expenses and other assets. The state and local tax liability of $6.2 million as of June 30, 2022 is included under accrued other expenses in the consolidated statement of assets and liabilities.</w:t>
      </w:r>
    </w:p>
    <w:p>
      <w:pPr>
        <w:spacing w:after="0" w:line="174"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We have formed the Taxable Subsidiary, which is subject to tax as a corporation. The Taxable Subsidiary allows us to hold equity securities of certain portfolio companies treated as pass-through entities for U.S. federal income tax purposes while facilitating our ability to qualify as a RIC under the Code.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2022 and 2021.</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204"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Investment income for the three and nine months ended June 30, 2022 was $23.3 million and $76.0 million, respectively, which was attributable to $17.6 million and $52.2 million from first lien secured debt, $2.9 million and $13.7 million from second lien secured debt, $0.3 million and $2.6 million from subordinated debt and $2.5 million and $7.4 million from preferred and common equity, respectively. This compares to Investment income for the three and nine months ended June 30, 2021 was $20.5 million and $58.5 million, respectively, which was attributable to $11.8 million and $33.9 million from first lien secured debt, $5.2 million and $15.8 million from second lien secured debt, $1.8 million and $5.2 million from subordinated debt and $1.7 million and $3.6 million from preferred and common equity, respectively. The increase in investment income compared to the same periods in the prior year was primarily due to the increase in the size of our debt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204"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Expenses for the three and nine months ended June 30, 2022 totaled $12.8 million and $41.3 million, respectively. Base management fee for the same periods totaled $4.9 million and $15.0 million, performance base incentive fee for the same periods totaled zero and $2.7 million, debt related interest and expenses totaled $6.7 million and $20.1 million, general and administrative expenses totaled $1.0 million and $3.0 million and provision for taxes totaled $0.2 million and $0.6 million, respectively. This compares to expenses for the three and nine months ended June 30, 2021 $12.3 million and $33.2 million, respectively. Base management fee for the same periods totaled $4.4 million and $12.8 million, debt related interest and expenses totaled $6.9 million (including a one-time $1.1 million payment, which is related to the early repayment of SBA Debt) and $16.8 million, general and administrative expenses totaled $0.9 million and $3.2 million and provision for taxes totaled $0.2 million and $0.5 million, respectively. The increase in expenses for the three months ended June 30, 2022 compared to the same period in the prior year was primarily due to increased financing costs.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Net investment income totaled $10.6 million and $34.8 million, or $0.16 and $0.52 per share, for the three and nine months ended June 30, 2022, respectively. Net investment income totaled $8.1 million and $25.2 million, or $0.12 and $0.38 per share, for the three and nine months ended June 30, 2021, respectively. The increase in net investment income compared to the same period in the prior year was primarily due to increased investment income.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Sales and repayments of investments for the three and nine months ended June 30, 2022 totaled $198.3 million and $736.0 million, respectively, and net realized gains (losses) totaled $(34.3) million and $82.4 million, respectively. Sales and repayments of investments for the three and nine months ended June 30, 2021 totaled $191.0 million and $358.6 million, respectively, and net realized gains (losses) totaled $41.7 million and $24.4 million, respectively. The change in realized gains was primarily due to changes in the market conditions of our investments and the values at which they were realized.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the Credit Facility</w:t>
      </w:r>
    </w:p>
    <w:p>
      <w:pPr>
        <w:spacing w:after="0" w:line="20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For the three and nine months ended June 30, 2022, we reported net change in unrealized appreciation (depreciation) on investments of $5.6 million and $(99.1) million, respectively. For the three and nine months ended June 30, 2021, we reported net change in unrealized appreciation (depreciation) on investments of $(16.3) million and $110.4 million, respectively. As of June 30, 2022 and September 30, 2021, our net unrealized appreciation (depreciation) on investments totaled $(64.9) million and $34.2 million, respectively. The net change in unrealized depreciation on our investments compared to the same period in the prior year was primarily due to the reversal of the unrealized appreciation of PT Network Intermediate Holdings, LLC associated with the realization of the investment.</w:t>
      </w:r>
    </w:p>
    <w:p>
      <w:pPr>
        <w:spacing w:after="0" w:line="177"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For the three and nine months ended June 30, 2022, the Truist Credit Facility had a net change in unrealized depreciation of $8.9 million and $9.2 million, respectively. For the three and nine months ended June 30, 2021, the Truist Credit Facility had a net change in unrealized appreciation of $1.6 million and $18.5 million, respectively, respectively. As of June 30, 2022 and September 30, 2021, the net unrealized depreciation on the Truist Credit Facility totaled $10.9 million and $1.7 million, respectively. The net change in unrealized depreciation compared to the same periods in the prior year was primarily due to changes in the capital markets.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204"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Net change in net assets resulting from operations totaled $(18.5) million and $10.2 million, or $(0.28) and $0.15 per share, for the three and nine months ended June 30, 2022, respectively. Net change in net assets resulting from operations totaled $31.9 million and $141.5 million, or $0.48 and $2.11 per share, for the three and nine months ended June 30, 2021, respectively. The decrease in the net change in net assets from operations for the three and nine months ended June 30, 2022 compared to the same periods in the prior year was primarily due to a decrease in unrealized appreciation.</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8"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“COVID-19 Developments” section above.</w:t>
      </w:r>
    </w:p>
    <w:p>
      <w:pPr>
        <w:spacing w:after="0" w:line="180"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June 30, 2022 and September 30, 2021, our asset coverage ratio, computed in accordance with the 1940 Act was 187% and 221%, respectively.</w:t>
      </w:r>
    </w:p>
    <w:p>
      <w:pPr>
        <w:spacing w:after="0" w:line="20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 annualized weighted average cost of debt for the nine months ended June 30, 2022 and 2021, inclusive of the fee on the undrawn commitment and amendment costs on the Truist Credit Facility, amortized upfront fees on SBA debentures, was 4.0% and 3.5%, respectively.</w:t>
      </w:r>
    </w:p>
    <w:p>
      <w:pPr>
        <w:spacing w:after="0" w:line="160"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As of June 30, 2022, we had the multi-currency Truist Credit Facility for up to $465.0 million (increased from $435.0 million in December 2021) in borrowings with certain lenders and Truist Bank, acting as administrative agent, and JPMorgan Chase Bank, N.A., acting as syndication agent for the lenders. As of June 30, 2022 and September 30, 2021, we had $422.9 million and $316.5 million, respectively, in outstanding borrowings under the Truist Credit Facility. The Truist Credit Facility had a weighted average interest rate of 3.9% and 2.4%, respectively, exclusive of the fee on undrawn commitments, as of June 30, 2022 and September 30, 2021. The Truist Credit Facility is a revolving facility with a stated maturity date of September 4, 2024, a one-year term-out period on September 4, 2023 and pricing set at 225 basis points over LIBOR (or an alternative risk-free floating interest rate index). As of June 30, 2022 and September 30, 2021, we had $42.1 million and $118.5 million of unused borrowing capacity under the Truist Credit Facility, respectively, subject to leverage and borrowing base restrictions. The Truist Credit Facility is secured by substantially all of our assets excluding assets held by SBIC II. As of June 30, 2022, we were in compliance with the terms of the Truist Credit Facility.</w:t>
      </w:r>
    </w:p>
    <w:p>
      <w:pPr>
        <w:spacing w:after="0" w:line="168"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On November 13, 2021, the 2024 Notes were redeemed at a redemption price of $25.00 per 2024 Note, plus accrued and unpaid interest to November 13, 2021, pursuant to the indenture governing the 2024 Notes. Accordingly, as of June 30, 2022 and September 30, 2021, we had zero and $86.3 million in aggregate principal amount of 2024 Notes outstanding, respectively. Interest on the 2024 Notes was paid quarterly on January 15, April 15, July 15 and October 15, at a rate of 5.5% per year.</w:t>
      </w:r>
    </w:p>
    <w:p>
      <w:pPr>
        <w:spacing w:after="0" w:line="117"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3"/>
          <w:szCs w:val="13"/>
          <w:color w:val="auto"/>
        </w:rPr>
        <w:t xml:space="preserve">As of June 30, 2022,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94"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3"/>
          <w:szCs w:val="13"/>
          <w:color w:val="auto"/>
        </w:rPr>
        <w:t xml:space="preserve">As of June 30, 2022, we had $165.0 million in aggregate principal amount of 2026 Notes-2 outstanding. Interest on the 2026 Notes is paid semi-annually on May 1 and November 1, at a rate of 4.0% per year, commencing May 1, 2022. The 2026 Notes-2 mature on November 1, 2026, and may be redeemed in whole or in part at our option subject to a make-whole premium if redeemed more than three months prior to maturity. The 2026 Notes-2 are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07" w:lineRule="exact"/>
        <w:rPr>
          <w:sz w:val="20"/>
          <w:szCs w:val="20"/>
          <w:color w:val="auto"/>
        </w:rPr>
      </w:pPr>
    </w:p>
    <w:p>
      <w:pPr>
        <w:jc w:val="both"/>
        <w:ind w:firstLine="449"/>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7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$27.5 million and $63.5 million as of June 30, 2022 and September 30,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up to a maximum of $175.0 million, which is up to twice its potential regulatory capital, and as part of a group of SBICs under common control may borrow a maximum of $350 million in the aggregate.</w:t>
      </w:r>
    </w:p>
    <w:p>
      <w:pPr>
        <w:spacing w:after="0" w:line="162"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As of both June 30, 2022 and September 30, 2021, SBIC II had an initial $150.0 million in debt commitments, all of which were drawn. During the three and nine months ended June 30, 2022, zero and $36.0 million in SBA debentures were repaid, respectively. During the three and nine months ended June 30, 2021, there was $45.0 million and $55.0 million in SBA debentures were repaid, respectively. As of both June 30, 2022 and September 30, 2021, the unamortized fees on the SBA debentures was $0.4 million, respectively. The SBA debentures’ upfront fees of 3.4% consist of a commitment fee of 1.0% and an issuance discount of 2.4%, which are being amortized.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5" w:name="page46"/>
    <w:bookmarkEnd w:id="45"/>
    <w:p>
      <w:pPr>
        <w:ind w:left="460"/>
        <w:spacing w:after="0"/>
        <w:rPr>
          <w:sz w:val="20"/>
          <w:szCs w:val="20"/>
          <w:color w:val="auto"/>
        </w:rPr>
      </w:pPr>
      <w:r>
        <w:rPr>
          <w:rFonts w:ascii="Arial" w:cs="Arial" w:eastAsia="Arial" w:hAnsi="Arial"/>
          <w:sz w:val="14"/>
          <w:szCs w:val="14"/>
          <w:color w:val="auto"/>
        </w:rPr>
        <w:t>Our fixed-rate SBA debentures as of June 30, 2022 and September 30, 2021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14"/>
                <w:szCs w:val="14"/>
                <w:color w:val="auto"/>
              </w:rPr>
            </w:pPr>
          </w:p>
        </w:tc>
        <w:tc>
          <w:tcPr>
            <w:tcW w:w="21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56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9"/>
                <w:szCs w:val="19"/>
                <w:b w:val="1"/>
                <w:bCs w:val="1"/>
                <w:color w:val="auto"/>
                <w:vertAlign w:val="superscript"/>
              </w:rPr>
              <w:t>(1)</w:t>
            </w:r>
          </w:p>
        </w:tc>
        <w:tc>
          <w:tcPr>
            <w:tcW w:w="280" w:type="dxa"/>
            <w:vAlign w:val="bottom"/>
          </w:tcPr>
          <w:p>
            <w:pPr>
              <w:spacing w:after="0"/>
              <w:rPr>
                <w:sz w:val="14"/>
                <w:szCs w:val="14"/>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As of June 30,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2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4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tcBorders>
            <w:shd w:val="clear" w:color="auto" w:fill="CCECFF"/>
          </w:tcPr>
          <w:p>
            <w:pPr>
              <w:spacing w:after="0"/>
              <w:rPr>
                <w:sz w:val="14"/>
                <w:szCs w:val="14"/>
                <w:color w:val="auto"/>
              </w:rPr>
            </w:pP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350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Issuance Dates</w:t>
            </w:r>
          </w:p>
        </w:tc>
        <w:tc>
          <w:tcPr>
            <w:tcW w:w="240" w:type="dxa"/>
            <w:vAlign w:val="bottom"/>
          </w:tcPr>
          <w:p>
            <w:pPr>
              <w:spacing w:after="0"/>
              <w:rPr>
                <w:sz w:val="24"/>
                <w:szCs w:val="24"/>
                <w:color w:val="auto"/>
              </w:rPr>
            </w:pPr>
          </w:p>
        </w:tc>
        <w:tc>
          <w:tcPr>
            <w:tcW w:w="21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2560" w:type="dxa"/>
            <w:vAlign w:val="bottom"/>
            <w:gridSpan w:val="2"/>
            <w:vMerge w:val="restart"/>
          </w:tcPr>
          <w:p>
            <w:pPr>
              <w:jc w:val="right"/>
              <w:ind w:right="568"/>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9"/>
                <w:szCs w:val="19"/>
                <w:b w:val="1"/>
                <w:bCs w:val="1"/>
                <w:color w:val="auto"/>
                <w:vertAlign w:val="superscript"/>
              </w:rPr>
              <w:t>(1)</w:t>
            </w:r>
          </w:p>
        </w:tc>
        <w:tc>
          <w:tcPr>
            <w:tcW w:w="280" w:type="dxa"/>
            <w:vAlign w:val="bottom"/>
          </w:tcPr>
          <w:p>
            <w:pPr>
              <w:spacing w:after="0"/>
              <w:rPr>
                <w:sz w:val="24"/>
                <w:szCs w:val="24"/>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0"/>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0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4"/>
                <w:szCs w:val="14"/>
                <w:color w:val="auto"/>
              </w:rPr>
              <w:t>September 20, 2017</w:t>
            </w:r>
          </w:p>
        </w:tc>
        <w:tc>
          <w:tcPr>
            <w:tcW w:w="24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22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2.9</w:t>
            </w:r>
          </w:p>
        </w:tc>
        <w:tc>
          <w:tcPr>
            <w:tcW w:w="440" w:type="dxa"/>
            <w:vAlign w:val="bottom"/>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rPr>
                <w:sz w:val="20"/>
                <w:szCs w:val="20"/>
                <w:color w:val="auto"/>
              </w:rPr>
            </w:pPr>
            <w:r>
              <w:rPr>
                <w:rFonts w:ascii="Arial" w:cs="Arial" w:eastAsia="Arial" w:hAnsi="Arial"/>
                <w:sz w:val="14"/>
                <w:szCs w:val="14"/>
                <w:color w:val="auto"/>
              </w:rPr>
              <w:t>March 21, 2018</w:t>
            </w:r>
          </w:p>
        </w:tc>
        <w:tc>
          <w:tcPr>
            <w:tcW w:w="240" w:type="dxa"/>
            <w:vAlign w:val="bottom"/>
          </w:tcPr>
          <w:p>
            <w:pPr>
              <w:spacing w:after="0"/>
              <w:rPr>
                <w:sz w:val="15"/>
                <w:szCs w:val="15"/>
                <w:color w:val="auto"/>
              </w:rPr>
            </w:pPr>
          </w:p>
        </w:tc>
        <w:tc>
          <w:tcPr>
            <w:tcW w:w="2120" w:type="dxa"/>
            <w:vAlign w:val="bottom"/>
          </w:tcPr>
          <w:p>
            <w:pPr>
              <w:spacing w:after="0"/>
              <w:rPr>
                <w:sz w:val="20"/>
                <w:szCs w:val="20"/>
                <w:color w:val="auto"/>
              </w:rPr>
            </w:pPr>
            <w:r>
              <w:rPr>
                <w:rFonts w:ascii="Arial" w:cs="Arial" w:eastAsia="Arial" w:hAnsi="Arial"/>
                <w:sz w:val="14"/>
                <w:szCs w:val="14"/>
                <w:color w:val="auto"/>
              </w:rPr>
              <w:t>March 1, 2028</w:t>
            </w: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2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w:t>
            </w:r>
          </w:p>
        </w:tc>
        <w:tc>
          <w:tcPr>
            <w:tcW w:w="440" w:type="dxa"/>
            <w:vAlign w:val="bottom"/>
            <w:tcBorders>
              <w:bottom w:val="single" w:sz="8" w:color="CCECFF"/>
            </w:tcBorders>
            <w:shd w:val="clear" w:color="auto" w:fill="CCECFF"/>
          </w:tcPr>
          <w:p>
            <w:pPr>
              <w:jc w:val="right"/>
              <w:ind w:right="228"/>
              <w:spacing w:after="0"/>
              <w:rPr>
                <w:sz w:val="20"/>
                <w:szCs w:val="20"/>
                <w:color w:val="auto"/>
              </w:rPr>
            </w:pPr>
            <w:r>
              <w:rPr>
                <w:rFonts w:ascii="Arial" w:cs="Arial" w:eastAsia="Arial" w:hAnsi="Arial"/>
                <w:sz w:val="14"/>
                <w:szCs w:val="14"/>
                <w:color w:val="auto"/>
                <w:w w:val="96"/>
              </w:rPr>
              <w:t>%</w:t>
            </w:r>
          </w:p>
        </w:tc>
        <w:tc>
          <w:tcPr>
            <w:tcW w:w="28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22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63,500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774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1" w:lineRule="exact"/>
        <w:rPr>
          <w:sz w:val="20"/>
          <w:szCs w:val="20"/>
          <w:color w:val="auto"/>
        </w:rPr>
      </w:pPr>
    </w:p>
    <w:p>
      <w:pPr>
        <w:ind w:left="380" w:hanging="372"/>
        <w:spacing w:after="0"/>
        <w:tabs>
          <w:tab w:leader="none" w:pos="3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Excluding 3.4%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1912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5"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2022, SBIC II was in compliance with their regulatory requirements.</w:t>
      </w:r>
    </w:p>
    <w:p>
      <w:pPr>
        <w:spacing w:after="0" w:line="177"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required 150% asset coverage ratio is met after such borrowing. As of June 30, 2022 and September 30, 2021,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160"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3"/>
          <w:szCs w:val="13"/>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2022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2"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2022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8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As of June 30, 2022 and September 30, 2021, we had cash and cash equivalents of $29.5 million and $20.4 million, respectively, available for investing and general corporate purposes.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allows us to effectively operate our business.</w:t>
      </w:r>
    </w:p>
    <w:p>
      <w:pPr>
        <w:spacing w:after="0" w:line="192"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Our operating activities used cash of $97.5 million for the nine months ended June 30, 2022, and our financing activities provided cash of $106.9 million for the same period. Our operating activities used cash primarily due to our investment activities and our financing activities provided cash primarily due to borrowings under the Truist Credit Facility and proceeds from our 2026-2 Notes.</w:t>
      </w:r>
    </w:p>
    <w:p>
      <w:pPr>
        <w:spacing w:after="0" w:line="171" w:lineRule="exact"/>
        <w:rPr>
          <w:sz w:val="20"/>
          <w:szCs w:val="20"/>
          <w:color w:val="auto"/>
        </w:rPr>
      </w:pPr>
    </w:p>
    <w:p>
      <w:pPr>
        <w:jc w:val="both"/>
        <w:ind w:firstLine="449"/>
        <w:spacing w:after="0" w:line="312" w:lineRule="auto"/>
        <w:rPr>
          <w:sz w:val="20"/>
          <w:szCs w:val="20"/>
          <w:color w:val="auto"/>
        </w:rPr>
      </w:pPr>
      <w:r>
        <w:rPr>
          <w:rFonts w:ascii="Arial" w:cs="Arial" w:eastAsia="Arial" w:hAnsi="Arial"/>
          <w:sz w:val="13"/>
          <w:szCs w:val="13"/>
          <w:color w:val="auto"/>
        </w:rPr>
        <w:t>Our operating activities provided cash of $95.7 million for the nine months ended June 30, 2021 and our financing activities used cash of $107.4 million for the same period. Our operating activities provided cash primarily from our investment activities and our financing activities used cash primarily to pay down the Truist Credit Facility and our SBA Debentures.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Loan Fund, LLC</w:t>
      </w:r>
    </w:p>
    <w:p>
      <w:pPr>
        <w:spacing w:after="0" w:line="208" w:lineRule="exact"/>
        <w:rPr>
          <w:sz w:val="20"/>
          <w:szCs w:val="20"/>
          <w:color w:val="auto"/>
        </w:rPr>
      </w:pPr>
    </w:p>
    <w:p>
      <w:pPr>
        <w:jc w:val="both"/>
        <w:ind w:firstLine="449"/>
        <w:spacing w:after="0" w:line="229" w:lineRule="auto"/>
        <w:rPr>
          <w:sz w:val="20"/>
          <w:szCs w:val="20"/>
          <w:color w:val="auto"/>
        </w:rPr>
      </w:pPr>
      <w:r>
        <w:rPr>
          <w:rFonts w:ascii="Arial" w:cs="Arial" w:eastAsia="Arial" w:hAnsi="Arial"/>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June 30, 2022 and September 30, 2021, PSLF had total assets of $664.6 million and $417.4 million, respectively. PSLF’s portfolio consisted of debt investments in 72 and 47 portfolio companies as of June 30, 2022 and September 30, 2021, respectively. As of the same dates, we and Pantheon had no remaining commitments to fund first lien secured debt and equity interests in PSLF. As of June 30, 2022, at fair value, the largest investment in a single portfolio company in PSLF was $17.9 million and the five largest investments totaled $87.2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72" w:lineRule="exact"/>
        <w:rPr>
          <w:sz w:val="20"/>
          <w:szCs w:val="20"/>
          <w:color w:val="auto"/>
        </w:rPr>
      </w:pPr>
    </w:p>
    <w:p>
      <w:pPr>
        <w:jc w:val="both"/>
        <w:ind w:firstLine="449"/>
        <w:spacing w:after="0" w:line="238" w:lineRule="auto"/>
        <w:rPr>
          <w:sz w:val="20"/>
          <w:szCs w:val="20"/>
          <w:color w:val="auto"/>
        </w:rPr>
      </w:pPr>
      <w:r>
        <w:rPr>
          <w:rFonts w:ascii="Arial" w:cs="Arial" w:eastAsia="Arial" w:hAnsi="Arial"/>
          <w:sz w:val="14"/>
          <w:szCs w:val="14"/>
          <w:color w:val="auto"/>
        </w:rPr>
        <w:t>We provide capital to PSLF in the form of subordinated notes and equity interests. As of June 30, 2022 and September 30, 2021, we and Pantheon owned 60.5% and 39.5%, respectively, of each of the outstanding subordinated notes and equity interests of PSLF. As of June 30, 2022 and September 30, 2021 our investment in PSLF consisted of subordinated notes of $88.0 million and $64.2 million, respectively, and equity interests of $53.1 million and $41.2 million, respectively.</w:t>
      </w:r>
    </w:p>
    <w:p>
      <w:pPr>
        <w:spacing w:after="0" w:line="169"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6" w:name="page47"/>
    <w:bookmarkEnd w:id="46"/>
    <w:p>
      <w:pPr>
        <w:jc w:val="both"/>
        <w:ind w:right="20"/>
        <w:spacing w:after="0" w:line="253" w:lineRule="auto"/>
        <w:rPr>
          <w:sz w:val="20"/>
          <w:szCs w:val="20"/>
          <w:color w:val="auto"/>
        </w:rPr>
      </w:pPr>
      <w:r>
        <w:rPr>
          <w:rFonts w:ascii="Arial" w:cs="Arial" w:eastAsia="Arial" w:hAnsi="Arial"/>
          <w:sz w:val="14"/>
          <w:szCs w:val="14"/>
          <w:color w:val="auto"/>
        </w:rPr>
        <w:t>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60" w:lineRule="exact"/>
        <w:rPr>
          <w:sz w:val="20"/>
          <w:szCs w:val="20"/>
          <w:color w:val="auto"/>
        </w:rPr>
      </w:pPr>
    </w:p>
    <w:p>
      <w:pPr>
        <w:jc w:val="both"/>
        <w:ind w:right="20" w:firstLine="449"/>
        <w:spacing w:after="0" w:line="238" w:lineRule="auto"/>
        <w:rPr>
          <w:sz w:val="20"/>
          <w:szCs w:val="20"/>
          <w:color w:val="auto"/>
        </w:rPr>
      </w:pPr>
      <w:r>
        <w:rPr>
          <w:rFonts w:ascii="Arial" w:cs="Arial" w:eastAsia="Arial" w:hAnsi="Arial"/>
          <w:sz w:val="14"/>
          <w:szCs w:val="14"/>
          <w:color w:val="auto"/>
        </w:rPr>
        <w:t>Additionally, PSLF, through its wholly-owned subsidiary, or PSLF Subsidiary, has entered into a $225.0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69" w:lineRule="exact"/>
        <w:rPr>
          <w:sz w:val="20"/>
          <w:szCs w:val="20"/>
          <w:color w:val="auto"/>
        </w:rPr>
      </w:pPr>
    </w:p>
    <w:p>
      <w:pPr>
        <w:jc w:val="both"/>
        <w:ind w:right="20" w:firstLine="449"/>
        <w:spacing w:after="0" w:line="264" w:lineRule="auto"/>
        <w:rPr>
          <w:sz w:val="20"/>
          <w:szCs w:val="20"/>
          <w:color w:val="auto"/>
        </w:rPr>
      </w:pPr>
      <w:r>
        <w:rPr>
          <w:rFonts w:ascii="Arial" w:cs="Arial" w:eastAsia="Arial" w:hAnsi="Arial"/>
          <w:sz w:val="13"/>
          <w:szCs w:val="13"/>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20"/>
                <w:szCs w:val="20"/>
                <w:color w:val="auto"/>
              </w:rPr>
            </w:pPr>
            <w:r>
              <w:rPr>
                <w:rFonts w:ascii="Arial" w:cs="Arial" w:eastAsia="Arial" w:hAnsi="Arial"/>
                <w:sz w:val="14"/>
                <w:szCs w:val="14"/>
                <w:color w:val="auto"/>
              </w:rPr>
              <w:t>Preferred Shares of PennantPark CLO IV, LLC. and 100% of the Subordinated Notes issued by PennantPark CLO IV, LLC.</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8"/>
        </w:trPr>
        <w:tc>
          <w:tcPr>
            <w:tcW w:w="7680" w:type="dxa"/>
            <w:vAlign w:val="bottom"/>
          </w:tcPr>
          <w:p>
            <w:pPr>
              <w:ind w:left="460"/>
              <w:spacing w:after="0"/>
              <w:rPr>
                <w:sz w:val="20"/>
                <w:szCs w:val="20"/>
                <w:color w:val="auto"/>
              </w:rPr>
            </w:pPr>
            <w:r>
              <w:rPr>
                <w:rFonts w:ascii="Arial" w:cs="Arial" w:eastAsia="Arial" w:hAnsi="Arial"/>
                <w:sz w:val="14"/>
                <w:szCs w:val="14"/>
                <w:color w:val="auto"/>
              </w:rPr>
              <w:t>Below is a summary of PSLF’s portfolio at fair value:</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7"/>
        </w:trPr>
        <w:tc>
          <w:tcPr>
            <w:tcW w:w="76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40" w:type="dxa"/>
            <w:vAlign w:val="bottom"/>
          </w:tcPr>
          <w:p>
            <w:pPr>
              <w:spacing w:after="0"/>
              <w:rPr>
                <w:sz w:val="24"/>
                <w:szCs w:val="2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2021</w:t>
            </w:r>
          </w:p>
        </w:tc>
      </w:tr>
      <w:tr>
        <w:trPr>
          <w:trHeight w:val="169"/>
        </w:trPr>
        <w:tc>
          <w:tcPr>
            <w:tcW w:w="76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investments</w:t>
            </w: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608,375</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405,233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Weighted average cost yield on income producing investments</w:t>
            </w:r>
          </w:p>
        </w:tc>
        <w:tc>
          <w:tcPr>
            <w:tcW w:w="240" w:type="dxa"/>
            <w:vAlign w:val="bottom"/>
          </w:tcPr>
          <w:p>
            <w:pPr>
              <w:spacing w:after="0"/>
              <w:rPr>
                <w:sz w:val="15"/>
                <w:szCs w:val="15"/>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7.9 %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20" w:type="dxa"/>
            <w:vAlign w:val="bottom"/>
          </w:tcPr>
          <w:p>
            <w:pPr>
              <w:spacing w:after="0"/>
              <w:rPr>
                <w:sz w:val="15"/>
                <w:szCs w:val="15"/>
                <w:color w:val="auto"/>
              </w:rPr>
            </w:pPr>
          </w:p>
        </w:tc>
      </w:tr>
      <w:tr>
        <w:trPr>
          <w:trHeight w:val="175"/>
        </w:trPr>
        <w:tc>
          <w:tcPr>
            <w:tcW w:w="76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Number of portfolio companies in PSLF</w:t>
            </w:r>
          </w:p>
        </w:tc>
        <w:tc>
          <w:tcPr>
            <w:tcW w:w="240" w:type="dxa"/>
            <w:vAlign w:val="bottom"/>
            <w:shd w:val="clear" w:color="auto" w:fill="CCECFF"/>
          </w:tcPr>
          <w:p>
            <w:pPr>
              <w:spacing w:after="0"/>
              <w:rPr>
                <w:sz w:val="15"/>
                <w:szCs w:val="15"/>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color w:val="auto"/>
              </w:rPr>
              <w:t>Largest portfolio company investment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17,897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16,817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80" w:type="dxa"/>
            <w:vAlign w:val="bottom"/>
            <w:shd w:val="clear" w:color="auto" w:fill="CCECFF"/>
          </w:tcPr>
          <w:p>
            <w:pPr>
              <w:ind w:left="20"/>
              <w:spacing w:after="0"/>
              <w:rPr>
                <w:sz w:val="20"/>
                <w:szCs w:val="20"/>
                <w:color w:val="auto"/>
              </w:rPr>
            </w:pPr>
            <w:r>
              <w:rPr>
                <w:rFonts w:ascii="Arial" w:cs="Arial" w:eastAsia="Arial" w:hAnsi="Arial"/>
                <w:sz w:val="14"/>
                <w:szCs w:val="14"/>
                <w:color w:val="auto"/>
              </w:rPr>
              <w:t>Total of five largest portfolio company investments</w:t>
            </w:r>
          </w:p>
        </w:tc>
        <w:tc>
          <w:tcPr>
            <w:tcW w:w="24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87,170</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74,445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Below is a listing of PSLF’s individual investments as of June 30, 2022($ in thousands, except share data):</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3" w:right="31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center"/>
              <w:ind w:left="166"/>
              <w:spacing w:after="0"/>
              <w:rPr>
                <w:sz w:val="20"/>
                <w:szCs w:val="20"/>
                <w:color w:val="auto"/>
              </w:rPr>
            </w:pPr>
            <w:r>
              <w:rPr>
                <w:rFonts w:ascii="Arial" w:cs="Arial" w:eastAsia="Arial" w:hAnsi="Arial"/>
                <w:sz w:val="11"/>
                <w:szCs w:val="11"/>
                <w:b w:val="1"/>
                <w:bCs w:val="1"/>
                <w:color w:val="auto"/>
                <w:w w:val="95"/>
              </w:rPr>
              <w:t>Current</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Pr>
          <w:p>
            <w:pPr>
              <w:spacing w:after="0"/>
              <w:rPr>
                <w:sz w:val="9"/>
                <w:szCs w:val="9"/>
                <w:color w:val="auto"/>
              </w:rPr>
            </w:pPr>
          </w:p>
        </w:tc>
        <w:tc>
          <w:tcPr>
            <w:tcW w:w="7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Maturity</w:t>
            </w:r>
          </w:p>
        </w:tc>
        <w:tc>
          <w:tcPr>
            <w:tcW w:w="180" w:type="dxa"/>
            <w:vAlign w:val="bottom"/>
          </w:tcPr>
          <w:p>
            <w:pPr>
              <w:spacing w:after="0"/>
              <w:rPr>
                <w:sz w:val="9"/>
                <w:szCs w:val="9"/>
                <w:color w:val="auto"/>
              </w:rPr>
            </w:pPr>
          </w:p>
        </w:tc>
        <w:tc>
          <w:tcPr>
            <w:tcW w:w="24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8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Par</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w w:val="97"/>
              </w:rPr>
              <w:t>Cost</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14"/>
                <w:szCs w:val="14"/>
                <w:b w:val="1"/>
                <w:bCs w:val="1"/>
                <w:color w:val="auto"/>
                <w:w w:val="89"/>
                <w:vertAlign w:val="superscript"/>
              </w:rPr>
              <w:t>(2)</w:t>
            </w: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center"/>
              <w:ind w:left="206"/>
              <w:spacing w:after="0"/>
              <w:rPr>
                <w:sz w:val="20"/>
                <w:szCs w:val="20"/>
                <w:color w:val="auto"/>
              </w:rPr>
            </w:pPr>
            <w:r>
              <w:rPr>
                <w:rFonts w:ascii="Arial" w:cs="Arial" w:eastAsia="Arial" w:hAnsi="Arial"/>
                <w:sz w:val="11"/>
                <w:szCs w:val="11"/>
                <w:b w:val="1"/>
                <w:bCs w:val="1"/>
                <w:color w:val="auto"/>
                <w:w w:val="91"/>
              </w:rPr>
              <w:t>Coupon</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tcBorders>
              <w:top w:val="single" w:sz="8" w:color="auto"/>
            </w:tcBorders>
          </w:tcPr>
          <w:p>
            <w:pPr>
              <w:ind w:left="20"/>
              <w:spacing w:after="0"/>
              <w:rPr>
                <w:sz w:val="20"/>
                <w:szCs w:val="20"/>
                <w:color w:val="auto"/>
              </w:rPr>
            </w:pPr>
            <w:r>
              <w:rPr>
                <w:rFonts w:ascii="Arial" w:cs="Arial" w:eastAsia="Arial" w:hAnsi="Arial"/>
                <w:sz w:val="11"/>
                <w:szCs w:val="11"/>
                <w:b w:val="1"/>
                <w:bCs w:val="1"/>
                <w:color w:val="auto"/>
              </w:rPr>
              <w:t>First Lien Secured Debt - 693.3%</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Ad.net Acquisition,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5/6/2026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340" w:type="dxa"/>
            <w:vAlign w:val="bottom"/>
            <w:gridSpan w:val="3"/>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Alpine Acquisition Corp II</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11/30/2026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8"/>
              </w:rPr>
              <w:t>Containers, Packaging and Glass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7.22 %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L+800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7/24/2025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9.24 %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12/21/2023</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17,463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17,417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17,463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shd w:val="clear" w:color="auto" w:fill="CCECFF"/>
          </w:tcPr>
          <w:p>
            <w:pPr>
              <w:ind w:left="20"/>
              <w:spacing w:after="0" w:line="99" w:lineRule="exact"/>
              <w:rPr>
                <w:sz w:val="20"/>
                <w:szCs w:val="20"/>
                <w:color w:val="auto"/>
              </w:rPr>
            </w:pPr>
            <w:r>
              <w:rPr>
                <w:rFonts w:ascii="Arial" w:cs="Arial" w:eastAsia="Arial" w:hAnsi="Arial"/>
                <w:sz w:val="11"/>
                <w:szCs w:val="11"/>
                <w:color w:val="auto"/>
                <w:w w:val="96"/>
              </w:rPr>
              <w:t>Amsive Holding Corporation (f/k/a Vision Purchaser</w:t>
            </w:r>
          </w:p>
        </w:tc>
        <w:tc>
          <w:tcPr>
            <w:tcW w:w="940" w:type="dxa"/>
            <w:vAlign w:val="bottom"/>
            <w:gridSpan w:val="2"/>
            <w:vMerge w:val="restart"/>
            <w:shd w:val="clear" w:color="auto" w:fill="CCECFF"/>
          </w:tcPr>
          <w:p>
            <w:pPr>
              <w:jc w:val="center"/>
              <w:ind w:left="126"/>
              <w:spacing w:after="0"/>
              <w:rPr>
                <w:sz w:val="20"/>
                <w:szCs w:val="20"/>
                <w:color w:val="auto"/>
              </w:rPr>
            </w:pPr>
            <w:r>
              <w:rPr>
                <w:rFonts w:ascii="Arial" w:cs="Arial" w:eastAsia="Arial" w:hAnsi="Arial"/>
                <w:sz w:val="11"/>
                <w:szCs w:val="11"/>
                <w:color w:val="auto"/>
                <w:w w:val="89"/>
              </w:rPr>
              <w:t>6/10/2025</w:t>
            </w:r>
          </w:p>
        </w:tc>
        <w:tc>
          <w:tcPr>
            <w:tcW w:w="180" w:type="dxa"/>
            <w:vAlign w:val="bottom"/>
            <w:shd w:val="clear" w:color="auto" w:fill="CCECFF"/>
          </w:tcPr>
          <w:p>
            <w:pPr>
              <w:spacing w:after="0"/>
              <w:rPr>
                <w:sz w:val="8"/>
                <w:szCs w:val="8"/>
                <w:color w:val="auto"/>
              </w:rPr>
            </w:pPr>
          </w:p>
        </w:tc>
        <w:tc>
          <w:tcPr>
            <w:tcW w:w="2480" w:type="dxa"/>
            <w:vAlign w:val="bottom"/>
            <w:vMerge w:val="restart"/>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vMerge w:val="restart"/>
            <w:shd w:val="clear" w:color="auto" w:fill="CCECFF"/>
          </w:tcPr>
          <w:p>
            <w:pPr>
              <w:jc w:val="right"/>
              <w:spacing w:after="0"/>
              <w:rPr>
                <w:sz w:val="20"/>
                <w:szCs w:val="20"/>
                <w:color w:val="auto"/>
              </w:rPr>
            </w:pPr>
            <w:r>
              <w:rPr>
                <w:rFonts w:ascii="Arial" w:cs="Arial" w:eastAsia="Arial" w:hAnsi="Arial"/>
                <w:sz w:val="11"/>
                <w:szCs w:val="11"/>
                <w:color w:val="auto"/>
              </w:rPr>
              <w:t>13,905</w:t>
            </w:r>
          </w:p>
        </w:tc>
        <w:tc>
          <w:tcPr>
            <w:tcW w:w="2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13,757</w:t>
            </w:r>
          </w:p>
        </w:tc>
        <w:tc>
          <w:tcPr>
            <w:tcW w:w="1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13,835</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Corporation)</w:t>
            </w:r>
          </w:p>
        </w:tc>
        <w:tc>
          <w:tcPr>
            <w:tcW w:w="940" w:type="dxa"/>
            <w:vAlign w:val="bottom"/>
            <w:gridSpan w:val="2"/>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20" w:type="dxa"/>
            <w:vAlign w:val="bottom"/>
            <w:gridSpan w:val="2"/>
            <w:vMerge w:val="continue"/>
            <w:shd w:val="clear" w:color="auto" w:fill="CCECFF"/>
          </w:tcPr>
          <w:p>
            <w:pPr>
              <w:spacing w:after="0"/>
              <w:rPr>
                <w:sz w:val="12"/>
                <w:szCs w:val="12"/>
                <w:color w:val="auto"/>
              </w:rPr>
            </w:pPr>
          </w:p>
        </w:tc>
        <w:tc>
          <w:tcPr>
            <w:tcW w:w="1120" w:type="dxa"/>
            <w:vAlign w:val="bottom"/>
            <w:vMerge w:val="continue"/>
            <w:shd w:val="clear" w:color="auto" w:fill="CCECFF"/>
          </w:tcPr>
          <w:p>
            <w:pPr>
              <w:spacing w:after="0"/>
              <w:rPr>
                <w:sz w:val="12"/>
                <w:szCs w:val="12"/>
                <w:color w:val="auto"/>
              </w:rPr>
            </w:pPr>
          </w:p>
        </w:tc>
        <w:tc>
          <w:tcPr>
            <w:tcW w:w="700" w:type="dxa"/>
            <w:vAlign w:val="bottom"/>
            <w:gridSpan w:val="2"/>
            <w:vMerge w:val="continue"/>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rPr>
                <w:sz w:val="20"/>
                <w:szCs w:val="20"/>
                <w:color w:val="auto"/>
              </w:rPr>
            </w:pPr>
            <w:r>
              <w:rPr>
                <w:rFonts w:ascii="Arial" w:cs="Arial" w:eastAsia="Arial" w:hAnsi="Arial"/>
                <w:sz w:val="11"/>
                <w:szCs w:val="11"/>
                <w:color w:val="auto"/>
              </w:rPr>
              <w:t>Any Hour Services</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7/21/2027</w:t>
            </w:r>
          </w:p>
        </w:tc>
        <w:tc>
          <w:tcPr>
            <w:tcW w:w="18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9,978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9,969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6,569</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6,498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Apex Service Partners, LLC Term Loan B</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3,323</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 Term Loan 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7,607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7,388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7,296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Blackhawk Industrial Distribution,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7.20 %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18,078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17,829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17,897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CF512,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8/20/2026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7.58 %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2,992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Connatix Buyer,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7/13/2027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6.91 %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9,190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9,029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8/5/2025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6.83 %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15,940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15,637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15,860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 Squatch,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8/31/2027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8"/>
              </w:rPr>
              <w:t>Personal and Non-Durable Consumer Products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6,452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6,445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6,452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DRS Holdings III,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11/3/2025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15,182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15,099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14,742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Duraco Specialty Tapes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6/30/2024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Manufacturing / Basic Industries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6.87 %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8,200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8,028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5/1/2028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4,569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4,569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12/23/2025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6.32 %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2,823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2,757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2,766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Exigo Intermediate II,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3/15/2027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6.81 %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9,863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Global Holdings InterCo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3/16/2026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Banking, Finance, Insurance &amp; Real Estate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7,380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Graffiti Buyer,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8/10/2027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1,979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12/31/2026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7.09 %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6,838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6,838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11/23/2028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L+800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13,990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13,720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13,710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14,475</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14,325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IDC Infusion Services,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12/30/2026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IG Investments Holdings,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9/22/2028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Imagine Acquisitionco,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11/15/2027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6.91 %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5,660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5,554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Inception Fertility Ventures,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12/7/2023</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9.08 %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17,409</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16,979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16,973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Infolinks Media Buyco,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6,461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6,461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6,461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8/27/2025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7.83 %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17,490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17,412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K2 Pure Solutions NoCal, L.P.</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12/20/2023</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9.67 %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14,475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14,333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14,345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LAV Gear Holdings,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2,137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Lash OpCo,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2/18/2027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9.25 %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9,950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9,850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2/3/2026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12,377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12,137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MAG DS Corp.</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4/1/2027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5,585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5,124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5,083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Mars Acquisition Holdings Corp.</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5/14/2026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7,940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MBS Holdings,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4/16/2027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Telecommunications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7,425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7,343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Meadowlark Acquirer,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12/10/2027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6.84 %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2,998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2,938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5/23/2024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15,371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15,276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15,294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Municipal Emergency Services,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9/28/2027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4,164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4,006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NBH Group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8/19/2026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6.37 %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7,524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7,442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7,486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OIS Management Services,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7/9/2026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5.61 %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5,316</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5,266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Owl Acquisition,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2/4/2028</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4,000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3,925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Ox Two, LLC (New Issue)</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5/18/2026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4"/>
              </w:rPr>
              <w:t>Distribution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8.00 %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4,933</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PL Acquisitionco,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11/9/2027</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5"/>
              </w:rPr>
              <w:t>Retail</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8.17 %</w:t>
            </w:r>
          </w:p>
        </w:tc>
        <w:tc>
          <w:tcPr>
            <w:tcW w:w="1120" w:type="dxa"/>
            <w:vAlign w:val="bottom"/>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8,656</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8,506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5/8/2026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2,587</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2,489</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2,244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Quantic Electronics,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11/19/2026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7.25 %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3,429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3,365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Radius Aerospace,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6.76 %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12,784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12,676</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12,592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Rancho Health MSO, Inc.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12/18/2025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5,207</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Reception Purchaser,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2/28/2028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4,988</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1/29/2026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9,875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9,736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14,580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14,468</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6/20/2025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3,229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3,207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Riverside Assessments,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3/10/2025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8.45 %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Sales Benchmark Index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1/3/2025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7,225</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7,134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Sargent &amp; Greenleaf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12/20/2024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5,082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Signature Systems Holding Company</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5/3/2024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8.75 %</w:t>
            </w:r>
          </w:p>
        </w:tc>
        <w:tc>
          <w:tcPr>
            <w:tcW w:w="1120" w:type="dxa"/>
            <w:vAlign w:val="bottom"/>
          </w:tcPr>
          <w:p>
            <w:pPr>
              <w:jc w:val="right"/>
              <w:spacing w:after="0"/>
              <w:rPr>
                <w:sz w:val="20"/>
                <w:szCs w:val="20"/>
                <w:color w:val="auto"/>
              </w:rPr>
            </w:pPr>
            <w:r>
              <w:rPr>
                <w:rFonts w:ascii="Arial" w:cs="Arial" w:eastAsia="Arial" w:hAnsi="Arial"/>
                <w:sz w:val="11"/>
                <w:szCs w:val="11"/>
                <w:color w:val="auto"/>
              </w:rPr>
              <w:t>1M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12,139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12,058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12,078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Solutionreach,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1/17/2024</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Communications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7.42 %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L+675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11,420</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10,986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STV Group Incorporated</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12/11/2026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6.92 %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L+575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12,099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12,029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11,917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shd w:val="clear" w:color="auto" w:fill="CCECFF"/>
          </w:tcPr>
          <w:p>
            <w:pPr>
              <w:ind w:left="20"/>
              <w:spacing w:after="0" w:line="99" w:lineRule="exact"/>
              <w:rPr>
                <w:sz w:val="20"/>
                <w:szCs w:val="20"/>
                <w:color w:val="auto"/>
              </w:rPr>
            </w:pPr>
            <w:r>
              <w:rPr>
                <w:rFonts w:ascii="Arial" w:cs="Arial" w:eastAsia="Arial" w:hAnsi="Arial"/>
                <w:sz w:val="11"/>
                <w:szCs w:val="11"/>
                <w:color w:val="auto"/>
                <w:w w:val="90"/>
              </w:rPr>
              <w:t>System Planning and Analysis, Inc. (f/k/a Management</w:t>
            </w:r>
          </w:p>
        </w:tc>
        <w:tc>
          <w:tcPr>
            <w:tcW w:w="940" w:type="dxa"/>
            <w:vAlign w:val="bottom"/>
            <w:gridSpan w:val="2"/>
            <w:vMerge w:val="restart"/>
            <w:shd w:val="clear" w:color="auto" w:fill="CCECFF"/>
          </w:tcPr>
          <w:p>
            <w:pPr>
              <w:jc w:val="center"/>
              <w:ind w:left="126"/>
              <w:spacing w:after="0"/>
              <w:rPr>
                <w:sz w:val="20"/>
                <w:szCs w:val="20"/>
                <w:color w:val="auto"/>
              </w:rPr>
            </w:pPr>
            <w:r>
              <w:rPr>
                <w:rFonts w:ascii="Arial" w:cs="Arial" w:eastAsia="Arial" w:hAnsi="Arial"/>
                <w:sz w:val="11"/>
                <w:szCs w:val="11"/>
                <w:color w:val="auto"/>
                <w:w w:val="89"/>
              </w:rPr>
              <w:t>8/16/2027</w:t>
            </w:r>
          </w:p>
        </w:tc>
        <w:tc>
          <w:tcPr>
            <w:tcW w:w="180" w:type="dxa"/>
            <w:vAlign w:val="bottom"/>
            <w:shd w:val="clear" w:color="auto" w:fill="CCECFF"/>
          </w:tcPr>
          <w:p>
            <w:pPr>
              <w:spacing w:after="0"/>
              <w:rPr>
                <w:sz w:val="8"/>
                <w:szCs w:val="8"/>
                <w:color w:val="auto"/>
              </w:rPr>
            </w:pPr>
          </w:p>
        </w:tc>
        <w:tc>
          <w:tcPr>
            <w:tcW w:w="2480" w:type="dxa"/>
            <w:vAlign w:val="bottom"/>
            <w:vMerge w:val="restart"/>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8"/>
                <w:szCs w:val="8"/>
                <w:color w:val="auto"/>
              </w:rPr>
            </w:pPr>
          </w:p>
        </w:tc>
        <w:tc>
          <w:tcPr>
            <w:tcW w:w="680" w:type="dxa"/>
            <w:vAlign w:val="bottom"/>
            <w:shd w:val="clear" w:color="auto" w:fill="CCECFF"/>
          </w:tcPr>
          <w:p>
            <w:pPr>
              <w:spacing w:after="0"/>
              <w:rPr>
                <w:sz w:val="8"/>
                <w:szCs w:val="8"/>
                <w:color w:val="auto"/>
              </w:rPr>
            </w:pPr>
          </w:p>
        </w:tc>
        <w:tc>
          <w:tcPr>
            <w:tcW w:w="52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1"/>
                <w:szCs w:val="11"/>
                <w:color w:val="auto"/>
                <w:w w:val="93"/>
              </w:rPr>
              <w:t>8.83 %</w:t>
            </w:r>
          </w:p>
        </w:tc>
        <w:tc>
          <w:tcPr>
            <w:tcW w:w="11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SOFR+600</w:t>
            </w:r>
          </w:p>
        </w:tc>
        <w:tc>
          <w:tcPr>
            <w:tcW w:w="700" w:type="dxa"/>
            <w:vAlign w:val="bottom"/>
            <w:gridSpan w:val="2"/>
            <w:vMerge w:val="restart"/>
            <w:shd w:val="clear" w:color="auto" w:fill="CCECFF"/>
          </w:tcPr>
          <w:p>
            <w:pPr>
              <w:jc w:val="right"/>
              <w:spacing w:after="0"/>
              <w:rPr>
                <w:sz w:val="20"/>
                <w:szCs w:val="20"/>
                <w:color w:val="auto"/>
              </w:rPr>
            </w:pPr>
            <w:r>
              <w:rPr>
                <w:rFonts w:ascii="Arial" w:cs="Arial" w:eastAsia="Arial" w:hAnsi="Arial"/>
                <w:sz w:val="11"/>
                <w:szCs w:val="11"/>
                <w:color w:val="auto"/>
              </w:rPr>
              <w:t>9,962</w:t>
            </w:r>
          </w:p>
        </w:tc>
        <w:tc>
          <w:tcPr>
            <w:tcW w:w="26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44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9,704</w:t>
            </w:r>
          </w:p>
        </w:tc>
        <w:tc>
          <w:tcPr>
            <w:tcW w:w="10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80" w:type="dxa"/>
            <w:vAlign w:val="bottom"/>
            <w:shd w:val="clear" w:color="auto" w:fill="CCECFF"/>
          </w:tcPr>
          <w:p>
            <w:pPr>
              <w:spacing w:after="0"/>
              <w:rPr>
                <w:sz w:val="8"/>
                <w:szCs w:val="8"/>
                <w:color w:val="auto"/>
              </w:rPr>
            </w:pPr>
          </w:p>
        </w:tc>
        <w:tc>
          <w:tcPr>
            <w:tcW w:w="720" w:type="dxa"/>
            <w:vAlign w:val="bottom"/>
            <w:vMerge w:val="restart"/>
            <w:shd w:val="clear" w:color="auto" w:fill="CCECFF"/>
          </w:tcPr>
          <w:p>
            <w:pPr>
              <w:jc w:val="right"/>
              <w:spacing w:after="0"/>
              <w:rPr>
                <w:sz w:val="20"/>
                <w:szCs w:val="20"/>
                <w:color w:val="auto"/>
              </w:rPr>
            </w:pPr>
            <w:r>
              <w:rPr>
                <w:rFonts w:ascii="Arial" w:cs="Arial" w:eastAsia="Arial" w:hAnsi="Arial"/>
                <w:sz w:val="11"/>
                <w:szCs w:val="11"/>
                <w:color w:val="auto"/>
              </w:rPr>
              <w:t>9,803</w:t>
            </w: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Consulting &amp; Research, LLC)</w:t>
            </w:r>
          </w:p>
        </w:tc>
        <w:tc>
          <w:tcPr>
            <w:tcW w:w="940" w:type="dxa"/>
            <w:vAlign w:val="bottom"/>
            <w:gridSpan w:val="2"/>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2480" w:type="dxa"/>
            <w:vAlign w:val="bottom"/>
            <w:vMerge w:val="continue"/>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520" w:type="dxa"/>
            <w:vAlign w:val="bottom"/>
            <w:gridSpan w:val="2"/>
            <w:vMerge w:val="continue"/>
            <w:shd w:val="clear" w:color="auto" w:fill="CCECFF"/>
          </w:tcPr>
          <w:p>
            <w:pPr>
              <w:spacing w:after="0"/>
              <w:rPr>
                <w:sz w:val="12"/>
                <w:szCs w:val="12"/>
                <w:color w:val="auto"/>
              </w:rPr>
            </w:pPr>
          </w:p>
        </w:tc>
        <w:tc>
          <w:tcPr>
            <w:tcW w:w="1120" w:type="dxa"/>
            <w:vAlign w:val="bottom"/>
            <w:vMerge w:val="continue"/>
            <w:shd w:val="clear" w:color="auto" w:fill="CCECFF"/>
          </w:tcPr>
          <w:p>
            <w:pPr>
              <w:spacing w:after="0"/>
              <w:rPr>
                <w:sz w:val="12"/>
                <w:szCs w:val="12"/>
                <w:color w:val="auto"/>
              </w:rPr>
            </w:pPr>
          </w:p>
        </w:tc>
        <w:tc>
          <w:tcPr>
            <w:tcW w:w="700" w:type="dxa"/>
            <w:vAlign w:val="bottom"/>
            <w:gridSpan w:val="2"/>
            <w:vMerge w:val="continue"/>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vMerge w:val="continue"/>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3/1/2026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7.00 %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4,439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4,439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11/20/2025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8.25 %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4,553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4,532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7/18/2025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6.31 %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2,974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Aegis Technologies Group,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7"/>
              </w:rPr>
              <w:t>10/31/2025</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8.12 %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11,293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11,180</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11,180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The Bluebird Group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7/27/2026</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5,549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5,599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5,605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The Vertex Companies,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8/30/2027</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7.17 %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4,543</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4,495</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w w:val="96"/>
              </w:rPr>
              <w:t>TPC Canada Parent, Inc. and TPC US Parent,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7"/>
              </w:rPr>
              <w:t>11/24/2025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5"/>
              </w:rPr>
              <w:t>Food</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6.50 %</w:t>
            </w:r>
          </w:p>
        </w:tc>
        <w:tc>
          <w:tcPr>
            <w:tcW w:w="1120" w:type="dxa"/>
            <w:vAlign w:val="bottom"/>
          </w:tcPr>
          <w:p>
            <w:pPr>
              <w:jc w:val="right"/>
              <w:spacing w:after="0"/>
              <w:rPr>
                <w:sz w:val="20"/>
                <w:szCs w:val="20"/>
                <w:color w:val="auto"/>
              </w:rPr>
            </w:pPr>
            <w:r>
              <w:rPr>
                <w:rFonts w:ascii="Arial" w:cs="Arial" w:eastAsia="Arial" w:hAnsi="Arial"/>
                <w:sz w:val="11"/>
                <w:szCs w:val="11"/>
                <w:color w:val="auto"/>
              </w:rPr>
              <w:t>3M L+525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5,550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5,398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5,384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TVC Enterprises,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3/26/2026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7.67 %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17,424</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17,282</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17,076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TWS Acquisition Corporation</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89"/>
              </w:rPr>
              <w:t>6/16/2025</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9"/>
              </w:rPr>
              <w:t>Education</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8.76 %</w:t>
            </w:r>
          </w:p>
        </w:tc>
        <w:tc>
          <w:tcPr>
            <w:tcW w:w="1120" w:type="dxa"/>
            <w:vAlign w:val="bottom"/>
          </w:tcPr>
          <w:p>
            <w:pPr>
              <w:jc w:val="right"/>
              <w:spacing w:after="0"/>
              <w:rPr>
                <w:sz w:val="20"/>
                <w:szCs w:val="20"/>
                <w:color w:val="auto"/>
              </w:rPr>
            </w:pPr>
            <w:r>
              <w:rPr>
                <w:rFonts w:ascii="Arial" w:cs="Arial" w:eastAsia="Arial" w:hAnsi="Arial"/>
                <w:sz w:val="11"/>
                <w:szCs w:val="11"/>
                <w:color w:val="auto"/>
              </w:rPr>
              <w:t>3M L+625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7,949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7,914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Tyto Athene, LLC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93"/>
              </w:rPr>
              <w:t>4/3/2028</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6.47 %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12,125</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11,997</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UBEO,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4/3/2024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90"/>
              </w:rPr>
              <w:t>Printing and Publishing</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L+450</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4,674</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4,655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4,581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940" w:type="dxa"/>
            <w:vAlign w:val="bottom"/>
            <w:gridSpan w:val="2"/>
            <w:shd w:val="clear" w:color="auto" w:fill="CCECFF"/>
          </w:tcPr>
          <w:p>
            <w:pPr>
              <w:jc w:val="center"/>
              <w:ind w:left="126"/>
              <w:spacing w:after="0"/>
              <w:rPr>
                <w:sz w:val="20"/>
                <w:szCs w:val="20"/>
                <w:color w:val="auto"/>
              </w:rPr>
            </w:pPr>
            <w:r>
              <w:rPr>
                <w:rFonts w:ascii="Arial" w:cs="Arial" w:eastAsia="Arial" w:hAnsi="Arial"/>
                <w:sz w:val="11"/>
                <w:szCs w:val="11"/>
                <w:color w:val="auto"/>
                <w:w w:val="89"/>
              </w:rPr>
              <w:t>2/27/2026</w:t>
            </w: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52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w w:val="93"/>
              </w:rPr>
              <w:t>6.75 %</w:t>
            </w:r>
          </w:p>
        </w:tc>
        <w:tc>
          <w:tcPr>
            <w:tcW w:w="11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SOFR+575</w:t>
            </w:r>
          </w:p>
        </w:tc>
        <w:tc>
          <w:tcPr>
            <w:tcW w:w="70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11,562</w:t>
            </w: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11,471</w:t>
            </w: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11,252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color w:val="auto"/>
              </w:rPr>
              <w:t>Zips Car Wash, LLC</w:t>
            </w:r>
          </w:p>
        </w:tc>
        <w:tc>
          <w:tcPr>
            <w:tcW w:w="940" w:type="dxa"/>
            <w:vAlign w:val="bottom"/>
            <w:gridSpan w:val="2"/>
          </w:tcPr>
          <w:p>
            <w:pPr>
              <w:jc w:val="center"/>
              <w:ind w:left="126"/>
              <w:spacing w:after="0"/>
              <w:rPr>
                <w:sz w:val="20"/>
                <w:szCs w:val="20"/>
                <w:color w:val="auto"/>
              </w:rPr>
            </w:pPr>
            <w:r>
              <w:rPr>
                <w:rFonts w:ascii="Arial" w:cs="Arial" w:eastAsia="Arial" w:hAnsi="Arial"/>
                <w:sz w:val="11"/>
                <w:szCs w:val="11"/>
                <w:color w:val="auto"/>
                <w:w w:val="93"/>
              </w:rPr>
              <w:t>3/1/2024</w:t>
            </w:r>
          </w:p>
        </w:tc>
        <w:tc>
          <w:tcPr>
            <w:tcW w:w="18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1"/>
                <w:szCs w:val="11"/>
                <w:color w:val="auto"/>
                <w:w w:val="84"/>
              </w:rPr>
              <w:t>Business Services</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3"/>
              </w:rPr>
              <w:t>7.75 %</w:t>
            </w:r>
          </w:p>
        </w:tc>
        <w:tc>
          <w:tcPr>
            <w:tcW w:w="1120" w:type="dxa"/>
            <w:vAlign w:val="bottom"/>
          </w:tcPr>
          <w:p>
            <w:pPr>
              <w:jc w:val="right"/>
              <w:spacing w:after="0"/>
              <w:rPr>
                <w:sz w:val="20"/>
                <w:szCs w:val="20"/>
                <w:color w:val="auto"/>
              </w:rPr>
            </w:pPr>
            <w:r>
              <w:rPr>
                <w:rFonts w:ascii="Arial" w:cs="Arial" w:eastAsia="Arial" w:hAnsi="Arial"/>
                <w:sz w:val="11"/>
                <w:szCs w:val="11"/>
                <w:color w:val="auto"/>
              </w:rPr>
              <w:t>3M L+725</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7,498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612,509</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608,375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Investments - 693.3%</w:t>
            </w:r>
          </w:p>
        </w:tc>
        <w:tc>
          <w:tcPr>
            <w:tcW w:w="16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24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11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 - 61.2%</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60" w:type="dxa"/>
            <w:vAlign w:val="bottom"/>
            <w:tcBorders>
              <w:bottom w:val="single" w:sz="8" w:color="CCECFF"/>
            </w:tcBorders>
            <w:shd w:val="clear" w:color="auto" w:fill="CCECFF"/>
          </w:tcPr>
          <w:p>
            <w:pPr>
              <w:spacing w:after="0"/>
              <w:rPr>
                <w:sz w:val="11"/>
                <w:szCs w:val="11"/>
                <w:color w:val="auto"/>
              </w:rPr>
            </w:pPr>
          </w:p>
        </w:tc>
        <w:tc>
          <w:tcPr>
            <w:tcW w:w="7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24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1120" w:type="dxa"/>
            <w:vAlign w:val="bottom"/>
            <w:tcBorders>
              <w:bottom w:val="single" w:sz="8" w:color="CCECFF"/>
            </w:tcBorders>
            <w:shd w:val="clear" w:color="auto" w:fill="CCECFF"/>
          </w:tcPr>
          <w:p>
            <w:pPr>
              <w:spacing w:after="0"/>
              <w:rPr>
                <w:sz w:val="11"/>
                <w:szCs w:val="11"/>
                <w:color w:val="auto"/>
              </w:rPr>
            </w:pPr>
          </w:p>
        </w:tc>
        <w:tc>
          <w:tcPr>
            <w:tcW w:w="280" w:type="dxa"/>
            <w:vAlign w:val="bottom"/>
            <w:tcBorders>
              <w:bottom w:val="single" w:sz="8" w:color="CCECFF"/>
            </w:tcBorders>
            <w:shd w:val="clear" w:color="auto" w:fill="CCECFF"/>
          </w:tcPr>
          <w:p>
            <w:pPr>
              <w:spacing w:after="0"/>
              <w:rPr>
                <w:sz w:val="11"/>
                <w:szCs w:val="11"/>
                <w:color w:val="auto"/>
              </w:rPr>
            </w:pPr>
          </w:p>
        </w:tc>
        <w:tc>
          <w:tcPr>
            <w:tcW w:w="4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460" w:type="dxa"/>
            <w:vAlign w:val="bottom"/>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w w:val="93"/>
              </w:rPr>
              <w:t>Total Investments and Cash Equivalents - 754.4%</w:t>
            </w:r>
          </w:p>
        </w:tc>
        <w:tc>
          <w:tcPr>
            <w:tcW w:w="16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666,200</w:t>
            </w:r>
          </w:p>
        </w:tc>
        <w:tc>
          <w:tcPr>
            <w:tcW w:w="26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662,065</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460" w:type="dxa"/>
            <w:vAlign w:val="bottom"/>
          </w:tcPr>
          <w:p>
            <w:pPr>
              <w:ind w:left="20"/>
              <w:spacing w:after="0" w:line="102" w:lineRule="exact"/>
              <w:rPr>
                <w:sz w:val="20"/>
                <w:szCs w:val="20"/>
                <w:color w:val="auto"/>
              </w:rPr>
            </w:pPr>
            <w:r>
              <w:rPr>
                <w:rFonts w:ascii="Arial" w:cs="Arial" w:eastAsia="Arial" w:hAnsi="Arial"/>
                <w:sz w:val="11"/>
                <w:szCs w:val="11"/>
                <w:b w:val="1"/>
                <w:bCs w:val="1"/>
                <w:color w:val="auto"/>
                <w:w w:val="96"/>
              </w:rPr>
              <w:t>Liabilities in Excess of Other Assets — (654.4)%</w:t>
            </w: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tcPr>
          <w:p>
            <w:pPr>
              <w:jc w:val="right"/>
              <w:ind w:right="60"/>
              <w:spacing w:after="0" w:line="102" w:lineRule="exact"/>
              <w:rPr>
                <w:sz w:val="20"/>
                <w:szCs w:val="20"/>
                <w:color w:val="auto"/>
              </w:rPr>
            </w:pPr>
            <w:r>
              <w:rPr>
                <w:rFonts w:ascii="Arial" w:cs="Arial" w:eastAsia="Arial" w:hAnsi="Arial"/>
                <w:sz w:val="11"/>
                <w:szCs w:val="11"/>
                <w:color w:val="auto"/>
              </w:rPr>
              <w:t>(574,309 )</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60" w:type="dxa"/>
            <w:vAlign w:val="bottom"/>
            <w:tcBorders>
              <w:bottom w:val="single" w:sz="8" w:color="CCECFF"/>
            </w:tcBorders>
            <w:shd w:val="clear" w:color="auto" w:fill="CCECFF"/>
          </w:tcPr>
          <w:p>
            <w:pPr>
              <w:spacing w:after="0"/>
              <w:rPr>
                <w:sz w:val="15"/>
                <w:szCs w:val="15"/>
                <w:color w:val="auto"/>
              </w:rPr>
            </w:pPr>
          </w:p>
        </w:tc>
        <w:tc>
          <w:tcPr>
            <w:tcW w:w="7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248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112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CCECFF"/>
            </w:tcBorders>
            <w:shd w:val="clear" w:color="auto" w:fill="CCECFF"/>
          </w:tcPr>
          <w:p>
            <w:pPr>
              <w:spacing w:after="0"/>
              <w:rPr>
                <w:sz w:val="15"/>
                <w:szCs w:val="15"/>
                <w:color w:val="auto"/>
              </w:rPr>
            </w:pPr>
          </w:p>
        </w:tc>
        <w:tc>
          <w:tcPr>
            <w:tcW w:w="42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87,756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-776605</wp:posOffset>
            </wp:positionV>
            <wp:extent cx="6858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-776605</wp:posOffset>
            </wp:positionV>
            <wp:extent cx="6858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-416560</wp:posOffset>
            </wp:positionV>
            <wp:extent cx="6858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-416560</wp:posOffset>
            </wp:positionV>
            <wp:extent cx="6858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-230505</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-213360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227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00" w:lineRule="exact"/>
        <w:rPr>
          <w:sz w:val="20"/>
          <w:szCs w:val="20"/>
          <w:color w:val="auto"/>
        </w:rPr>
      </w:pPr>
    </w:p>
    <w:p>
      <w:pPr>
        <w:jc w:val="both"/>
        <w:ind w:left="380" w:hanging="372"/>
        <w:spacing w:after="0" w:line="215" w:lineRule="auto"/>
        <w:tabs>
          <w:tab w:leader="none" w:pos="380"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81" w:lineRule="auto"/>
        <w:tabs>
          <w:tab w:leader="none" w:pos="380"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ind w:left="400" w:hanging="392"/>
        <w:spacing w:after="0" w:line="191" w:lineRule="auto"/>
        <w:tabs>
          <w:tab w:leader="none" w:pos="400" w:val="left"/>
        </w:tabs>
        <w:numPr>
          <w:ilvl w:val="0"/>
          <w:numId w:val="36"/>
        </w:numPr>
        <w:rPr>
          <w:rFonts w:ascii="Arial" w:cs="Arial" w:eastAsia="Arial" w:hAnsi="Arial"/>
          <w:sz w:val="14"/>
          <w:szCs w:val="14"/>
          <w:color w:val="auto"/>
          <w:vertAlign w:val="superscript"/>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8" w:name="page49"/>
    <w:bookmarkEnd w:id="48"/>
    <w:p>
      <w:pPr>
        <w:ind w:left="460"/>
        <w:spacing w:after="0"/>
        <w:rPr>
          <w:sz w:val="20"/>
          <w:szCs w:val="20"/>
          <w:color w:val="auto"/>
        </w:rPr>
      </w:pPr>
      <w:r>
        <w:rPr>
          <w:rFonts w:ascii="Arial" w:cs="Arial" w:eastAsia="Arial" w:hAnsi="Arial"/>
          <w:sz w:val="14"/>
          <w:szCs w:val="14"/>
          <w:color w:val="auto"/>
        </w:rPr>
        <w:t>Below is a listing of PSLF’s individual investments as of September 30, 2021($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Current</w:t>
            </w:r>
          </w:p>
        </w:tc>
        <w:tc>
          <w:tcPr>
            <w:tcW w:w="1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Pr>
          <w:p>
            <w:pPr>
              <w:spacing w:after="0"/>
              <w:rPr>
                <w:sz w:val="9"/>
                <w:szCs w:val="9"/>
                <w:color w:val="auto"/>
              </w:rPr>
            </w:pPr>
          </w:p>
        </w:tc>
        <w:tc>
          <w:tcPr>
            <w:tcW w:w="25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Par</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3"/>
            <w:vMerge w:val="restart"/>
          </w:tcPr>
          <w:p>
            <w:pPr>
              <w:jc w:val="right"/>
              <w:ind w:right="122"/>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14"/>
                <w:szCs w:val="14"/>
                <w:b w:val="1"/>
                <w:bCs w:val="1"/>
                <w:color w:val="auto"/>
                <w:w w:val="95"/>
                <w:vertAlign w:val="superscript"/>
              </w:rPr>
              <w:t>(2)</w:t>
            </w:r>
          </w:p>
        </w:tc>
        <w:tc>
          <w:tcPr>
            <w:tcW w:w="0" w:type="dxa"/>
            <w:vAlign w:val="bottom"/>
          </w:tcPr>
          <w:p>
            <w:pPr>
              <w:spacing w:after="0"/>
              <w:rPr>
                <w:sz w:val="1"/>
                <w:szCs w:val="1"/>
                <w:color w:val="auto"/>
              </w:rPr>
            </w:pPr>
          </w:p>
        </w:tc>
      </w:tr>
      <w:tr>
        <w:trPr>
          <w:trHeight w:val="148"/>
        </w:trPr>
        <w:tc>
          <w:tcPr>
            <w:tcW w:w="2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6"/>
              </w:rPr>
              <w:t>Coupon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w w:val="87"/>
              </w:rPr>
              <w:t xml:space="preserve">Index </w:t>
            </w:r>
            <w:r>
              <w:rPr>
                <w:rFonts w:ascii="Arial" w:cs="Arial" w:eastAsia="Arial" w:hAnsi="Arial"/>
                <w:sz w:val="14"/>
                <w:szCs w:val="14"/>
                <w:b w:val="1"/>
                <w:bCs w:val="1"/>
                <w:color w:val="auto"/>
                <w:w w:val="87"/>
                <w:vertAlign w:val="superscript"/>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2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First Lien Secured Debt - 570.7%</w:t>
            </w:r>
          </w:p>
        </w:tc>
        <w:tc>
          <w:tcPr>
            <w:tcW w:w="14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Ad.net Acquisition,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05/06/26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 + 600</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4,988</w:t>
            </w:r>
          </w:p>
        </w:tc>
        <w:tc>
          <w:tcPr>
            <w:tcW w:w="380" w:type="dxa"/>
            <w:vAlign w:val="bottom"/>
            <w:gridSpan w:val="2"/>
          </w:tcPr>
          <w:p>
            <w:pPr>
              <w:jc w:val="right"/>
              <w:ind w:right="2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4,920</w:t>
            </w:r>
          </w:p>
        </w:tc>
        <w:tc>
          <w:tcPr>
            <w:tcW w:w="4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Altamira Technologies,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07/24/25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American Insulated Glass,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12/21/23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2"/>
              </w:rPr>
              <w:t>Building Materials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14,625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14,481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Any Hour Services</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07/21/27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Apex Service Partners,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07/31/25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6,569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Apex Service Partners, LLC Term Loan B</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07/31/25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3,347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Applied Technical Services,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12/29/26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Environmental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7,336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Bottom Line Systems,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02/13/23</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13,674</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Crash Champions,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08/05/25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Auto Sector</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5,985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5,873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DRS Holdings III,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11/03/25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13,428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ECL Entertainment,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03/31/28</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Hotels, Motels, Inns and Gaming</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4,604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4,560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ECM Industries,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2,805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Global Holdings InterCo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03/16/26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8"/>
              </w:rPr>
              <w:t>Banking, Finance, Insurance &amp; Real Estate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7,360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Hancock Roofing and Construction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12/31/26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5,819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Holdco Sands Intermediate,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12/19/25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12,071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11,934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HW Holdco,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12/10/24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14,499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IMIA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04/09/27</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9,059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8,890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Integrity Marketing Acquisition,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08/27/25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Insurance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Juniper Landscaping of Florida,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12/22/21</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7"/>
              </w:rPr>
              <w:t>Personal, Food and Miscellaneous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9,420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K2 Pure Solutions NoCal, L.P.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12/20/23</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L+700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14,479</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LAV Gear Holdings,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10/31/24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Leisure, Amusement, Motion Pictures, Entertainment</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L+750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2,120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2,107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Lightspeed Buyer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02/03/26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12,273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Lombart Brothers,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04/13/23</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L+825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16,817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16,729</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MAG DS Corp.</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04/01/27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5,837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5,581</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Mars Acquisition Holdings Corp.</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05/14/26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7,852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MBS Holdings,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04/16/27</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MeritDirect,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05/23/24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13,272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PlayPower,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05/08/26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5.65%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L+575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Radius Aerospace,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03/31/25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13,335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13,202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Rancho Health MSO,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12/18/25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5,140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Recteq,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01/29/26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Consumer Products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L+450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9,775</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Research Now Group, LLC and Dynata,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12/20/24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L+600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14,602</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Riverpoint Medical,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06/20/25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Healthcare, Education and Childcare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3,246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3,217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Sales Benchmark Index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01/03/25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6"/>
              </w:rPr>
              <w:t>Business Services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L+750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7,632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7,526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Sargent &amp; Greenleaf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12/20/24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5,232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5,181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Signature Systems Holding Company</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05/03/24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Chemicals, Plastics and Rubber</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8.50%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13,397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Solutionreach, Inc.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01/17/24</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Communications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L+600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11,882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11,758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STV Group Incorporated</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12/11/26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Transportation</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5.33%</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12,003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TAC LifePort Purchaser,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03/01/26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7.00%</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4,967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4,891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TeleGuam Holdings,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11/20/25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Telecommunications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4,558</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Teneo Holdings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07/18/25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9"/>
              </w:rPr>
              <w:t>Financial Services</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L+575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TPC Canada Parent, Inc. and TPC US Parent,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11/24/25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Food</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L+625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5,537</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TVC Enterprises,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03/26/26</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0"/>
              </w:rPr>
              <w:t>Transportation</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L+550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12,773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12,643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TWS Acquisition Corporation</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06/16/25</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Education</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7.25%</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L+450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9,515</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Tyto Athene, LLC</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04/03/28</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86"/>
              </w:rPr>
              <w:t>Aerospace and Defense</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6.25%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1M L+675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9,853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UBEO, LLC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04/03/24</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Printing and Publishing</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5.50%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1M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Vision Purchaser Corporation</w:t>
            </w:r>
          </w:p>
        </w:tc>
        <w:tc>
          <w:tcPr>
            <w:tcW w:w="780" w:type="dxa"/>
            <w:vAlign w:val="bottom"/>
            <w:gridSpan w:val="2"/>
          </w:tcPr>
          <w:p>
            <w:pPr>
              <w:jc w:val="center"/>
              <w:ind w:left="66"/>
              <w:spacing w:after="0"/>
              <w:rPr>
                <w:sz w:val="20"/>
                <w:szCs w:val="20"/>
                <w:color w:val="auto"/>
              </w:rPr>
            </w:pPr>
            <w:r>
              <w:rPr>
                <w:rFonts w:ascii="Arial" w:cs="Arial" w:eastAsia="Arial" w:hAnsi="Arial"/>
                <w:sz w:val="11"/>
                <w:szCs w:val="11"/>
                <w:color w:val="auto"/>
                <w:w w:val="88"/>
              </w:rPr>
              <w:t>06/10/25</w:t>
            </w:r>
          </w:p>
        </w:tc>
        <w:tc>
          <w:tcPr>
            <w:tcW w:w="120" w:type="dxa"/>
            <w:vAlign w:val="bottom"/>
          </w:tcPr>
          <w:p>
            <w:pPr>
              <w:spacing w:after="0"/>
              <w:rPr>
                <w:sz w:val="11"/>
                <w:szCs w:val="11"/>
                <w:color w:val="auto"/>
              </w:rPr>
            </w:pPr>
          </w:p>
        </w:tc>
        <w:tc>
          <w:tcPr>
            <w:tcW w:w="2500" w:type="dxa"/>
            <w:vAlign w:val="bottom"/>
          </w:tcPr>
          <w:p>
            <w:pPr>
              <w:jc w:val="center"/>
              <w:spacing w:after="0"/>
              <w:rPr>
                <w:sz w:val="20"/>
                <w:szCs w:val="20"/>
                <w:color w:val="auto"/>
              </w:rPr>
            </w:pPr>
            <w:r>
              <w:rPr>
                <w:rFonts w:ascii="Arial" w:cs="Arial" w:eastAsia="Arial" w:hAnsi="Arial"/>
                <w:sz w:val="11"/>
                <w:szCs w:val="11"/>
                <w:color w:val="auto"/>
                <w:w w:val="93"/>
              </w:rPr>
              <w:t>Media</w:t>
            </w:r>
          </w:p>
        </w:tc>
        <w:tc>
          <w:tcPr>
            <w:tcW w:w="820" w:type="dxa"/>
            <w:vAlign w:val="bottom"/>
            <w:gridSpan w:val="2"/>
          </w:tcPr>
          <w:p>
            <w:pPr>
              <w:jc w:val="center"/>
              <w:ind w:left="86"/>
              <w:spacing w:after="0"/>
              <w:rPr>
                <w:sz w:val="20"/>
                <w:szCs w:val="20"/>
                <w:color w:val="auto"/>
              </w:rPr>
            </w:pPr>
            <w:r>
              <w:rPr>
                <w:rFonts w:ascii="Arial" w:cs="Arial" w:eastAsia="Arial" w:hAnsi="Arial"/>
                <w:sz w:val="11"/>
                <w:szCs w:val="11"/>
                <w:color w:val="auto"/>
                <w:w w:val="89"/>
              </w:rPr>
              <w:t>7.75%</w:t>
            </w:r>
          </w:p>
        </w:tc>
        <w:tc>
          <w:tcPr>
            <w:tcW w:w="18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1"/>
                <w:szCs w:val="11"/>
                <w:color w:val="auto"/>
                <w:w w:val="93"/>
              </w:rPr>
              <w:t>3M L+675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14,249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14,056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Wildcat Buyerco, Inc.</w:t>
            </w:r>
          </w:p>
        </w:tc>
        <w:tc>
          <w:tcPr>
            <w:tcW w:w="78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8"/>
              </w:rPr>
              <w:t>02/27/26</w:t>
            </w: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9"/>
              </w:rPr>
              <w:t>Electronics</w:t>
            </w:r>
          </w:p>
        </w:tc>
        <w:tc>
          <w:tcPr>
            <w:tcW w:w="820" w:type="dxa"/>
            <w:vAlign w:val="bottom"/>
            <w:gridSpan w:val="2"/>
            <w:shd w:val="clear" w:color="auto" w:fill="CCECFF"/>
          </w:tcPr>
          <w:p>
            <w:pPr>
              <w:jc w:val="center"/>
              <w:ind w:left="86"/>
              <w:spacing w:after="0"/>
              <w:rPr>
                <w:sz w:val="20"/>
                <w:szCs w:val="20"/>
                <w:color w:val="auto"/>
              </w:rPr>
            </w:pPr>
            <w:r>
              <w:rPr>
                <w:rFonts w:ascii="Arial" w:cs="Arial" w:eastAsia="Arial" w:hAnsi="Arial"/>
                <w:sz w:val="11"/>
                <w:szCs w:val="11"/>
                <w:color w:val="auto"/>
                <w:w w:val="89"/>
              </w:rPr>
              <w:t>6.00%</w:t>
            </w: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3"/>
              </w:rPr>
              <w:t>3M L+500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7,360</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b w:val="1"/>
                <w:bCs w:val="1"/>
                <w:color w:val="auto"/>
              </w:rPr>
              <w:t>Total First Lien Secured Debt</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409,602</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405,009</w:t>
            </w:r>
          </w:p>
        </w:tc>
        <w:tc>
          <w:tcPr>
            <w:tcW w:w="220" w:type="dxa"/>
            <w:vAlign w:val="bottom"/>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405,232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Cash and Cash Equivalents—18.9%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shd w:val="clear" w:color="auto" w:fill="CCECFF"/>
          </w:tcPr>
          <w:p>
            <w:pPr>
              <w:ind w:left="20"/>
              <w:spacing w:after="0"/>
              <w:rPr>
                <w:sz w:val="20"/>
                <w:szCs w:val="20"/>
                <w:color w:val="auto"/>
              </w:rPr>
            </w:pPr>
            <w:r>
              <w:rPr>
                <w:rFonts w:ascii="Arial" w:cs="Arial" w:eastAsia="Arial" w:hAnsi="Arial"/>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10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22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Arial" w:cs="Arial" w:eastAsia="Arial" w:hAnsi="Arial"/>
                <w:sz w:val="11"/>
                <w:szCs w:val="11"/>
                <w:color w:val="auto"/>
              </w:rPr>
              <w:t>US Bank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8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9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50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68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10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CCECFF"/>
            </w:tcBorders>
            <w:shd w:val="clear" w:color="auto" w:fill="CCECFF"/>
          </w:tcPr>
          <w:p>
            <w:pPr>
              <w:spacing w:after="0"/>
              <w:rPr>
                <w:sz w:val="11"/>
                <w:szCs w:val="11"/>
                <w:color w:val="auto"/>
              </w:rPr>
            </w:pPr>
          </w:p>
        </w:tc>
        <w:tc>
          <w:tcPr>
            <w:tcW w:w="5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top w:val="single" w:sz="8" w:color="auto"/>
              <w:bottom w:val="single" w:sz="8" w:color="auto"/>
            </w:tcBorders>
            <w:shd w:val="clear" w:color="auto" w:fill="CCECFF"/>
          </w:tcPr>
          <w:p>
            <w:pPr>
              <w:spacing w:after="0"/>
              <w:rPr>
                <w:sz w:val="11"/>
                <w:szCs w:val="11"/>
                <w:color w:val="auto"/>
              </w:rPr>
            </w:pP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2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spacing w:after="0"/>
              <w:rPr>
                <w:sz w:val="11"/>
                <w:szCs w:val="11"/>
                <w:color w:val="auto"/>
              </w:rPr>
            </w:pP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11,013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Total Investments and Cash Equivalents—592.7%</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416,023</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416,246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920" w:type="dxa"/>
            <w:vAlign w:val="bottom"/>
            <w:tcBorders>
              <w:bottom w:val="single" w:sz="8" w:color="CCECFF"/>
            </w:tcBorders>
            <w:shd w:val="clear" w:color="auto" w:fill="CCECFF"/>
          </w:tcPr>
          <w:p>
            <w:pPr>
              <w:ind w:left="20"/>
              <w:spacing w:after="0" w:line="102" w:lineRule="exact"/>
              <w:rPr>
                <w:sz w:val="20"/>
                <w:szCs w:val="20"/>
                <w:color w:val="auto"/>
              </w:rPr>
            </w:pPr>
            <w:r>
              <w:rPr>
                <w:rFonts w:ascii="Arial" w:cs="Arial" w:eastAsia="Arial" w:hAnsi="Arial"/>
                <w:sz w:val="11"/>
                <w:szCs w:val="11"/>
                <w:b w:val="1"/>
                <w:bCs w:val="1"/>
                <w:color w:val="auto"/>
              </w:rPr>
              <w:t>Liabilities in Excess of Other Assets—(492.7)%</w:t>
            </w:r>
          </w:p>
        </w:tc>
        <w:tc>
          <w:tcPr>
            <w:tcW w:w="140" w:type="dxa"/>
            <w:vAlign w:val="bottom"/>
            <w:tcBorders>
              <w:bottom w:val="single" w:sz="8" w:color="CCECFF"/>
            </w:tcBorders>
            <w:shd w:val="clear" w:color="auto" w:fill="CCECFF"/>
          </w:tcPr>
          <w:p>
            <w:pPr>
              <w:spacing w:after="0"/>
              <w:rPr>
                <w:sz w:val="8"/>
                <w:szCs w:val="8"/>
                <w:color w:val="auto"/>
              </w:rPr>
            </w:pPr>
          </w:p>
        </w:tc>
        <w:tc>
          <w:tcPr>
            <w:tcW w:w="640" w:type="dxa"/>
            <w:vAlign w:val="bottom"/>
            <w:tcBorders>
              <w:bottom w:val="single" w:sz="8" w:color="CCECFF"/>
            </w:tcBorders>
            <w:shd w:val="clear" w:color="auto" w:fill="CCECFF"/>
          </w:tcPr>
          <w:p>
            <w:pPr>
              <w:spacing w:after="0"/>
              <w:rPr>
                <w:sz w:val="8"/>
                <w:szCs w:val="8"/>
                <w:color w:val="auto"/>
              </w:rPr>
            </w:pPr>
          </w:p>
        </w:tc>
        <w:tc>
          <w:tcPr>
            <w:tcW w:w="120" w:type="dxa"/>
            <w:vAlign w:val="bottom"/>
            <w:tcBorders>
              <w:bottom w:val="single" w:sz="8" w:color="CCECFF"/>
            </w:tcBorders>
            <w:shd w:val="clear" w:color="auto" w:fill="CCECFF"/>
          </w:tcPr>
          <w:p>
            <w:pPr>
              <w:spacing w:after="0"/>
              <w:rPr>
                <w:sz w:val="8"/>
                <w:szCs w:val="8"/>
                <w:color w:val="auto"/>
              </w:rPr>
            </w:pPr>
          </w:p>
        </w:tc>
        <w:tc>
          <w:tcPr>
            <w:tcW w:w="2500" w:type="dxa"/>
            <w:vAlign w:val="bottom"/>
            <w:tcBorders>
              <w:bottom w:val="single" w:sz="8" w:color="CCECFF"/>
            </w:tcBorders>
            <w:shd w:val="clear" w:color="auto" w:fill="CCECFF"/>
          </w:tcPr>
          <w:p>
            <w:pPr>
              <w:spacing w:after="0"/>
              <w:rPr>
                <w:sz w:val="8"/>
                <w:szCs w:val="8"/>
                <w:color w:val="auto"/>
              </w:rPr>
            </w:pPr>
          </w:p>
        </w:tc>
        <w:tc>
          <w:tcPr>
            <w:tcW w:w="140" w:type="dxa"/>
            <w:vAlign w:val="bottom"/>
            <w:tcBorders>
              <w:bottom w:val="single" w:sz="8" w:color="CCECFF"/>
            </w:tcBorders>
            <w:shd w:val="clear" w:color="auto" w:fill="CCECFF"/>
          </w:tcPr>
          <w:p>
            <w:pPr>
              <w:spacing w:after="0"/>
              <w:rPr>
                <w:sz w:val="8"/>
                <w:szCs w:val="8"/>
                <w:color w:val="auto"/>
              </w:rPr>
            </w:pPr>
          </w:p>
        </w:tc>
        <w:tc>
          <w:tcPr>
            <w:tcW w:w="68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100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80" w:type="dxa"/>
            <w:vAlign w:val="bottom"/>
            <w:tcBorders>
              <w:bottom w:val="single" w:sz="8" w:color="CCECFF"/>
            </w:tcBorders>
            <w:shd w:val="clear" w:color="auto" w:fill="CCECFF"/>
          </w:tcPr>
          <w:p>
            <w:pPr>
              <w:spacing w:after="0"/>
              <w:rPr>
                <w:sz w:val="8"/>
                <w:szCs w:val="8"/>
                <w:color w:val="auto"/>
              </w:rPr>
            </w:pPr>
          </w:p>
        </w:tc>
        <w:tc>
          <w:tcPr>
            <w:tcW w:w="540" w:type="dxa"/>
            <w:vAlign w:val="bottom"/>
            <w:tcBorders>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160" w:type="dxa"/>
            <w:vAlign w:val="bottom"/>
            <w:tcBorders>
              <w:top w:val="single" w:sz="8" w:color="auto"/>
              <w:bottom w:val="single" w:sz="8" w:color="CCECFF"/>
            </w:tcBorders>
            <w:shd w:val="clear" w:color="auto" w:fill="CCECFF"/>
          </w:tcPr>
          <w:p>
            <w:pPr>
              <w:spacing w:after="0"/>
              <w:rPr>
                <w:sz w:val="8"/>
                <w:szCs w:val="8"/>
                <w:color w:val="auto"/>
              </w:rPr>
            </w:pPr>
          </w:p>
        </w:tc>
        <w:tc>
          <w:tcPr>
            <w:tcW w:w="560" w:type="dxa"/>
            <w:vAlign w:val="bottom"/>
            <w:tcBorders>
              <w:top w:val="single" w:sz="8" w:color="auto"/>
              <w:bottom w:val="single" w:sz="8" w:color="CCECFF"/>
            </w:tcBorders>
            <w:shd w:val="clear" w:color="auto" w:fill="CCECFF"/>
          </w:tcPr>
          <w:p>
            <w:pPr>
              <w:spacing w:after="0"/>
              <w:rPr>
                <w:sz w:val="8"/>
                <w:szCs w:val="8"/>
                <w:color w:val="auto"/>
              </w:rPr>
            </w:pPr>
          </w:p>
        </w:tc>
        <w:tc>
          <w:tcPr>
            <w:tcW w:w="220" w:type="dxa"/>
            <w:vAlign w:val="bottom"/>
            <w:tcBorders>
              <w:bottom w:val="single" w:sz="8" w:color="CCECFF"/>
            </w:tcBorders>
            <w:shd w:val="clear" w:color="auto" w:fill="CCECFF"/>
          </w:tcPr>
          <w:p>
            <w:pPr>
              <w:spacing w:after="0"/>
              <w:rPr>
                <w:sz w:val="8"/>
                <w:szCs w:val="8"/>
                <w:color w:val="auto"/>
              </w:rPr>
            </w:pPr>
          </w:p>
        </w:tc>
        <w:tc>
          <w:tcPr>
            <w:tcW w:w="200" w:type="dxa"/>
            <w:vAlign w:val="bottom"/>
            <w:tcBorders>
              <w:top w:val="single" w:sz="8" w:color="auto"/>
              <w:bottom w:val="single" w:sz="8" w:color="auto"/>
            </w:tcBorders>
            <w:shd w:val="clear" w:color="auto" w:fill="CCECFF"/>
          </w:tcPr>
          <w:p>
            <w:pPr>
              <w:spacing w:after="0"/>
              <w:rPr>
                <w:sz w:val="8"/>
                <w:szCs w:val="8"/>
                <w:color w:val="auto"/>
              </w:rPr>
            </w:pPr>
          </w:p>
        </w:tc>
        <w:tc>
          <w:tcPr>
            <w:tcW w:w="520" w:type="dxa"/>
            <w:vAlign w:val="bottom"/>
            <w:tcBorders>
              <w:top w:val="single" w:sz="8" w:color="auto"/>
              <w:bottom w:val="single" w:sz="8" w:color="auto"/>
            </w:tcBorders>
            <w:shd w:val="clear" w:color="auto" w:fill="CCECFF"/>
          </w:tcPr>
          <w:p>
            <w:pPr>
              <w:jc w:val="right"/>
              <w:spacing w:after="0" w:line="102" w:lineRule="exact"/>
              <w:rPr>
                <w:sz w:val="20"/>
                <w:szCs w:val="20"/>
                <w:color w:val="auto"/>
              </w:rPr>
            </w:pPr>
            <w:r>
              <w:rPr>
                <w:rFonts w:ascii="Arial" w:cs="Arial" w:eastAsia="Arial" w:hAnsi="Arial"/>
                <w:sz w:val="11"/>
                <w:szCs w:val="11"/>
                <w:color w:val="auto"/>
              </w:rPr>
              <w:t>(348,213</w:t>
            </w:r>
          </w:p>
        </w:tc>
        <w:tc>
          <w:tcPr>
            <w:tcW w:w="100" w:type="dxa"/>
            <w:vAlign w:val="bottom"/>
            <w:tcBorders>
              <w:bottom w:val="single" w:sz="8" w:color="CCECFF"/>
            </w:tcBorders>
            <w:shd w:val="clear" w:color="auto" w:fill="CCECFF"/>
          </w:tcPr>
          <w:p>
            <w:pPr>
              <w:jc w:val="right"/>
              <w:ind w:right="2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2920" w:type="dxa"/>
            <w:vAlign w:val="bottom"/>
          </w:tcPr>
          <w:p>
            <w:pPr>
              <w:ind w:left="20"/>
              <w:spacing w:after="0"/>
              <w:rPr>
                <w:sz w:val="20"/>
                <w:szCs w:val="20"/>
                <w:color w:val="auto"/>
              </w:rPr>
            </w:pPr>
            <w:r>
              <w:rPr>
                <w:rFonts w:ascii="Arial" w:cs="Arial" w:eastAsia="Arial" w:hAnsi="Arial"/>
                <w:sz w:val="11"/>
                <w:szCs w:val="11"/>
                <w:b w:val="1"/>
                <w:bCs w:val="1"/>
                <w:color w:val="auto"/>
              </w:rPr>
              <w:t>Members' Equity—100.0%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gridSpan w:val="2"/>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68,032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-321945</wp:posOffset>
            </wp:positionV>
            <wp:extent cx="6858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-321945</wp:posOffset>
            </wp:positionV>
            <wp:extent cx="6858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-116205</wp:posOffset>
            </wp:positionV>
            <wp:extent cx="6858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227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00" w:lineRule="exact"/>
        <w:rPr>
          <w:sz w:val="20"/>
          <w:szCs w:val="20"/>
          <w:color w:val="auto"/>
        </w:rPr>
      </w:pPr>
    </w:p>
    <w:p>
      <w:pPr>
        <w:jc w:val="both"/>
        <w:ind w:left="380" w:hanging="372"/>
        <w:spacing w:after="0" w:line="215" w:lineRule="auto"/>
        <w:tabs>
          <w:tab w:leader="none" w:pos="380" w:val="left"/>
        </w:tabs>
        <w:numPr>
          <w:ilvl w:val="0"/>
          <w:numId w:val="37"/>
        </w:numPr>
        <w:rPr>
          <w:rFonts w:ascii="Arial" w:cs="Arial" w:eastAsia="Arial" w:hAnsi="Arial"/>
          <w:sz w:val="14"/>
          <w:szCs w:val="14"/>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4"/>
          <w:szCs w:val="14"/>
          <w:color w:val="auto"/>
          <w:vertAlign w:val="superscript"/>
        </w:rPr>
      </w:pPr>
    </w:p>
    <w:p>
      <w:pPr>
        <w:ind w:left="380" w:hanging="372"/>
        <w:spacing w:after="0" w:line="191" w:lineRule="auto"/>
        <w:tabs>
          <w:tab w:leader="none" w:pos="380" w:val="left"/>
        </w:tabs>
        <w:numPr>
          <w:ilvl w:val="0"/>
          <w:numId w:val="37"/>
        </w:numPr>
        <w:rPr>
          <w:rFonts w:ascii="Arial" w:cs="Arial" w:eastAsia="Arial" w:hAnsi="Arial"/>
          <w:sz w:val="14"/>
          <w:szCs w:val="14"/>
          <w:color w:val="auto"/>
          <w:vertAlign w:val="superscript"/>
        </w:rPr>
      </w:pPr>
      <w:r>
        <w:rPr>
          <w:rFonts w:ascii="Arial" w:cs="Arial" w:eastAsia="Arial" w:hAnsi="Arial"/>
          <w:sz w:val="11"/>
          <w:szCs w:val="11"/>
          <w:color w:val="auto"/>
        </w:rPr>
        <w:t>Valued based on PSLF’s accounting policy.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2"/>
        </w:trPr>
        <w:tc>
          <w:tcPr>
            <w:tcW w:w="4240" w:type="dxa"/>
            <w:vAlign w:val="bottom"/>
          </w:tcPr>
          <w:p>
            <w:pPr>
              <w:ind w:left="460"/>
              <w:spacing w:after="0"/>
              <w:rPr>
                <w:sz w:val="20"/>
                <w:szCs w:val="20"/>
                <w:color w:val="auto"/>
              </w:rPr>
            </w:pPr>
            <w:r>
              <w:rPr>
                <w:rFonts w:ascii="Arial" w:cs="Arial" w:eastAsia="Arial" w:hAnsi="Arial"/>
                <w:sz w:val="14"/>
                <w:szCs w:val="14"/>
                <w:color w:val="auto"/>
                <w:w w:val="92"/>
              </w:rPr>
              <w:t>Below are the consolidated statements of assets and liabilities for</w:t>
            </w:r>
          </w:p>
        </w:tc>
        <w:tc>
          <w:tcPr>
            <w:tcW w:w="2880" w:type="dxa"/>
            <w:vAlign w:val="bottom"/>
            <w:gridSpan w:val="2"/>
          </w:tcPr>
          <w:p>
            <w:pPr>
              <w:jc w:val="right"/>
              <w:ind w:right="1448"/>
              <w:spacing w:after="0"/>
              <w:rPr>
                <w:sz w:val="20"/>
                <w:szCs w:val="20"/>
                <w:color w:val="auto"/>
              </w:rPr>
            </w:pPr>
            <w:r>
              <w:rPr>
                <w:rFonts w:ascii="Arial" w:cs="Arial" w:eastAsia="Arial" w:hAnsi="Arial"/>
                <w:sz w:val="14"/>
                <w:szCs w:val="14"/>
                <w:color w:val="auto"/>
                <w:w w:val="93"/>
              </w:rPr>
              <w:t>PSLF,($ in thousands):</w:t>
            </w: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7"/>
        </w:trPr>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jc w:val="right"/>
              <w:ind w:right="508"/>
              <w:spacing w:after="0"/>
              <w:rPr>
                <w:sz w:val="20"/>
                <w:szCs w:val="20"/>
                <w:color w:val="auto"/>
              </w:rPr>
            </w:pPr>
            <w:r>
              <w:rPr>
                <w:rFonts w:ascii="Arial" w:cs="Arial" w:eastAsia="Arial" w:hAnsi="Arial"/>
                <w:sz w:val="14"/>
                <w:szCs w:val="14"/>
                <w:b w:val="1"/>
                <w:bCs w:val="1"/>
                <w:color w:val="auto"/>
              </w:rPr>
              <w:t>June 30, 2022</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4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w w:val="96"/>
              </w:rPr>
              <w:t>Investments at fair value (cost—$612,509 and $405,009, respectively)</w:t>
            </w:r>
          </w:p>
        </w:tc>
        <w:tc>
          <w:tcPr>
            <w:tcW w:w="2880" w:type="dxa"/>
            <w:vAlign w:val="bottom"/>
            <w:gridSpan w:val="2"/>
            <w:shd w:val="clear" w:color="auto" w:fill="CCECFF"/>
          </w:tcPr>
          <w:p>
            <w:pPr>
              <w:jc w:val="right"/>
              <w:ind w:right="1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608,375</w:t>
            </w:r>
          </w:p>
        </w:tc>
        <w:tc>
          <w:tcPr>
            <w:tcW w:w="580" w:type="dxa"/>
            <w:vAlign w:val="bottom"/>
            <w:gridSpan w:val="2"/>
            <w:shd w:val="clear" w:color="auto" w:fill="CCECFF"/>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405,233</w:t>
            </w:r>
          </w:p>
        </w:tc>
        <w:tc>
          <w:tcPr>
            <w:tcW w:w="100" w:type="dxa"/>
            <w:vAlign w:val="bottom"/>
            <w:shd w:val="clear" w:color="auto" w:fill="CCECFF"/>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w w:val="96"/>
              </w:rPr>
              <w:t>Cash and cash equivalents (cost—$53,690 and $11,013, respectively)</w:t>
            </w: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53,690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11,013</w:t>
            </w:r>
          </w:p>
        </w:tc>
        <w:tc>
          <w:tcPr>
            <w:tcW w:w="100" w:type="dxa"/>
            <w:vAlign w:val="bottom"/>
          </w:tcPr>
          <w:p>
            <w:pPr>
              <w:spacing w:after="0"/>
              <w:rPr>
                <w:sz w:val="15"/>
                <w:szCs w:val="15"/>
                <w:color w:val="auto"/>
              </w:rPr>
            </w:pPr>
          </w:p>
        </w:tc>
      </w:tr>
      <w:tr>
        <w:trPr>
          <w:trHeight w:val="176"/>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receivable</w:t>
            </w:r>
          </w:p>
        </w:tc>
        <w:tc>
          <w:tcPr>
            <w:tcW w:w="25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1,708</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CFF"/>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2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69"/>
        </w:trPr>
        <w:tc>
          <w:tcPr>
            <w:tcW w:w="424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assets</w:t>
            </w:r>
          </w:p>
        </w:tc>
        <w:tc>
          <w:tcPr>
            <w:tcW w:w="256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664,615</w:t>
            </w:r>
          </w:p>
        </w:tc>
        <w:tc>
          <w:tcPr>
            <w:tcW w:w="3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Distribution payable to Members</w:t>
            </w:r>
          </w:p>
        </w:tc>
        <w:tc>
          <w:tcPr>
            <w:tcW w:w="25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2,800</w:t>
            </w:r>
          </w:p>
        </w:tc>
        <w:tc>
          <w:tcPr>
            <w:tcW w:w="100" w:type="dxa"/>
            <w:vAlign w:val="bottom"/>
            <w:shd w:val="clear" w:color="auto" w:fill="CCECFF"/>
          </w:tcPr>
          <w:p>
            <w:pPr>
              <w:spacing w:after="0"/>
              <w:rPr>
                <w:sz w:val="15"/>
                <w:szCs w:val="15"/>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Payable for investments purchased</w:t>
            </w: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67,265</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12,793</w:t>
            </w:r>
          </w:p>
        </w:tc>
        <w:tc>
          <w:tcPr>
            <w:tcW w:w="100" w:type="dxa"/>
            <w:vAlign w:val="bottom"/>
          </w:tcPr>
          <w:p>
            <w:pPr>
              <w:spacing w:after="0"/>
              <w:rPr>
                <w:sz w:val="15"/>
                <w:szCs w:val="15"/>
                <w:color w:val="auto"/>
              </w:rPr>
            </w:pPr>
          </w:p>
        </w:tc>
      </w:tr>
      <w:tr>
        <w:trPr>
          <w:trHeight w:val="176"/>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Credit facility payable</w:t>
            </w:r>
          </w:p>
        </w:tc>
        <w:tc>
          <w:tcPr>
            <w:tcW w:w="25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110,900</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224,000</w:t>
            </w:r>
          </w:p>
        </w:tc>
        <w:tc>
          <w:tcPr>
            <w:tcW w:w="100" w:type="dxa"/>
            <w:vAlign w:val="bottom"/>
            <w:shd w:val="clear" w:color="auto" w:fill="CCECFF"/>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2034 Asset-backed debt, net (par—$246,000)</w:t>
            </w: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243,799</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6"/>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Notes payable to members</w:t>
            </w:r>
          </w:p>
        </w:tc>
        <w:tc>
          <w:tcPr>
            <w:tcW w:w="25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145,472</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106,041</w:t>
            </w:r>
          </w:p>
        </w:tc>
        <w:tc>
          <w:tcPr>
            <w:tcW w:w="100" w:type="dxa"/>
            <w:vAlign w:val="bottom"/>
            <w:shd w:val="clear" w:color="auto" w:fill="CCECFF"/>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Arial" w:cs="Arial" w:eastAsia="Arial" w:hAnsi="Arial"/>
                <w:sz w:val="14"/>
                <w:szCs w:val="14"/>
                <w:color w:val="auto"/>
              </w:rPr>
              <w:t>Interest payable on credit facility</w:t>
            </w: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2,718</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Pr>
          <w:p>
            <w:pPr>
              <w:spacing w:after="0"/>
              <w:rPr>
                <w:sz w:val="15"/>
                <w:szCs w:val="15"/>
                <w:color w:val="auto"/>
              </w:rPr>
            </w:pPr>
          </w:p>
        </w:tc>
      </w:tr>
      <w:tr>
        <w:trPr>
          <w:trHeight w:val="176"/>
        </w:trPr>
        <w:tc>
          <w:tcPr>
            <w:tcW w:w="4240" w:type="dxa"/>
            <w:vAlign w:val="bottom"/>
            <w:shd w:val="clear" w:color="auto" w:fill="CCECFF"/>
          </w:tcPr>
          <w:p>
            <w:pPr>
              <w:ind w:left="20"/>
              <w:spacing w:after="0"/>
              <w:rPr>
                <w:sz w:val="20"/>
                <w:szCs w:val="20"/>
                <w:color w:val="auto"/>
              </w:rPr>
            </w:pPr>
            <w:r>
              <w:rPr>
                <w:rFonts w:ascii="Arial" w:cs="Arial" w:eastAsia="Arial" w:hAnsi="Arial"/>
                <w:sz w:val="14"/>
                <w:szCs w:val="14"/>
                <w:color w:val="auto"/>
              </w:rPr>
              <w:t>Interest payable on notes to members</w:t>
            </w:r>
          </w:p>
        </w:tc>
        <w:tc>
          <w:tcPr>
            <w:tcW w:w="25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2,080</w:t>
            </w:r>
          </w:p>
        </w:tc>
        <w:tc>
          <w:tcPr>
            <w:tcW w:w="32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1,644</w:t>
            </w:r>
          </w:p>
        </w:tc>
        <w:tc>
          <w:tcPr>
            <w:tcW w:w="100" w:type="dxa"/>
            <w:vAlign w:val="bottom"/>
            <w:shd w:val="clear" w:color="auto" w:fill="CCECFF"/>
          </w:tcPr>
          <w:p>
            <w:pPr>
              <w:spacing w:after="0"/>
              <w:rPr>
                <w:sz w:val="15"/>
                <w:szCs w:val="15"/>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4"/>
                <w:szCs w:val="14"/>
                <w:color w:val="auto"/>
              </w:rPr>
              <w:t>Accrued other expenses</w:t>
            </w:r>
          </w:p>
        </w:tc>
        <w:tc>
          <w:tcPr>
            <w:tcW w:w="2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r>
      <w:tr>
        <w:trPr>
          <w:trHeight w:val="169"/>
        </w:trPr>
        <w:tc>
          <w:tcPr>
            <w:tcW w:w="4240" w:type="dxa"/>
            <w:vAlign w:val="bottom"/>
            <w:tcBorders>
              <w:bottom w:val="single" w:sz="8" w:color="CCECFF"/>
            </w:tcBorders>
            <w:shd w:val="clear" w:color="auto" w:fill="CCECFF"/>
          </w:tcPr>
          <w:p>
            <w:pPr>
              <w:ind w:left="560"/>
              <w:spacing w:after="0"/>
              <w:rPr>
                <w:sz w:val="20"/>
                <w:szCs w:val="20"/>
                <w:color w:val="auto"/>
              </w:rPr>
            </w:pPr>
            <w:r>
              <w:rPr>
                <w:rFonts w:ascii="Arial" w:cs="Arial" w:eastAsia="Arial" w:hAnsi="Arial"/>
                <w:sz w:val="14"/>
                <w:szCs w:val="14"/>
                <w:b w:val="1"/>
                <w:bCs w:val="1"/>
                <w:color w:val="auto"/>
              </w:rPr>
              <w:t>Total liabilities</w:t>
            </w:r>
          </w:p>
        </w:tc>
        <w:tc>
          <w:tcPr>
            <w:tcW w:w="256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576,859</w:t>
            </w:r>
          </w:p>
        </w:tc>
        <w:tc>
          <w:tcPr>
            <w:tcW w:w="32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4240" w:type="dxa"/>
            <w:vAlign w:val="bottom"/>
          </w:tcPr>
          <w:p>
            <w:pPr>
              <w:ind w:left="560"/>
              <w:spacing w:after="0"/>
              <w:rPr>
                <w:sz w:val="20"/>
                <w:szCs w:val="20"/>
                <w:color w:val="auto"/>
              </w:rPr>
            </w:pPr>
            <w:r>
              <w:rPr>
                <w:rFonts w:ascii="Arial" w:cs="Arial" w:eastAsia="Arial" w:hAnsi="Arial"/>
                <w:sz w:val="14"/>
                <w:szCs w:val="14"/>
                <w:b w:val="1"/>
                <w:bCs w:val="1"/>
                <w:color w:val="auto"/>
              </w:rPr>
              <w:t>Members' equity</w:t>
            </w:r>
          </w:p>
        </w:tc>
        <w:tc>
          <w:tcPr>
            <w:tcW w:w="2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87,756</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68,032</w:t>
            </w:r>
          </w:p>
        </w:tc>
        <w:tc>
          <w:tcPr>
            <w:tcW w:w="100" w:type="dxa"/>
            <w:vAlign w:val="bottom"/>
          </w:tcPr>
          <w:p>
            <w:pPr>
              <w:spacing w:after="0"/>
              <w:rPr>
                <w:sz w:val="14"/>
                <w:szCs w:val="14"/>
                <w:color w:val="auto"/>
              </w:rPr>
            </w:pPr>
          </w:p>
        </w:tc>
      </w:tr>
      <w:tr>
        <w:trPr>
          <w:trHeight w:val="176"/>
        </w:trPr>
        <w:tc>
          <w:tcPr>
            <w:tcW w:w="4240" w:type="dxa"/>
            <w:vAlign w:val="bottom"/>
          </w:tcPr>
          <w:p>
            <w:pPr>
              <w:ind w:left="560"/>
              <w:spacing w:after="0"/>
              <w:rPr>
                <w:sz w:val="20"/>
                <w:szCs w:val="20"/>
                <w:color w:val="auto"/>
              </w:rPr>
            </w:pPr>
            <w:r>
              <w:rPr>
                <w:rFonts w:ascii="Arial" w:cs="Arial" w:eastAsia="Arial" w:hAnsi="Arial"/>
                <w:sz w:val="14"/>
                <w:szCs w:val="14"/>
                <w:b w:val="1"/>
                <w:bCs w:val="1"/>
                <w:color w:val="auto"/>
              </w:rPr>
              <w:t>Total liabilities and members' equity</w:t>
            </w:r>
          </w:p>
        </w:tc>
        <w:tc>
          <w:tcPr>
            <w:tcW w:w="256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664,615</w:t>
            </w:r>
          </w:p>
        </w:tc>
        <w:tc>
          <w:tcPr>
            <w:tcW w:w="3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417,421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-1372235</wp:posOffset>
            </wp:positionV>
            <wp:extent cx="6858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-1372235</wp:posOffset>
            </wp:positionV>
            <wp:extent cx="6858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-240665</wp:posOffset>
            </wp:positionV>
            <wp:extent cx="6858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-240665</wp:posOffset>
            </wp:positionV>
            <wp:extent cx="68580"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3716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As of June 30, 2022 and September 30, 2021, PSLF did not have any unfunded commitments to fund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60" w:type="dxa"/>
            <w:vAlign w:val="bottom"/>
          </w:tcPr>
          <w:p>
            <w:pPr>
              <w:spacing w:after="0"/>
              <w:rPr>
                <w:sz w:val="20"/>
                <w:szCs w:val="20"/>
                <w:color w:val="auto"/>
              </w:rPr>
            </w:pPr>
            <w:r>
              <w:rPr>
                <w:rFonts w:ascii="Arial" w:cs="Arial" w:eastAsia="Arial" w:hAnsi="Arial"/>
                <w:sz w:val="14"/>
                <w:szCs w:val="14"/>
                <w:color w:val="auto"/>
              </w:rPr>
              <w:t>Below are the consolidated statements of operations for PSLF, ($ in thousands):</w:t>
            </w: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5660" w:type="dxa"/>
            <w:vAlign w:val="bottom"/>
          </w:tcPr>
          <w:p>
            <w:pPr>
              <w:spacing w:after="0"/>
              <w:rPr>
                <w:sz w:val="15"/>
                <w:szCs w:val="15"/>
                <w:color w:val="auto"/>
              </w:rPr>
            </w:pPr>
          </w:p>
        </w:tc>
        <w:tc>
          <w:tcPr>
            <w:tcW w:w="2460" w:type="dxa"/>
            <w:vAlign w:val="bottom"/>
            <w:gridSpan w:val="5"/>
          </w:tcPr>
          <w:p>
            <w:pPr>
              <w:jc w:val="right"/>
              <w:ind w:right="228"/>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Nine Months Ended June 30,</w:t>
            </w:r>
          </w:p>
        </w:tc>
        <w:tc>
          <w:tcPr>
            <w:tcW w:w="100" w:type="dxa"/>
            <w:vAlign w:val="bottom"/>
          </w:tcPr>
          <w:p>
            <w:pPr>
              <w:spacing w:after="0"/>
              <w:rPr>
                <w:sz w:val="15"/>
                <w:szCs w:val="15"/>
                <w:color w:val="auto"/>
              </w:rPr>
            </w:pPr>
          </w:p>
        </w:tc>
      </w:tr>
      <w:tr>
        <w:trPr>
          <w:trHeight w:val="185"/>
        </w:trPr>
        <w:tc>
          <w:tcPr>
            <w:tcW w:w="566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Investment income:</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w:t>
            </w:r>
          </w:p>
        </w:tc>
        <w:tc>
          <w:tcPr>
            <w:tcW w:w="820" w:type="dxa"/>
            <w:vAlign w:val="bottom"/>
            <w:shd w:val="clear" w:color="auto" w:fill="CCECFF"/>
          </w:tcPr>
          <w:p>
            <w:pPr>
              <w:jc w:val="right"/>
              <w:ind w:right="66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8,491</w:t>
            </w:r>
          </w:p>
        </w:tc>
        <w:tc>
          <w:tcPr>
            <w:tcW w:w="28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7,101</w:t>
            </w:r>
          </w:p>
        </w:tc>
        <w:tc>
          <w:tcPr>
            <w:tcW w:w="54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23,759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20,359</w:t>
            </w:r>
          </w:p>
        </w:tc>
        <w:tc>
          <w:tcPr>
            <w:tcW w:w="100" w:type="dxa"/>
            <w:vAlign w:val="bottom"/>
            <w:shd w:val="clear" w:color="auto" w:fill="CCECFF"/>
          </w:tcPr>
          <w:p>
            <w:pPr>
              <w:spacing w:after="0"/>
              <w:rPr>
                <w:sz w:val="15"/>
                <w:szCs w:val="15"/>
                <w:color w:val="auto"/>
              </w:rPr>
            </w:pPr>
          </w:p>
        </w:tc>
      </w:tr>
      <w:tr>
        <w:trPr>
          <w:trHeight w:val="176"/>
        </w:trPr>
        <w:tc>
          <w:tcPr>
            <w:tcW w:w="566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5"/>
                <w:szCs w:val="15"/>
                <w:color w:val="auto"/>
              </w:rPr>
            </w:pPr>
          </w:p>
        </w:tc>
      </w:tr>
      <w:tr>
        <w:trPr>
          <w:trHeight w:val="169"/>
        </w:trPr>
        <w:tc>
          <w:tcPr>
            <w:tcW w:w="56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investment income</w:t>
            </w:r>
          </w:p>
        </w:tc>
        <w:tc>
          <w:tcPr>
            <w:tcW w:w="82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8,509</w:t>
            </w:r>
          </w:p>
        </w:tc>
        <w:tc>
          <w:tcPr>
            <w:tcW w:w="2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8,182</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23,919</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22,167</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Interest expense on credit facility and asset-backed debt</w:t>
            </w:r>
          </w:p>
        </w:tc>
        <w:tc>
          <w:tcPr>
            <w:tcW w:w="82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2,183</w:t>
            </w:r>
          </w:p>
        </w:tc>
        <w:tc>
          <w:tcPr>
            <w:tcW w:w="2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1,505</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5,838</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4,755</w:t>
            </w:r>
          </w:p>
        </w:tc>
        <w:tc>
          <w:tcPr>
            <w:tcW w:w="100" w:type="dxa"/>
            <w:vAlign w:val="bottom"/>
            <w:shd w:val="clear" w:color="auto" w:fill="CCECFF"/>
          </w:tcPr>
          <w:p>
            <w:pPr>
              <w:spacing w:after="0"/>
              <w:rPr>
                <w:sz w:val="15"/>
                <w:szCs w:val="15"/>
                <w:color w:val="auto"/>
              </w:rPr>
            </w:pPr>
          </w:p>
        </w:tc>
      </w:tr>
      <w:tr>
        <w:trPr>
          <w:trHeight w:val="175"/>
        </w:trPr>
        <w:tc>
          <w:tcPr>
            <w:tcW w:w="5660" w:type="dxa"/>
            <w:vAlign w:val="bottom"/>
          </w:tcPr>
          <w:p>
            <w:pPr>
              <w:ind w:left="200"/>
              <w:spacing w:after="0"/>
              <w:rPr>
                <w:sz w:val="20"/>
                <w:szCs w:val="20"/>
                <w:color w:val="auto"/>
              </w:rPr>
            </w:pPr>
            <w:r>
              <w:rPr>
                <w:rFonts w:ascii="Arial" w:cs="Arial" w:eastAsia="Arial" w:hAnsi="Arial"/>
                <w:sz w:val="14"/>
                <w:szCs w:val="14"/>
                <w:color w:val="auto"/>
              </w:rPr>
              <w:t>Interest expense on notes to members</w:t>
            </w: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2,410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7,861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7,094</w:t>
            </w:r>
          </w:p>
        </w:tc>
        <w:tc>
          <w:tcPr>
            <w:tcW w:w="100" w:type="dxa"/>
            <w:vAlign w:val="bottom"/>
          </w:tcPr>
          <w:p>
            <w:pPr>
              <w:spacing w:after="0"/>
              <w:rPr>
                <w:sz w:val="15"/>
                <w:szCs w:val="15"/>
                <w:color w:val="auto"/>
              </w:rPr>
            </w:pPr>
          </w:p>
        </w:tc>
      </w:tr>
      <w:tr>
        <w:trPr>
          <w:trHeight w:val="175"/>
        </w:trPr>
        <w:tc>
          <w:tcPr>
            <w:tcW w:w="5660" w:type="dxa"/>
            <w:vAlign w:val="bottom"/>
            <w:shd w:val="clear" w:color="auto" w:fill="CCECFF"/>
          </w:tcPr>
          <w:p>
            <w:pPr>
              <w:ind w:left="200"/>
              <w:spacing w:after="0"/>
              <w:rPr>
                <w:sz w:val="20"/>
                <w:szCs w:val="20"/>
                <w:color w:val="auto"/>
              </w:rPr>
            </w:pPr>
            <w:r>
              <w:rPr>
                <w:rFonts w:ascii="Arial" w:cs="Arial" w:eastAsia="Arial" w:hAnsi="Arial"/>
                <w:sz w:val="14"/>
                <w:szCs w:val="14"/>
                <w:color w:val="auto"/>
              </w:rPr>
              <w:t>Administrative services expenses</w:t>
            </w:r>
          </w:p>
        </w:tc>
        <w:tc>
          <w:tcPr>
            <w:tcW w:w="820" w:type="dxa"/>
            <w:vAlign w:val="bottom"/>
            <w:shd w:val="clear" w:color="auto" w:fill="CCECFF"/>
          </w:tcPr>
          <w:p>
            <w:pPr>
              <w:spacing w:after="0"/>
              <w:rPr>
                <w:sz w:val="15"/>
                <w:szCs w:val="15"/>
                <w:color w:val="auto"/>
              </w:rPr>
            </w:pPr>
          </w:p>
        </w:tc>
        <w:tc>
          <w:tcPr>
            <w:tcW w:w="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w:t>
            </w:r>
          </w:p>
        </w:tc>
        <w:tc>
          <w:tcPr>
            <w:tcW w:w="2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w:t>
            </w: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w:t>
            </w: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879</w:t>
            </w:r>
          </w:p>
        </w:tc>
        <w:tc>
          <w:tcPr>
            <w:tcW w:w="100" w:type="dxa"/>
            <w:vAlign w:val="bottom"/>
            <w:shd w:val="clear" w:color="auto" w:fill="CCECFF"/>
          </w:tcPr>
          <w:p>
            <w:pPr>
              <w:spacing w:after="0"/>
              <w:rPr>
                <w:sz w:val="15"/>
                <w:szCs w:val="15"/>
                <w:color w:val="auto"/>
              </w:rPr>
            </w:pPr>
          </w:p>
        </w:tc>
      </w:tr>
      <w:tr>
        <w:trPr>
          <w:trHeight w:val="175"/>
        </w:trPr>
        <w:tc>
          <w:tcPr>
            <w:tcW w:w="5660" w:type="dxa"/>
            <w:vAlign w:val="bottom"/>
          </w:tcPr>
          <w:p>
            <w:pPr>
              <w:ind w:left="200"/>
              <w:spacing w:after="0"/>
              <w:rPr>
                <w:sz w:val="20"/>
                <w:szCs w:val="20"/>
                <w:color w:val="auto"/>
              </w:rPr>
            </w:pPr>
            <w:r>
              <w:rPr>
                <w:rFonts w:ascii="Arial" w:cs="Arial" w:eastAsia="Arial" w:hAnsi="Arial"/>
                <w:sz w:val="14"/>
                <w:szCs w:val="14"/>
                <w:color w:val="auto"/>
              </w:rPr>
              <w:t>Other general and administrative expenses</w:t>
            </w: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5"/>
                <w:szCs w:val="15"/>
                <w:color w:val="auto"/>
              </w:rPr>
            </w:pPr>
          </w:p>
        </w:tc>
      </w:tr>
      <w:tr>
        <w:trPr>
          <w:trHeight w:val="169"/>
        </w:trPr>
        <w:tc>
          <w:tcPr>
            <w:tcW w:w="56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Total expenses</w:t>
            </w:r>
          </w:p>
        </w:tc>
        <w:tc>
          <w:tcPr>
            <w:tcW w:w="82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5,580</w:t>
            </w:r>
          </w:p>
        </w:tc>
        <w:tc>
          <w:tcPr>
            <w:tcW w:w="2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4,320</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14,913</w:t>
            </w:r>
          </w:p>
        </w:tc>
        <w:tc>
          <w:tcPr>
            <w:tcW w:w="26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13,063</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660" w:type="dxa"/>
            <w:vAlign w:val="bottom"/>
          </w:tcPr>
          <w:p>
            <w:pPr>
              <w:ind w:left="200"/>
              <w:spacing w:after="0"/>
              <w:rPr>
                <w:sz w:val="20"/>
                <w:szCs w:val="20"/>
                <w:color w:val="auto"/>
              </w:rPr>
            </w:pPr>
            <w:r>
              <w:rPr>
                <w:rFonts w:ascii="Arial" w:cs="Arial" w:eastAsia="Arial" w:hAnsi="Arial"/>
                <w:sz w:val="14"/>
                <w:szCs w:val="14"/>
                <w:b w:val="1"/>
                <w:bCs w:val="1"/>
                <w:color w:val="auto"/>
              </w:rPr>
              <w:t>Net investment income</w:t>
            </w: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9,006</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9,104</w:t>
            </w:r>
          </w:p>
        </w:tc>
        <w:tc>
          <w:tcPr>
            <w:tcW w:w="100" w:type="dxa"/>
            <w:vAlign w:val="bottom"/>
          </w:tcPr>
          <w:p>
            <w:pPr>
              <w:spacing w:after="0"/>
              <w:rPr>
                <w:sz w:val="14"/>
                <w:szCs w:val="14"/>
                <w:color w:val="auto"/>
              </w:rPr>
            </w:pPr>
          </w:p>
        </w:tc>
      </w:tr>
      <w:tr>
        <w:trPr>
          <w:trHeight w:val="133"/>
        </w:trPr>
        <w:tc>
          <w:tcPr>
            <w:tcW w:w="5660" w:type="dxa"/>
            <w:vAlign w:val="bottom"/>
            <w:shd w:val="clear" w:color="auto" w:fill="CCECFF"/>
          </w:tcPr>
          <w:p>
            <w:pPr>
              <w:ind w:left="20"/>
              <w:spacing w:after="0" w:line="133" w:lineRule="exact"/>
              <w:rPr>
                <w:sz w:val="20"/>
                <w:szCs w:val="20"/>
                <w:color w:val="auto"/>
              </w:rPr>
            </w:pPr>
            <w:r>
              <w:rPr>
                <w:rFonts w:ascii="Arial" w:cs="Arial" w:eastAsia="Arial" w:hAnsi="Arial"/>
                <w:sz w:val="14"/>
                <w:szCs w:val="14"/>
                <w:b w:val="1"/>
                <w:bCs w:val="1"/>
                <w:color w:val="auto"/>
              </w:rPr>
              <w:t>Realized and unrealized (loss) gain on investments and credit facility foreign</w:t>
            </w:r>
          </w:p>
        </w:tc>
        <w:tc>
          <w:tcPr>
            <w:tcW w:w="820" w:type="dxa"/>
            <w:vAlign w:val="bottom"/>
            <w:shd w:val="clear" w:color="auto" w:fill="CCECFF"/>
          </w:tcPr>
          <w:p>
            <w:pPr>
              <w:spacing w:after="0"/>
              <w:rPr>
                <w:sz w:val="11"/>
                <w:szCs w:val="11"/>
                <w:color w:val="auto"/>
              </w:rPr>
            </w:pPr>
          </w:p>
        </w:tc>
        <w:tc>
          <w:tcPr>
            <w:tcW w:w="4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9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85"/>
        </w:trPr>
        <w:tc>
          <w:tcPr>
            <w:tcW w:w="566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820" w:type="dxa"/>
            <w:vAlign w:val="bottom"/>
            <w:shd w:val="clear" w:color="auto" w:fill="CCECFF"/>
          </w:tcPr>
          <w:p>
            <w:pPr>
              <w:spacing w:after="0"/>
              <w:rPr>
                <w:sz w:val="16"/>
                <w:szCs w:val="16"/>
                <w:color w:val="auto"/>
              </w:rPr>
            </w:pPr>
          </w:p>
        </w:tc>
        <w:tc>
          <w:tcPr>
            <w:tcW w:w="4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220" w:type="dxa"/>
            <w:vAlign w:val="bottom"/>
            <w:shd w:val="clear" w:color="auto" w:fill="CCECFF"/>
          </w:tcPr>
          <w:p>
            <w:pPr>
              <w:spacing w:after="0"/>
              <w:rPr>
                <w:sz w:val="16"/>
                <w:szCs w:val="16"/>
                <w:color w:val="auto"/>
              </w:rPr>
            </w:pPr>
          </w:p>
        </w:tc>
        <w:tc>
          <w:tcPr>
            <w:tcW w:w="720" w:type="dxa"/>
            <w:vAlign w:val="bottom"/>
            <w:shd w:val="clear" w:color="auto" w:fill="CCECFF"/>
          </w:tcPr>
          <w:p>
            <w:pPr>
              <w:spacing w:after="0"/>
              <w:rPr>
                <w:sz w:val="16"/>
                <w:szCs w:val="16"/>
                <w:color w:val="auto"/>
              </w:rPr>
            </w:pPr>
          </w:p>
        </w:tc>
        <w:tc>
          <w:tcPr>
            <w:tcW w:w="28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940" w:type="dxa"/>
            <w:vAlign w:val="bottom"/>
            <w:shd w:val="clear" w:color="auto" w:fill="CCECFF"/>
          </w:tcPr>
          <w:p>
            <w:pPr>
              <w:spacing w:after="0"/>
              <w:rPr>
                <w:sz w:val="16"/>
                <w:szCs w:val="16"/>
                <w:color w:val="auto"/>
              </w:rPr>
            </w:pPr>
          </w:p>
        </w:tc>
        <w:tc>
          <w:tcPr>
            <w:tcW w:w="260" w:type="dxa"/>
            <w:vAlign w:val="bottom"/>
            <w:shd w:val="clear" w:color="auto" w:fill="CCECFF"/>
          </w:tcPr>
          <w:p>
            <w:pPr>
              <w:spacing w:after="0"/>
              <w:rPr>
                <w:sz w:val="16"/>
                <w:szCs w:val="16"/>
                <w:color w:val="auto"/>
              </w:rPr>
            </w:pPr>
          </w:p>
        </w:tc>
        <w:tc>
          <w:tcPr>
            <w:tcW w:w="300" w:type="dxa"/>
            <w:vAlign w:val="bottom"/>
            <w:shd w:val="clear" w:color="auto" w:fill="CCECFF"/>
          </w:tcPr>
          <w:p>
            <w:pPr>
              <w:spacing w:after="0"/>
              <w:rPr>
                <w:sz w:val="16"/>
                <w:szCs w:val="16"/>
                <w:color w:val="auto"/>
              </w:rPr>
            </w:pPr>
          </w:p>
        </w:tc>
        <w:tc>
          <w:tcPr>
            <w:tcW w:w="980" w:type="dxa"/>
            <w:vAlign w:val="bottom"/>
            <w:shd w:val="clear" w:color="auto" w:fill="CCECFF"/>
          </w:tcPr>
          <w:p>
            <w:pPr>
              <w:spacing w:after="0"/>
              <w:rPr>
                <w:sz w:val="16"/>
                <w:szCs w:val="16"/>
                <w:color w:val="auto"/>
              </w:rPr>
            </w:pPr>
          </w:p>
        </w:tc>
        <w:tc>
          <w:tcPr>
            <w:tcW w:w="100" w:type="dxa"/>
            <w:vAlign w:val="bottom"/>
            <w:shd w:val="clear" w:color="auto" w:fill="CCECFF"/>
          </w:tcPr>
          <w:p>
            <w:pPr>
              <w:spacing w:after="0"/>
              <w:rPr>
                <w:sz w:val="16"/>
                <w:szCs w:val="16"/>
                <w:color w:val="auto"/>
              </w:rPr>
            </w:pPr>
          </w:p>
        </w:tc>
      </w:tr>
      <w:tr>
        <w:trPr>
          <w:trHeight w:val="175"/>
        </w:trPr>
        <w:tc>
          <w:tcPr>
            <w:tcW w:w="5660" w:type="dxa"/>
            <w:vAlign w:val="bottom"/>
          </w:tcPr>
          <w:p>
            <w:pPr>
              <w:ind w:left="20"/>
              <w:spacing w:after="0"/>
              <w:rPr>
                <w:sz w:val="20"/>
                <w:szCs w:val="20"/>
                <w:color w:val="auto"/>
              </w:rPr>
            </w:pPr>
            <w:r>
              <w:rPr>
                <w:rFonts w:ascii="Arial" w:cs="Arial" w:eastAsia="Arial" w:hAnsi="Arial"/>
                <w:sz w:val="14"/>
                <w:szCs w:val="14"/>
                <w:color w:val="auto"/>
              </w:rPr>
              <w:t>Net realized gain on investments</w:t>
            </w: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5"/>
                <w:szCs w:val="15"/>
                <w:color w:val="auto"/>
              </w:rPr>
            </w:pPr>
          </w:p>
        </w:tc>
      </w:tr>
      <w:tr>
        <w:trPr>
          <w:trHeight w:val="175"/>
        </w:trPr>
        <w:tc>
          <w:tcPr>
            <w:tcW w:w="566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change in unrealized (depreciation) appreciation on:</w:t>
            </w:r>
          </w:p>
        </w:tc>
        <w:tc>
          <w:tcPr>
            <w:tcW w:w="82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7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9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566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820" w:type="dxa"/>
            <w:vAlign w:val="bottom"/>
          </w:tcPr>
          <w:p>
            <w:pPr>
              <w:spacing w:after="0"/>
              <w:rPr>
                <w:sz w:val="15"/>
                <w:szCs w:val="15"/>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w w:val="95"/>
              </w:rPr>
              <w:t>(3,630 )</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(4,357 )</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Pr>
          <w:p>
            <w:pPr>
              <w:spacing w:after="0"/>
              <w:rPr>
                <w:sz w:val="15"/>
                <w:szCs w:val="15"/>
                <w:color w:val="auto"/>
              </w:rPr>
            </w:pPr>
          </w:p>
        </w:tc>
      </w:tr>
      <w:tr>
        <w:trPr>
          <w:trHeight w:val="169"/>
        </w:trPr>
        <w:tc>
          <w:tcPr>
            <w:tcW w:w="56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4"/>
                <w:szCs w:val="14"/>
                <w:b w:val="1"/>
                <w:bCs w:val="1"/>
                <w:color w:val="auto"/>
              </w:rPr>
              <w:t>Net change in unrealized (depreciation) appreciation on investments</w:t>
            </w:r>
          </w:p>
        </w:tc>
        <w:tc>
          <w:tcPr>
            <w:tcW w:w="820" w:type="dxa"/>
            <w:vAlign w:val="bottom"/>
            <w:tcBorders>
              <w:top w:val="single" w:sz="8" w:color="auto"/>
              <w:bottom w:val="single" w:sz="8" w:color="auto"/>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(3,630</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CECFF"/>
          </w:tcPr>
          <w:p>
            <w:pPr>
              <w:spacing w:after="0"/>
              <w:rPr>
                <w:sz w:val="14"/>
                <w:szCs w:val="14"/>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w:t>
            </w:r>
          </w:p>
        </w:tc>
        <w:tc>
          <w:tcPr>
            <w:tcW w:w="28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top w:val="single" w:sz="8" w:color="auto"/>
              <w:bottom w:val="single" w:sz="8" w:color="auto"/>
            </w:tcBorders>
            <w:shd w:val="clear" w:color="auto" w:fill="CCECFF"/>
          </w:tcPr>
          <w:p>
            <w:pPr>
              <w:spacing w:after="0"/>
              <w:rPr>
                <w:sz w:val="14"/>
                <w:szCs w:val="14"/>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(4,357</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4,546</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Net realized and unrealized (loss) gain from investments</w:t>
            </w:r>
          </w:p>
        </w:tc>
        <w:tc>
          <w:tcPr>
            <w:tcW w:w="820" w:type="dxa"/>
            <w:vAlign w:val="bottom"/>
          </w:tcPr>
          <w:p>
            <w:pPr>
              <w:spacing w:after="0"/>
              <w:rPr>
                <w:sz w:val="14"/>
                <w:szCs w:val="14"/>
                <w:color w:val="auto"/>
              </w:rPr>
            </w:pPr>
          </w:p>
        </w:tc>
        <w:tc>
          <w:tcPr>
            <w:tcW w:w="700" w:type="dxa"/>
            <w:vAlign w:val="bottom"/>
            <w:gridSpan w:val="2"/>
          </w:tcPr>
          <w:p>
            <w:pPr>
              <w:jc w:val="right"/>
              <w:ind w:right="148"/>
              <w:spacing w:after="0"/>
              <w:rPr>
                <w:sz w:val="20"/>
                <w:szCs w:val="20"/>
                <w:color w:val="auto"/>
              </w:rPr>
            </w:pPr>
            <w:r>
              <w:rPr>
                <w:rFonts w:ascii="Arial" w:cs="Arial" w:eastAsia="Arial" w:hAnsi="Arial"/>
                <w:sz w:val="14"/>
                <w:szCs w:val="14"/>
                <w:color w:val="auto"/>
                <w:w w:val="95"/>
              </w:rPr>
              <w:t>(3,510 )</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(3,851 )</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5,010</w:t>
            </w:r>
          </w:p>
        </w:tc>
        <w:tc>
          <w:tcPr>
            <w:tcW w:w="100" w:type="dxa"/>
            <w:vAlign w:val="bottom"/>
          </w:tcPr>
          <w:p>
            <w:pPr>
              <w:spacing w:after="0"/>
              <w:rPr>
                <w:sz w:val="14"/>
                <w:szCs w:val="14"/>
                <w:color w:val="auto"/>
              </w:rPr>
            </w:pPr>
          </w:p>
        </w:tc>
      </w:tr>
      <w:tr>
        <w:trPr>
          <w:trHeight w:val="209"/>
        </w:trPr>
        <w:tc>
          <w:tcPr>
            <w:tcW w:w="56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b w:val="1"/>
                <w:bCs w:val="1"/>
                <w:color w:val="auto"/>
              </w:rPr>
              <w:t>Net increase in members' equity resulting from operations</w:t>
            </w:r>
          </w:p>
        </w:tc>
        <w:tc>
          <w:tcPr>
            <w:tcW w:w="820" w:type="dxa"/>
            <w:vAlign w:val="bottom"/>
            <w:tcBorders>
              <w:top w:val="single" w:sz="8" w:color="auto"/>
              <w:bottom w:val="single" w:sz="8" w:color="auto"/>
            </w:tcBorders>
            <w:shd w:val="clear" w:color="auto" w:fill="CCECFF"/>
          </w:tcPr>
          <w:p>
            <w:pPr>
              <w:jc w:val="right"/>
              <w:ind w:right="6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(581</w:t>
            </w:r>
          </w:p>
        </w:tc>
        <w:tc>
          <w:tcPr>
            <w:tcW w:w="280" w:type="dxa"/>
            <w:vAlign w:val="bottom"/>
            <w:tcBorders>
              <w:bottom w:val="single" w:sz="8" w:color="CCECFF"/>
            </w:tcBorders>
            <w:shd w:val="clear" w:color="auto" w:fill="CCECFF"/>
          </w:tcPr>
          <w:p>
            <w:pPr>
              <w:jc w:val="right"/>
              <w:ind w:right="148"/>
              <w:spacing w:after="0"/>
              <w:rPr>
                <w:sz w:val="20"/>
                <w:szCs w:val="20"/>
                <w:color w:val="auto"/>
              </w:rPr>
            </w:pPr>
            <w:r>
              <w:rPr>
                <w:rFonts w:ascii="Arial" w:cs="Arial" w:eastAsia="Arial" w:hAnsi="Arial"/>
                <w:sz w:val="14"/>
                <w:szCs w:val="14"/>
                <w:color w:val="auto"/>
                <w:w w:val="84"/>
              </w:rPr>
              <w:t>)</w:t>
            </w:r>
          </w:p>
        </w:tc>
        <w:tc>
          <w:tcPr>
            <w:tcW w:w="22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3,954</w:t>
            </w:r>
          </w:p>
        </w:tc>
        <w:tc>
          <w:tcPr>
            <w:tcW w:w="28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top w:val="single" w:sz="8" w:color="auto"/>
              <w:bottom w:val="single" w:sz="8" w:color="auto"/>
            </w:tcBorders>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5,155</w:t>
            </w:r>
          </w:p>
        </w:tc>
        <w:tc>
          <w:tcPr>
            <w:tcW w:w="26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14,114</w:t>
            </w:r>
          </w:p>
        </w:tc>
        <w:tc>
          <w:tcPr>
            <w:tcW w:w="100" w:type="dxa"/>
            <w:vAlign w:val="bottom"/>
            <w:tcBorders>
              <w:bottom w:val="single" w:sz="8" w:color="CCECFF"/>
            </w:tcBorders>
            <w:shd w:val="clear" w:color="auto" w:fill="CCEC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-1736725</wp:posOffset>
            </wp:positionV>
            <wp:extent cx="77470"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-1736725</wp:posOffset>
            </wp:positionV>
            <wp:extent cx="68580"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-1736725</wp:posOffset>
            </wp:positionV>
            <wp:extent cx="68580"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-1736725</wp:posOffset>
            </wp:positionV>
            <wp:extent cx="68580"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-1050925</wp:posOffset>
            </wp:positionV>
            <wp:extent cx="7747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-1050925</wp:posOffset>
            </wp:positionV>
            <wp:extent cx="68580"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-1050925</wp:posOffset>
            </wp:positionV>
            <wp:extent cx="6858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-1050925</wp:posOffset>
            </wp:positionV>
            <wp:extent cx="6858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-262255</wp:posOffset>
            </wp:positionV>
            <wp:extent cx="7747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-262255</wp:posOffset>
            </wp:positionV>
            <wp:extent cx="6858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-262255</wp:posOffset>
            </wp:positionV>
            <wp:extent cx="6858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wp:posOffset>
            </wp:positionV>
            <wp:extent cx="6858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85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71450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4"/>
          <w:szCs w:val="14"/>
          <w:color w:val="auto"/>
          <w:vertAlign w:val="superscript"/>
        </w:rPr>
      </w:pPr>
      <w:r>
        <w:rPr>
          <w:rFonts w:ascii="Arial" w:cs="Arial" w:eastAsia="Arial" w:hAnsi="Arial"/>
          <w:sz w:val="11"/>
          <w:szCs w:val="11"/>
          <w:color w:val="auto"/>
        </w:rPr>
        <w:t>No management or incentive fees are payable by PSLF.</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204" w:lineRule="exact"/>
        <w:rPr>
          <w:sz w:val="20"/>
          <w:szCs w:val="20"/>
          <w:color w:val="auto"/>
        </w:rPr>
      </w:pPr>
    </w:p>
    <w:p>
      <w:pPr>
        <w:jc w:val="both"/>
        <w:ind w:firstLine="449"/>
        <w:spacing w:after="0" w:line="246" w:lineRule="auto"/>
        <w:rPr>
          <w:sz w:val="20"/>
          <w:szCs w:val="20"/>
          <w:color w:val="auto"/>
        </w:rPr>
      </w:pPr>
      <w:r>
        <w:rPr>
          <w:rFonts w:ascii="Arial" w:cs="Arial" w:eastAsia="Arial" w:hAnsi="Arial"/>
          <w:sz w:val="14"/>
          <w:szCs w:val="14"/>
          <w:color w:val="auto"/>
        </w:rPr>
        <w:t>On July 29, 2022, the Company entered into the Fifth Amendment to the Truist Credit Facility. The Fifth Amendment amends certain provisions of the Credit Agreement to, among other things, (1) increase the facility size from $465.0 million to $500.0 million, which may be further increased up to $750.0 million, subject to the terms of the Amended Credit Agreement, (2) extend the term of the revolving period from September 4, 2023 to July 29, 2026 and the stated maturity date from September 4, 2024 to July 29, 2027 for $475.0 million out of the total $500.0 million commitments (with the revolving period with respect to the remaining $25.0 million of commitments continuing to expire on September 4, 2023 and the related obligations maturing on September 4, 2024), (3) adjust the applicable margin with respect to the loans extended by the lenders of the extended $475.0 million commitments and (4) replace the LIBOR benchmark provisions with SOFR benchmark provisions, including applicable credit adjustment spread. In connection with the facility increase contemplated by the Fifth Amendment, Regions Bank joined the Amended Credit Agreement as an additional multicurrency lender.</w:t>
      </w:r>
    </w:p>
    <w:p>
      <w:pPr>
        <w:spacing w:after="0" w:line="18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 foregoing descriptions of the Fifth Amendment does not purport to be complete and is qualified in their entirety by reference to the full text of the Fifth Amendment, which is filed as an exhibit hereto and incorporated by reference herein.</w:t>
      </w:r>
    </w:p>
    <w:p>
      <w:pPr>
        <w:spacing w:after="0" w:line="160" w:lineRule="exact"/>
        <w:rPr>
          <w:sz w:val="20"/>
          <w:szCs w:val="20"/>
          <w:color w:val="auto"/>
        </w:rPr>
      </w:pPr>
    </w:p>
    <w:p>
      <w:pPr>
        <w:jc w:val="both"/>
        <w:ind w:right="20" w:firstLine="449"/>
        <w:spacing w:after="0" w:line="273" w:lineRule="auto"/>
        <w:rPr>
          <w:sz w:val="20"/>
          <w:szCs w:val="20"/>
          <w:color w:val="auto"/>
        </w:rPr>
      </w:pPr>
      <w:r>
        <w:rPr>
          <w:rFonts w:ascii="Arial" w:cs="Arial" w:eastAsia="Arial" w:hAnsi="Arial"/>
          <w:sz w:val="14"/>
          <w:szCs w:val="14"/>
          <w:color w:val="auto"/>
        </w:rPr>
        <w:t>Subsequent to quarter end we and Pantheon Ventures (UK) LLP, have agreed to increase our capital commitments to PSLF from $234.8 million to $310.8 million. PNNT's portion of this capital commitment increase is $45.9 million.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204"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71"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4"/>
          <w:szCs w:val="14"/>
          <w:color w:val="auto"/>
        </w:rPr>
        <w:t>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71"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During the three and nine months ended June 30, 2022, we declared distributions of $0.145 and $0.405 per share, for total distributions of $9.4 million and $26.8 million, respectively. For the same periods in the prior year, we declared distributions of $0.12 and $0.36 per share, for total distributions of $8.0 million and $24.1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20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60"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04"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currently evaluating the impact the adoption of this new accounting standard will have on its consolidated financial statements, but the impact of the adoption is not expected to be material.</w:t>
      </w:r>
    </w:p>
    <w:p>
      <w:pPr>
        <w:spacing w:after="0" w:line="177" w:lineRule="exact"/>
        <w:rPr>
          <w:sz w:val="20"/>
          <w:szCs w:val="20"/>
          <w:color w:val="auto"/>
        </w:rPr>
      </w:pPr>
    </w:p>
    <w:p>
      <w:pPr>
        <w:jc w:val="both"/>
        <w:ind w:firstLine="449"/>
        <w:spacing w:after="0" w:line="247" w:lineRule="auto"/>
        <w:rPr>
          <w:sz w:val="20"/>
          <w:szCs w:val="20"/>
          <w:color w:val="auto"/>
        </w:rPr>
      </w:pPr>
      <w:r>
        <w:rPr>
          <w:rFonts w:ascii="Arial" w:cs="Arial" w:eastAsia="Arial" w:hAnsi="Arial"/>
          <w:sz w:val="14"/>
          <w:szCs w:val="14"/>
          <w:color w:val="auto"/>
        </w:rPr>
        <w:t>In June 2022, the FASB issued Accounting Standards Update,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Repurchase Program</w:t>
      </w:r>
    </w:p>
    <w:p>
      <w:pPr>
        <w:spacing w:after="0" w:line="244" w:lineRule="exact"/>
        <w:rPr>
          <w:sz w:val="20"/>
          <w:szCs w:val="20"/>
          <w:color w:val="auto"/>
        </w:rPr>
      </w:pPr>
    </w:p>
    <w:p>
      <w:pPr>
        <w:jc w:val="both"/>
        <w:ind w:firstLine="494"/>
        <w:spacing w:after="0" w:line="247" w:lineRule="auto"/>
        <w:rPr>
          <w:sz w:val="20"/>
          <w:szCs w:val="20"/>
          <w:color w:val="auto"/>
        </w:rPr>
      </w:pPr>
      <w:r>
        <w:rPr>
          <w:rFonts w:ascii="Arial" w:cs="Arial" w:eastAsia="Arial" w:hAnsi="Arial"/>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three and nine months ended June 30, 2022, we repurchased 717,709 and 1,631,163, respectively, shares of common stock in open market transactions for an aggregate cost (including transaction costs) of $4.9 million and $12.0 million, respectively. During the three and nine months ended June 30, 2021, we did not make any repurchases of shares of our common stock.</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8" w:lineRule="exact"/>
        <w:rPr>
          <w:sz w:val="20"/>
          <w:szCs w:val="20"/>
          <w:color w:val="auto"/>
        </w:rPr>
      </w:pPr>
    </w:p>
    <w:p>
      <w:pPr>
        <w:jc w:val="both"/>
        <w:ind w:firstLine="449"/>
        <w:spacing w:after="0" w:line="249" w:lineRule="auto"/>
        <w:rPr>
          <w:sz w:val="20"/>
          <w:szCs w:val="20"/>
          <w:color w:val="auto"/>
        </w:rPr>
      </w:pPr>
      <w:r>
        <w:rPr>
          <w:rFonts w:ascii="Arial" w:cs="Arial" w:eastAsia="Arial" w:hAnsi="Arial"/>
          <w:sz w:val="14"/>
          <w:szCs w:val="14"/>
          <w:color w:val="auto"/>
        </w:rPr>
        <w:t>We are subject to financial market risks, including changes in interest rates. As of June 30, 2022, our debt portfolio consisted of 96% variable-rate investments and 4% fixed 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77"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jc w:val="right"/>
              <w:ind w:right="188"/>
              <w:spacing w:after="0"/>
              <w:rPr>
                <w:sz w:val="20"/>
                <w:szCs w:val="20"/>
                <w:color w:val="auto"/>
              </w:rPr>
            </w:pPr>
            <w:r>
              <w:rPr>
                <w:rFonts w:ascii="Arial" w:cs="Arial" w:eastAsia="Arial" w:hAnsi="Arial"/>
                <w:sz w:val="14"/>
                <w:szCs w:val="14"/>
                <w:b w:val="1"/>
                <w:bCs w:val="1"/>
                <w:color w:val="auto"/>
              </w:rPr>
              <w:t>Change in Interest Income,</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0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w w:val="93"/>
              </w:rPr>
              <w:t>Change in Interest Income,</w:t>
            </w:r>
          </w:p>
        </w:tc>
        <w:tc>
          <w:tcPr>
            <w:tcW w:w="0" w:type="dxa"/>
            <w:vAlign w:val="bottom"/>
          </w:tcPr>
          <w:p>
            <w:pPr>
              <w:spacing w:after="0"/>
              <w:rPr>
                <w:sz w:val="1"/>
                <w:szCs w:val="1"/>
                <w:color w:val="auto"/>
              </w:rPr>
            </w:pPr>
          </w:p>
        </w:tc>
      </w:tr>
      <w:tr>
        <w:trPr>
          <w:trHeight w:val="149"/>
        </w:trPr>
        <w:tc>
          <w:tcPr>
            <w:tcW w:w="3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Change in Interest Rates</w:t>
            </w:r>
          </w:p>
        </w:tc>
        <w:tc>
          <w:tcPr>
            <w:tcW w:w="240" w:type="dxa"/>
            <w:vAlign w:val="bottom"/>
          </w:tcPr>
          <w:p>
            <w:pPr>
              <w:spacing w:after="0"/>
              <w:rPr>
                <w:sz w:val="12"/>
                <w:szCs w:val="12"/>
                <w:color w:val="auto"/>
              </w:rPr>
            </w:pPr>
          </w:p>
        </w:tc>
        <w:tc>
          <w:tcPr>
            <w:tcW w:w="28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Net of Interest Expense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00" w:type="dxa"/>
            <w:vAlign w:val="bottom"/>
            <w:gridSpan w:val="2"/>
          </w:tcPr>
          <w:p>
            <w:pPr>
              <w:jc w:val="center"/>
              <w:ind w:right="548"/>
              <w:spacing w:after="0" w:line="149" w:lineRule="exact"/>
              <w:rPr>
                <w:sz w:val="20"/>
                <w:szCs w:val="20"/>
                <w:color w:val="auto"/>
              </w:rPr>
            </w:pPr>
            <w:r>
              <w:rPr>
                <w:rFonts w:ascii="Arial" w:cs="Arial" w:eastAsia="Arial" w:hAnsi="Arial"/>
                <w:sz w:val="14"/>
                <w:szCs w:val="14"/>
                <w:b w:val="1"/>
                <w:bCs w:val="1"/>
                <w:color w:val="auto"/>
                <w:w w:val="93"/>
              </w:rPr>
              <w:t>Net of Interest</w:t>
            </w:r>
          </w:p>
        </w:tc>
        <w:tc>
          <w:tcPr>
            <w:tcW w:w="0" w:type="dxa"/>
            <w:vAlign w:val="bottom"/>
          </w:tcPr>
          <w:p>
            <w:pPr>
              <w:spacing w:after="0"/>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right"/>
              <w:ind w:right="548"/>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00" w:type="dxa"/>
            <w:vAlign w:val="bottom"/>
            <w:gridSpan w:val="2"/>
          </w:tcPr>
          <w:p>
            <w:pPr>
              <w:jc w:val="center"/>
              <w:ind w:right="508"/>
              <w:spacing w:after="0"/>
              <w:rPr>
                <w:sz w:val="20"/>
                <w:szCs w:val="20"/>
                <w:color w:val="auto"/>
              </w:rPr>
            </w:pPr>
            <w:r>
              <w:rPr>
                <w:rFonts w:ascii="Arial" w:cs="Arial" w:eastAsia="Arial" w:hAnsi="Arial"/>
                <w:sz w:val="14"/>
                <w:szCs w:val="14"/>
                <w:b w:val="1"/>
                <w:bCs w:val="1"/>
                <w:color w:val="auto"/>
                <w:w w:val="91"/>
              </w:rPr>
              <w:t>Expense Per Share</w:t>
            </w:r>
          </w:p>
        </w:tc>
        <w:tc>
          <w:tcPr>
            <w:tcW w:w="0" w:type="dxa"/>
            <w:vAlign w:val="bottom"/>
          </w:tcPr>
          <w:p>
            <w:pPr>
              <w:spacing w:after="0"/>
              <w:rPr>
                <w:sz w:val="1"/>
                <w:szCs w:val="1"/>
                <w:color w:val="auto"/>
              </w:rPr>
            </w:pP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Arial" w:cs="Arial" w:eastAsia="Arial" w:hAnsi="Arial"/>
                <w:sz w:val="14"/>
                <w:szCs w:val="14"/>
                <w:color w:val="auto"/>
                <w:w w:val="96"/>
              </w:rPr>
              <w:t>Down 1%</w:t>
            </w:r>
          </w:p>
        </w:tc>
        <w:tc>
          <w:tcPr>
            <w:tcW w:w="240" w:type="dxa"/>
            <w:vAlign w:val="bottom"/>
            <w:shd w:val="clear" w:color="auto" w:fill="CCECFF"/>
          </w:tcPr>
          <w:p>
            <w:pPr>
              <w:spacing w:after="0"/>
              <w:rPr>
                <w:sz w:val="14"/>
                <w:szCs w:val="14"/>
                <w:color w:val="auto"/>
              </w:rPr>
            </w:pPr>
          </w:p>
        </w:tc>
        <w:tc>
          <w:tcPr>
            <w:tcW w:w="2840" w:type="dxa"/>
            <w:vAlign w:val="bottom"/>
            <w:tcBorders>
              <w:top w:val="single" w:sz="8" w:color="auto"/>
            </w:tcBorders>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(3,844</w:t>
            </w:r>
          </w:p>
        </w:tc>
        <w:tc>
          <w:tcPr>
            <w:tcW w:w="340" w:type="dxa"/>
            <w:vAlign w:val="bottom"/>
            <w:shd w:val="clear" w:color="auto" w:fill="CCECFF"/>
          </w:tcPr>
          <w:p>
            <w:pPr>
              <w:jc w:val="right"/>
              <w:ind w:right="208"/>
              <w:spacing w:after="0"/>
              <w:rPr>
                <w:sz w:val="20"/>
                <w:szCs w:val="20"/>
                <w:color w:val="auto"/>
              </w:rPr>
            </w:pPr>
            <w:r>
              <w:rPr>
                <w:rFonts w:ascii="Arial" w:cs="Arial" w:eastAsia="Arial" w:hAnsi="Arial"/>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(0.06</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6"/>
        </w:trPr>
        <w:tc>
          <w:tcPr>
            <w:tcW w:w="358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5,449</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40" w:type="dxa"/>
            <w:vAlign w:val="bottom"/>
            <w:shd w:val="clear" w:color="auto" w:fill="CCECFF"/>
          </w:tcPr>
          <w:p>
            <w:pPr>
              <w:spacing w:after="0"/>
              <w:rPr>
                <w:sz w:val="15"/>
                <w:szCs w:val="15"/>
                <w:color w:val="auto"/>
              </w:rPr>
            </w:pPr>
          </w:p>
        </w:tc>
        <w:tc>
          <w:tcPr>
            <w:tcW w:w="284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10,677</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0.16</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15,906</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8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21,134</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Arial" w:cs="Arial" w:eastAsia="Arial" w:hAnsi="Arial"/>
                <w:sz w:val="14"/>
                <w:szCs w:val="14"/>
                <w:color w:val="auto"/>
                <w:w w:val="76"/>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1" w:name="page52"/>
    <w:bookmarkEnd w:id="51"/>
    <w:p>
      <w:pPr>
        <w:jc w:val="both"/>
        <w:ind w:firstLine="449"/>
        <w:spacing w:after="0" w:line="257"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71"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71"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08"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8"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2022 that have materially affected, or are reasonably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PART II –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8" w:lineRule="exact"/>
        <w:rPr>
          <w:sz w:val="20"/>
          <w:szCs w:val="20"/>
          <w:color w:val="auto"/>
        </w:rPr>
      </w:pPr>
    </w:p>
    <w:p>
      <w:pPr>
        <w:jc w:val="both"/>
        <w:ind w:firstLine="449"/>
        <w:spacing w:after="0" w:line="252"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2021 filed on November 17, 2021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74" w:lineRule="exact"/>
        <w:rPr>
          <w:sz w:val="20"/>
          <w:szCs w:val="20"/>
          <w:color w:val="auto"/>
        </w:rPr>
      </w:pPr>
    </w:p>
    <w:p>
      <w:pPr>
        <w:jc w:val="both"/>
        <w:ind w:firstLine="449"/>
        <w:spacing w:after="0" w:line="273" w:lineRule="auto"/>
        <w:rPr>
          <w:sz w:val="20"/>
          <w:szCs w:val="20"/>
          <w:color w:val="auto"/>
        </w:rPr>
      </w:pPr>
      <w:r>
        <w:rPr>
          <w:rFonts w:ascii="Arial" w:cs="Arial" w:eastAsia="Arial" w:hAnsi="Arial"/>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your investment in the Company</w:t>
      </w:r>
      <w:r>
        <w:rPr>
          <w:rFonts w:ascii="Arial" w:cs="Arial" w:eastAsia="Arial" w:hAnsi="Arial"/>
          <w:sz w:val="14"/>
          <w:szCs w:val="14"/>
          <w:color w:val="auto"/>
        </w:rPr>
        <w:t>.</w:t>
      </w:r>
    </w:p>
    <w:p>
      <w:pPr>
        <w:spacing w:after="0" w:line="160"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The ongoing invasion of Ukraine by Russia and related sanctions have increased global political and economic uncertainty. In February 2022, Russia invaded Ukraine and, in response, the United States and many other countries placed economic sanctions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your investment in the Company. Because this is an uncertain and evolving situation, its full impact is unknown at this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Inflation may adversely affect the business, results of operations and financial condition of our portfolio companies.</w:t>
      </w:r>
    </w:p>
    <w:p>
      <w:pPr>
        <w:spacing w:after="0" w:line="204" w:lineRule="exact"/>
        <w:rPr>
          <w:sz w:val="20"/>
          <w:szCs w:val="20"/>
          <w:color w:val="auto"/>
        </w:rPr>
      </w:pPr>
    </w:p>
    <w:p>
      <w:pPr>
        <w:ind w:right="40" w:firstLine="449"/>
        <w:spacing w:after="0" w:line="252" w:lineRule="auto"/>
        <w:rPr>
          <w:sz w:val="20"/>
          <w:szCs w:val="20"/>
          <w:color w:val="auto"/>
        </w:rPr>
      </w:pPr>
      <w:r>
        <w:rPr>
          <w:rFonts w:ascii="Arial" w:cs="Arial" w:eastAsia="Arial" w:hAnsi="Arial"/>
          <w:sz w:val="14"/>
          <w:szCs w:val="14"/>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204" w:lineRule="exact"/>
        <w:rPr>
          <w:sz w:val="20"/>
          <w:szCs w:val="20"/>
          <w:color w:val="auto"/>
        </w:rPr>
      </w:pPr>
    </w:p>
    <w:p>
      <w:pPr>
        <w:jc w:val="both"/>
        <w:ind w:firstLine="449"/>
        <w:spacing w:after="0" w:line="265"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the Company’s total net assets as of the immediately preceding quarter-end.</w:t>
      </w:r>
    </w:p>
    <w:p>
      <w:pPr>
        <w:spacing w:after="0" w:line="169" w:lineRule="exact"/>
        <w:rPr>
          <w:sz w:val="20"/>
          <w:szCs w:val="20"/>
          <w:color w:val="auto"/>
        </w:rPr>
      </w:pPr>
    </w:p>
    <w:p>
      <w:pPr>
        <w:jc w:val="both"/>
        <w:ind w:right="20" w:firstLine="495"/>
        <w:spacing w:after="0" w:line="27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60" w:lineRule="exact"/>
        <w:rPr>
          <w:sz w:val="20"/>
          <w:szCs w:val="20"/>
          <w:color w:val="auto"/>
        </w:rPr>
      </w:pPr>
    </w:p>
    <w:p>
      <w:pPr>
        <w:jc w:val="both"/>
        <w:ind w:firstLine="449"/>
        <w:spacing w:after="0" w:line="257"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71"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3"/>
          <w:szCs w:val="13"/>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65" w:lineRule="exact"/>
        <w:rPr>
          <w:sz w:val="20"/>
          <w:szCs w:val="20"/>
          <w:color w:val="auto"/>
        </w:rPr>
      </w:pPr>
    </w:p>
    <w:p>
      <w:pPr>
        <w:jc w:val="both"/>
        <w:ind w:firstLine="449"/>
        <w:spacing w:after="0" w:line="277" w:lineRule="auto"/>
        <w:rPr>
          <w:sz w:val="20"/>
          <w:szCs w:val="20"/>
          <w:color w:val="auto"/>
        </w:rPr>
      </w:pPr>
      <w:r>
        <w:rPr>
          <w:rFonts w:ascii="Arial" w:cs="Arial" w:eastAsia="Arial" w:hAnsi="Arial"/>
          <w:sz w:val="13"/>
          <w:szCs w:val="13"/>
          <w:color w:val="auto"/>
        </w:rPr>
        <w:t>We are partially dependent on our SBIC Fund for cash distributions to enable us to meet the distribution requirements in order to permit us to be subject to tax as a RIC. In this regard, our SBIC Fund is limited by the SBA regulations governing SBICs from making certain distributions to us that may be necessary to satisfy the requirements to be subject to tax as a RIC. In such a case, we would need to request a waiver of the SBA’s restrictions for our SBIC Fund to make certain distributions to enable us to be subject to tax as a RIC. We cannot assure you that the SBA will grant such waiver, and if our SBIC Fund is unable to obtain a waiver, compliance with the SBA regulations may cause us to incur a corporate-level income tax.</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jc w:val="both"/>
        <w:ind w:firstLine="449"/>
        <w:spacing w:after="0" w:line="265" w:lineRule="auto"/>
        <w:rPr>
          <w:sz w:val="20"/>
          <w:szCs w:val="20"/>
          <w:color w:val="auto"/>
        </w:rPr>
      </w:pPr>
      <w:r>
        <w:rPr>
          <w:rFonts w:ascii="Arial" w:cs="Arial" w:eastAsia="Arial" w:hAnsi="Arial"/>
          <w:sz w:val="13"/>
          <w:szCs w:val="13"/>
          <w:color w:val="auto"/>
        </w:rPr>
        <w:t>We have indebtedness outstanding pursuant to the Truist Credit Facility, 2024 Notes, 2026 Notes, 2026 Notes-2 and SBA debentures and expect in the future to borrow additional amounts under the Truist Credit Facility or other debt securities, subject to market availability, and, may increase the size of the Truist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the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the Truist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jc w:val="both"/>
        <w:ind w:firstLine="495"/>
        <w:spacing w:after="0" w:line="252" w:lineRule="auto"/>
        <w:rPr>
          <w:sz w:val="20"/>
          <w:szCs w:val="20"/>
          <w:color w:val="auto"/>
        </w:rPr>
      </w:pPr>
      <w:r>
        <w:rPr>
          <w:rFonts w:ascii="Arial" w:cs="Arial" w:eastAsia="Arial" w:hAnsi="Arial"/>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 unregistered securities were sold in the quarter ended June 30, 2022.</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24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Repurchases of our common stock under our share repurchase program are as follows:</w:t>
      </w: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Total Number of Shares</w:t>
            </w:r>
          </w:p>
        </w:tc>
        <w:tc>
          <w:tcPr>
            <w:tcW w:w="220" w:type="dxa"/>
            <w:vAlign w:val="bottom"/>
          </w:tcPr>
          <w:p>
            <w:pPr>
              <w:spacing w:after="0"/>
              <w:rPr>
                <w:sz w:val="13"/>
                <w:szCs w:val="13"/>
                <w:color w:val="auto"/>
              </w:rPr>
            </w:pPr>
          </w:p>
        </w:tc>
        <w:tc>
          <w:tcPr>
            <w:tcW w:w="18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4"/>
              </w:rPr>
              <w:t>Approximate Dollar Value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Total Number of 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Average Price per Share</w:t>
            </w:r>
          </w:p>
        </w:tc>
        <w:tc>
          <w:tcPr>
            <w:tcW w:w="240" w:type="dxa"/>
            <w:vAlign w:val="bottom"/>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 Plans</w:t>
            </w:r>
          </w:p>
        </w:tc>
        <w:tc>
          <w:tcPr>
            <w:tcW w:w="220" w:type="dxa"/>
            <w:vAlign w:val="bottom"/>
          </w:tcPr>
          <w:p>
            <w:pPr>
              <w:spacing w:after="0"/>
              <w:rPr>
                <w:sz w:val="12"/>
                <w:szCs w:val="12"/>
                <w:color w:val="auto"/>
              </w:rPr>
            </w:pPr>
          </w:p>
        </w:tc>
        <w:tc>
          <w:tcPr>
            <w:tcW w:w="18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Purchased 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or Programs </w:t>
            </w:r>
            <w:r>
              <w:rPr>
                <w:rFonts w:ascii="Arial" w:cs="Arial" w:eastAsia="Arial" w:hAnsi="Arial"/>
                <w:sz w:val="16"/>
                <w:szCs w:val="16"/>
                <w:b w:val="1"/>
                <w:bCs w:val="1"/>
                <w:color w:val="auto"/>
                <w:w w:val="91"/>
                <w:vertAlign w:val="superscript"/>
              </w:rPr>
              <w:t>(1)</w:t>
            </w:r>
          </w:p>
        </w:tc>
        <w:tc>
          <w:tcPr>
            <w:tcW w:w="220" w:type="dxa"/>
            <w:vAlign w:val="bottom"/>
          </w:tcPr>
          <w:p>
            <w:pPr>
              <w:spacing w:after="0"/>
              <w:rPr>
                <w:sz w:val="16"/>
                <w:szCs w:val="16"/>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or Programs (in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180" w:type="dxa"/>
            <w:vAlign w:val="bottom"/>
          </w:tcPr>
          <w:p>
            <w:pPr>
              <w:ind w:left="20"/>
              <w:spacing w:after="0"/>
              <w:rPr>
                <w:sz w:val="20"/>
                <w:szCs w:val="20"/>
                <w:color w:val="auto"/>
              </w:rPr>
            </w:pPr>
            <w:r>
              <w:rPr>
                <w:rFonts w:ascii="Arial" w:cs="Arial" w:eastAsia="Arial" w:hAnsi="Arial"/>
                <w:sz w:val="14"/>
                <w:szCs w:val="14"/>
                <w:color w:val="auto"/>
              </w:rPr>
              <w:t>January 1, 2022 through March 31, 2022</w:t>
            </w:r>
          </w:p>
        </w:tc>
        <w:tc>
          <w:tcPr>
            <w:tcW w:w="1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913,454</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7.72</w:t>
            </w:r>
          </w:p>
        </w:tc>
        <w:tc>
          <w:tcPr>
            <w:tcW w:w="2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913,454</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17,944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4"/>
                <w:szCs w:val="14"/>
                <w:color w:val="auto"/>
              </w:rPr>
              <w:t>April 1, 2022 through June 30, 2022</w:t>
            </w:r>
          </w:p>
        </w:tc>
        <w:tc>
          <w:tcPr>
            <w:tcW w:w="140" w:type="dxa"/>
            <w:vAlign w:val="bottom"/>
            <w:tcBorders>
              <w:bottom w:val="single" w:sz="8" w:color="CCECFF"/>
            </w:tcBorders>
            <w:shd w:val="clear" w:color="auto" w:fill="CCECFF"/>
          </w:tcPr>
          <w:p>
            <w:pPr>
              <w:spacing w:after="0"/>
              <w:rPr>
                <w:sz w:val="15"/>
                <w:szCs w:val="15"/>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717,709</w:t>
            </w:r>
          </w:p>
        </w:tc>
        <w:tc>
          <w:tcPr>
            <w:tcW w:w="24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6.91</w:t>
            </w:r>
          </w:p>
        </w:tc>
        <w:tc>
          <w:tcPr>
            <w:tcW w:w="19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4"/>
                <w:szCs w:val="14"/>
                <w:color w:val="auto"/>
              </w:rPr>
              <w:t>1,631,163</w:t>
            </w:r>
          </w:p>
        </w:tc>
        <w:tc>
          <w:tcPr>
            <w:tcW w:w="34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4"/>
                <w:szCs w:val="14"/>
                <w:color w:val="auto"/>
              </w:rPr>
              <w:t>12,986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rPr>
                <w:sz w:val="20"/>
                <w:szCs w:val="20"/>
                <w:color w:val="auto"/>
              </w:rPr>
            </w:pPr>
            <w:r>
              <w:rPr>
                <w:rFonts w:ascii="Arial" w:cs="Arial" w:eastAsia="Arial" w:hAnsi="Arial"/>
                <w:sz w:val="14"/>
                <w:szCs w:val="14"/>
                <w:color w:val="auto"/>
              </w:rPr>
              <w:t>Total investments</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1,631,163</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7.37</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-120650</wp:posOffset>
            </wp:positionV>
            <wp:extent cx="77470"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-120650</wp:posOffset>
            </wp:positionV>
            <wp:extent cx="6858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-3810</wp:posOffset>
            </wp:positionV>
            <wp:extent cx="241744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28" w:lineRule="auto"/>
        <w:rPr>
          <w:sz w:val="20"/>
          <w:szCs w:val="20"/>
          <w:color w:val="auto"/>
        </w:rPr>
      </w:pPr>
      <w:r>
        <w:rPr>
          <w:rFonts w:ascii="Arial" w:cs="Arial" w:eastAsia="Arial" w:hAnsi="Arial"/>
          <w:sz w:val="14"/>
          <w:szCs w:val="14"/>
          <w:b w:val="1"/>
          <w:bCs w:val="1"/>
          <w:color w:val="auto"/>
        </w:rPr>
        <w:t>—————————</w:t>
      </w:r>
    </w:p>
    <w:p>
      <w:pPr>
        <w:spacing w:after="0" w:line="1" w:lineRule="exact"/>
        <w:rPr>
          <w:sz w:val="20"/>
          <w:szCs w:val="20"/>
          <w:color w:val="auto"/>
        </w:rPr>
      </w:pPr>
    </w:p>
    <w:p>
      <w:pPr>
        <w:ind w:left="360" w:right="220" w:hanging="339"/>
        <w:spacing w:after="0" w:line="224" w:lineRule="auto"/>
        <w:tabs>
          <w:tab w:leader="none" w:pos="3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On February 9, 2022, we announced a share repurchase program which allows us to repurchase up to $25.0 million of our outstanding commons stock. Unless extended by our board of directors, the program will expire on the earlier off March 31, 2023 and the repurchase of $25.0 million of common stock.</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Item 6. 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0820" w:type="dxa"/>
            <w:vAlign w:val="bottom"/>
            <w:gridSpan w:val="18"/>
          </w:tcPr>
          <w:p>
            <w:pPr>
              <w:ind w:left="6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tc>
      </w:tr>
      <w:tr>
        <w:trPr>
          <w:trHeight w:val="350"/>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10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4"/>
                <w:szCs w:val="14"/>
                <w:color w:val="0000FF"/>
                <w:w w:val="95"/>
              </w:rPr>
            </w:pPr>
            <w:hyperlink r:id="rId638">
              <w:r>
                <w:rPr>
                  <w:rFonts w:ascii="Arial" w:cs="Arial" w:eastAsia="Arial" w:hAnsi="Arial"/>
                  <w:sz w:val="14"/>
                  <w:szCs w:val="14"/>
                  <w:color w:val="0000FF"/>
                  <w:w w:val="95"/>
                </w:rPr>
                <w:t>Articles of Incorporation (Incorporated by reference to Exhibit 99(a) to the Registrant’s Pre-Effective Amendment No. 3 to the Registration Statement on Form N-2/A</w:t>
              </w:r>
            </w:hyperlink>
          </w:p>
        </w:tc>
      </w:tr>
      <w:tr>
        <w:trPr>
          <w:trHeight w:val="128"/>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w w:val="95"/>
              </w:rPr>
            </w:pPr>
            <w:hyperlink r:id="rId638">
              <w:r>
                <w:rPr>
                  <w:rFonts w:ascii="Arial" w:cs="Arial" w:eastAsia="Arial" w:hAnsi="Arial"/>
                  <w:sz w:val="14"/>
                  <w:szCs w:val="14"/>
                  <w:color w:val="0000FF"/>
                  <w:w w:val="95"/>
                </w:rPr>
                <w:t>(File No. 333-140092), filed on April 5, 2007).</w:t>
              </w:r>
            </w:hyperlink>
          </w:p>
        </w:tc>
        <w:tc>
          <w:tcPr>
            <w:tcW w:w="690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31"/>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10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4"/>
                <w:szCs w:val="14"/>
                <w:color w:val="0000FF"/>
                <w:w w:val="96"/>
              </w:rPr>
            </w:pPr>
            <w:hyperlink r:id="rId639">
              <w:r>
                <w:rPr>
                  <w:rFonts w:ascii="Arial" w:cs="Arial" w:eastAsia="Arial" w:hAnsi="Arial"/>
                  <w:sz w:val="14"/>
                  <w:szCs w:val="14"/>
                  <w:color w:val="0000FF"/>
                  <w:w w:val="96"/>
                </w:rPr>
                <w:t>Second Amended and Restated Bylaws of the Registrant (Incorporated by reference to Exhibit 3.2 to the Registrant's Quarterly Report on Form 10-Q (File No. 814-</w:t>
              </w:r>
            </w:hyperlink>
          </w:p>
        </w:tc>
      </w:tr>
      <w:tr>
        <w:trPr>
          <w:trHeight w:val="129"/>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3"/>
              </w:rPr>
            </w:pPr>
            <w:hyperlink r:id="rId639">
              <w:r>
                <w:rPr>
                  <w:rFonts w:ascii="Arial" w:cs="Arial" w:eastAsia="Arial" w:hAnsi="Arial"/>
                  <w:sz w:val="14"/>
                  <w:szCs w:val="14"/>
                  <w:color w:val="0000FF"/>
                  <w:w w:val="93"/>
                </w:rPr>
                <w:t>00736)</w:t>
              </w:r>
              <w:r>
                <w:rPr>
                  <w:rFonts w:ascii="Arial" w:cs="Arial" w:eastAsia="Arial" w:hAnsi="Arial"/>
                  <w:sz w:val="14"/>
                  <w:szCs w:val="14"/>
                  <w:u w:val="single" w:color="auto"/>
                  <w:color w:val="0000FF"/>
                  <w:w w:val="93"/>
                </w:rPr>
                <w:t>,</w:t>
              </w:r>
              <w:r>
                <w:rPr>
                  <w:rFonts w:ascii="Arial" w:cs="Arial" w:eastAsia="Arial" w:hAnsi="Arial"/>
                  <w:sz w:val="14"/>
                  <w:szCs w:val="14"/>
                  <w:color w:val="0000FF"/>
                  <w:w w:val="93"/>
                </w:rPr>
                <w:t xml:space="preserve"> filed on May 11, 2020).</w:t>
              </w:r>
            </w:hyperlink>
          </w:p>
        </w:tc>
        <w:tc>
          <w:tcPr>
            <w:tcW w:w="7620" w:type="dxa"/>
            <w:vAlign w:val="bottom"/>
            <w:tcBorders>
              <w:top w:val="single" w:sz="8" w:color="0000FF"/>
            </w:tcBorders>
            <w:gridSpan w:val="9"/>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r>
      <w:tr>
        <w:trPr>
          <w:trHeight w:val="331"/>
        </w:trPr>
        <w:tc>
          <w:tcPr>
            <w:tcW w:w="3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10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4"/>
                <w:szCs w:val="14"/>
                <w:color w:val="0000FF"/>
                <w:w w:val="94"/>
              </w:rPr>
            </w:pPr>
            <w:hyperlink r:id="rId640">
              <w:r>
                <w:rPr>
                  <w:rFonts w:ascii="Arial" w:cs="Arial" w:eastAsia="Arial" w:hAnsi="Arial"/>
                  <w:sz w:val="14"/>
                  <w:szCs w:val="14"/>
                  <w:color w:val="0000FF"/>
                  <w:w w:val="94"/>
                </w:rPr>
                <w:t>Form of Share Certificate (Incorporated by reference to Exhibit 99(d)(1) to the Registrant’s Registration Statement on Form N-2 (File No. 333-150033), filed on April 2,</w:t>
              </w:r>
            </w:hyperlink>
          </w:p>
        </w:tc>
      </w:tr>
      <w:tr>
        <w:trPr>
          <w:trHeight w:val="128"/>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Borders>
              <w:bottom w:val="single" w:sz="8" w:color="0000FF"/>
            </w:tcBorders>
          </w:tcPr>
          <w:p>
            <w:pPr>
              <w:spacing w:after="0" w:line="129" w:lineRule="exact"/>
              <w:rPr>
                <w:rFonts w:ascii="Arial" w:cs="Arial" w:eastAsia="Arial" w:hAnsi="Arial"/>
                <w:sz w:val="14"/>
                <w:szCs w:val="14"/>
                <w:color w:val="0000FF"/>
                <w:w w:val="85"/>
              </w:rPr>
            </w:pPr>
            <w:hyperlink r:id="rId640">
              <w:r>
                <w:rPr>
                  <w:rFonts w:ascii="Arial" w:cs="Arial" w:eastAsia="Arial" w:hAnsi="Arial"/>
                  <w:sz w:val="14"/>
                  <w:szCs w:val="14"/>
                  <w:color w:val="0000FF"/>
                  <w:w w:val="85"/>
                </w:rPr>
                <w:t>2008).</w:t>
              </w:r>
            </w:hyperlink>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10.1*</w:t>
            </w:r>
          </w:p>
        </w:tc>
        <w:tc>
          <w:tcPr>
            <w:tcW w:w="1100" w:type="dxa"/>
            <w:vAlign w:val="bottom"/>
          </w:tcPr>
          <w:p>
            <w:pPr>
              <w:spacing w:after="0"/>
              <w:rPr>
                <w:sz w:val="24"/>
                <w:szCs w:val="24"/>
                <w:color w:val="auto"/>
              </w:rPr>
            </w:pPr>
          </w:p>
        </w:tc>
        <w:tc>
          <w:tcPr>
            <w:tcW w:w="8360" w:type="dxa"/>
            <w:vAlign w:val="bottom"/>
            <w:tcBorders>
              <w:bottom w:val="single" w:sz="8" w:color="0000FF"/>
            </w:tcBorders>
            <w:gridSpan w:val="11"/>
          </w:tcPr>
          <w:p>
            <w:pPr>
              <w:spacing w:after="0"/>
              <w:rPr>
                <w:rFonts w:ascii="Arial" w:cs="Arial" w:eastAsia="Arial" w:hAnsi="Arial"/>
                <w:sz w:val="14"/>
                <w:szCs w:val="14"/>
                <w:color w:val="0000FF"/>
                <w:w w:val="93"/>
              </w:rPr>
            </w:pPr>
            <w:hyperlink w:anchor="page57">
              <w:r>
                <w:rPr>
                  <w:rFonts w:ascii="Arial" w:cs="Arial" w:eastAsia="Arial" w:hAnsi="Arial"/>
                  <w:sz w:val="14"/>
                  <w:szCs w:val="14"/>
                  <w:color w:val="0000FF"/>
                  <w:w w:val="93"/>
                </w:rPr>
                <w:t>Amended and Restated Administration Agreement between the Registrant and PennantPark Investment Administration LLC , Dated July 1, 2022</w:t>
              </w:r>
            </w:hyperlink>
          </w:p>
        </w:tc>
        <w:tc>
          <w:tcPr>
            <w:tcW w:w="1360" w:type="dxa"/>
            <w:vAlign w:val="bottom"/>
            <w:gridSpan w:val="6"/>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10.2*</w:t>
            </w:r>
          </w:p>
        </w:tc>
        <w:tc>
          <w:tcPr>
            <w:tcW w:w="110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4"/>
                <w:szCs w:val="14"/>
                <w:color w:val="0000FF"/>
                <w:w w:val="93"/>
              </w:rPr>
            </w:pPr>
            <w:hyperlink w:anchor="page63">
              <w:r>
                <w:rPr>
                  <w:rFonts w:ascii="Arial" w:cs="Arial" w:eastAsia="Arial" w:hAnsi="Arial"/>
                  <w:sz w:val="14"/>
                  <w:szCs w:val="14"/>
                  <w:color w:val="0000FF"/>
                  <w:w w:val="93"/>
                </w:rPr>
                <w:t>Fifth Amendment ("Fifth Amendment") to Second Amended and Restated Senior Secured Revolving Credit Agreement and Second Amended and Restated Guarantee</w:t>
              </w:r>
            </w:hyperlink>
          </w:p>
        </w:tc>
      </w:tr>
      <w:tr>
        <w:trPr>
          <w:trHeight w:val="128"/>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620" w:type="dxa"/>
            <w:vAlign w:val="bottom"/>
            <w:tcBorders>
              <w:top w:val="single" w:sz="8" w:color="0000FF"/>
            </w:tcBorders>
            <w:gridSpan w:val="16"/>
          </w:tcPr>
          <w:p>
            <w:pPr>
              <w:spacing w:after="0" w:line="129" w:lineRule="exact"/>
              <w:rPr>
                <w:rFonts w:ascii="Arial" w:cs="Arial" w:eastAsia="Arial" w:hAnsi="Arial"/>
                <w:sz w:val="14"/>
                <w:szCs w:val="14"/>
                <w:color w:val="0000FF"/>
                <w:w w:val="94"/>
              </w:rPr>
            </w:pPr>
            <w:hyperlink w:anchor="page63">
              <w:r>
                <w:rPr>
                  <w:rFonts w:ascii="Arial" w:cs="Arial" w:eastAsia="Arial" w:hAnsi="Arial"/>
                  <w:sz w:val="14"/>
                  <w:szCs w:val="14"/>
                  <w:color w:val="0000FF"/>
                  <w:w w:val="94"/>
                </w:rPr>
                <w:t>and Security Agreement, dated as of July 29, 2022, among the Registrant, the lenders party thereto and Truist Bank, as administrative agent for the lenders ("Credit</w:t>
              </w:r>
            </w:hyperlink>
          </w:p>
        </w:tc>
        <w:tc>
          <w:tcPr>
            <w:tcW w:w="100" w:type="dxa"/>
            <w:vAlign w:val="bottom"/>
          </w:tcPr>
          <w:p>
            <w:pPr>
              <w:spacing w:after="0"/>
              <w:rPr>
                <w:sz w:val="11"/>
                <w:szCs w:val="11"/>
                <w:color w:val="auto"/>
              </w:rPr>
            </w:pPr>
          </w:p>
        </w:tc>
      </w:tr>
      <w:tr>
        <w:trPr>
          <w:trHeight w:val="128"/>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Borders>
              <w:top w:val="single" w:sz="8" w:color="0000FF"/>
              <w:bottom w:val="single" w:sz="8" w:color="0000FF"/>
            </w:tcBorders>
            <w:gridSpan w:val="3"/>
          </w:tcPr>
          <w:p>
            <w:pPr>
              <w:spacing w:after="0" w:line="129" w:lineRule="exact"/>
              <w:rPr>
                <w:rFonts w:ascii="Arial" w:cs="Arial" w:eastAsia="Arial" w:hAnsi="Arial"/>
                <w:sz w:val="14"/>
                <w:szCs w:val="14"/>
                <w:color w:val="0000FF"/>
                <w:w w:val="92"/>
              </w:rPr>
            </w:pPr>
            <w:hyperlink w:anchor="page63">
              <w:r>
                <w:rPr>
                  <w:rFonts w:ascii="Arial" w:cs="Arial" w:eastAsia="Arial" w:hAnsi="Arial"/>
                  <w:sz w:val="14"/>
                  <w:szCs w:val="14"/>
                  <w:color w:val="0000FF"/>
                  <w:w w:val="92"/>
                </w:rPr>
                <w:t>Agreement")</w:t>
              </w:r>
            </w:hyperlink>
          </w:p>
        </w:tc>
        <w:tc>
          <w:tcPr>
            <w:tcW w:w="8700" w:type="dxa"/>
            <w:vAlign w:val="bottom"/>
            <w:tcBorders>
              <w:top w:val="single" w:sz="8" w:color="0000FF"/>
            </w:tcBorders>
            <w:gridSpan w:val="9"/>
          </w:tcPr>
          <w:p>
            <w:pPr>
              <w:spacing w:after="0"/>
              <w:rPr>
                <w:sz w:val="11"/>
                <w:szCs w:val="11"/>
                <w:color w:val="auto"/>
              </w:rPr>
            </w:pPr>
          </w:p>
        </w:tc>
        <w:tc>
          <w:tcPr>
            <w:tcW w:w="140" w:type="dxa"/>
            <w:vAlign w:val="bottom"/>
            <w:gridSpan w:val="2"/>
          </w:tcPr>
          <w:p>
            <w:pPr>
              <w:spacing w:after="0"/>
              <w:rPr>
                <w:sz w:val="11"/>
                <w:szCs w:val="11"/>
                <w:color w:val="auto"/>
              </w:rPr>
            </w:pPr>
          </w:p>
        </w:tc>
        <w:tc>
          <w:tcPr>
            <w:tcW w:w="140" w:type="dxa"/>
            <w:vAlign w:val="bottom"/>
            <w:gridSpan w:val="3"/>
          </w:tcPr>
          <w:p>
            <w:pPr>
              <w:spacing w:after="0"/>
              <w:rPr>
                <w:sz w:val="11"/>
                <w:szCs w:val="11"/>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10.3*</w:t>
            </w:r>
          </w:p>
        </w:tc>
        <w:tc>
          <w:tcPr>
            <w:tcW w:w="1100" w:type="dxa"/>
            <w:vAlign w:val="bottom"/>
          </w:tcPr>
          <w:p>
            <w:pPr>
              <w:spacing w:after="0"/>
              <w:rPr>
                <w:sz w:val="24"/>
                <w:szCs w:val="24"/>
                <w:color w:val="auto"/>
              </w:rPr>
            </w:pPr>
          </w:p>
        </w:tc>
        <w:tc>
          <w:tcPr>
            <w:tcW w:w="3440" w:type="dxa"/>
            <w:vAlign w:val="bottom"/>
            <w:tcBorders>
              <w:bottom w:val="single" w:sz="8" w:color="0000FF"/>
            </w:tcBorders>
            <w:gridSpan w:val="6"/>
          </w:tcPr>
          <w:p>
            <w:pPr>
              <w:spacing w:after="0"/>
              <w:rPr>
                <w:rFonts w:ascii="Arial" w:cs="Arial" w:eastAsia="Arial" w:hAnsi="Arial"/>
                <w:sz w:val="14"/>
                <w:szCs w:val="14"/>
                <w:color w:val="0000FF"/>
                <w:w w:val="95"/>
              </w:rPr>
            </w:pPr>
            <w:hyperlink w:anchor="page73">
              <w:r>
                <w:rPr>
                  <w:rFonts w:ascii="Arial" w:cs="Arial" w:eastAsia="Arial" w:hAnsi="Arial"/>
                  <w:sz w:val="14"/>
                  <w:szCs w:val="14"/>
                  <w:color w:val="0000FF"/>
                  <w:w w:val="95"/>
                </w:rPr>
                <w:t>Form of Credit Agreement (Exhibit A to Fifth Amendment)</w:t>
              </w:r>
            </w:hyperlink>
          </w:p>
        </w:tc>
        <w:tc>
          <w:tcPr>
            <w:tcW w:w="6280" w:type="dxa"/>
            <w:vAlign w:val="bottom"/>
            <w:gridSpan w:val="11"/>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31.1*</w:t>
            </w:r>
          </w:p>
        </w:tc>
        <w:tc>
          <w:tcPr>
            <w:tcW w:w="1100" w:type="dxa"/>
            <w:vAlign w:val="bottom"/>
          </w:tcPr>
          <w:p>
            <w:pPr>
              <w:spacing w:after="0"/>
              <w:rPr>
                <w:sz w:val="24"/>
                <w:szCs w:val="24"/>
                <w:color w:val="auto"/>
              </w:rPr>
            </w:pPr>
          </w:p>
        </w:tc>
        <w:tc>
          <w:tcPr>
            <w:tcW w:w="6800" w:type="dxa"/>
            <w:vAlign w:val="bottom"/>
            <w:tcBorders>
              <w:bottom w:val="single" w:sz="8" w:color="0000FF"/>
            </w:tcBorders>
            <w:gridSpan w:val="10"/>
          </w:tcPr>
          <w:p>
            <w:pPr>
              <w:spacing w:after="0"/>
              <w:rPr>
                <w:rFonts w:ascii="Arial" w:cs="Arial" w:eastAsia="Arial" w:hAnsi="Arial"/>
                <w:sz w:val="14"/>
                <w:szCs w:val="14"/>
                <w:color w:val="0000FF"/>
                <w:w w:val="93"/>
              </w:rPr>
            </w:pPr>
            <w:hyperlink w:anchor="page233">
              <w:r>
                <w:rPr>
                  <w:rFonts w:ascii="Arial" w:cs="Arial" w:eastAsia="Arial" w:hAnsi="Arial"/>
                  <w:sz w:val="14"/>
                  <w:szCs w:val="14"/>
                  <w:color w:val="0000FF"/>
                  <w:w w:val="93"/>
                </w:rPr>
                <w:t>Certification of Chief Executive Officer pursuant to Rule 13a-14 of the Securities Exchange Act of 1934, as amended.</w:t>
              </w:r>
            </w:hyperlink>
          </w:p>
        </w:tc>
        <w:tc>
          <w:tcPr>
            <w:tcW w:w="2920" w:type="dxa"/>
            <w:vAlign w:val="bottom"/>
            <w:gridSpan w:val="7"/>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31.2*</w:t>
            </w:r>
          </w:p>
        </w:tc>
        <w:tc>
          <w:tcPr>
            <w:tcW w:w="1100" w:type="dxa"/>
            <w:vAlign w:val="bottom"/>
          </w:tcPr>
          <w:p>
            <w:pPr>
              <w:spacing w:after="0"/>
              <w:rPr>
                <w:sz w:val="24"/>
                <w:szCs w:val="24"/>
                <w:color w:val="auto"/>
              </w:rPr>
            </w:pPr>
          </w:p>
        </w:tc>
        <w:tc>
          <w:tcPr>
            <w:tcW w:w="676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234">
              <w:r>
                <w:rPr>
                  <w:rFonts w:ascii="Arial" w:cs="Arial" w:eastAsia="Arial" w:hAnsi="Arial"/>
                  <w:sz w:val="14"/>
                  <w:szCs w:val="14"/>
                  <w:color w:val="0000FF"/>
                  <w:w w:val="93"/>
                </w:rPr>
                <w:t>Certification of Chief Financial Officer pursuant to Rule 13a-14 of the Securities Exchange Act of 1934, as amended.</w:t>
              </w:r>
            </w:hyperlink>
          </w:p>
        </w:tc>
        <w:tc>
          <w:tcPr>
            <w:tcW w:w="2960" w:type="dxa"/>
            <w:vAlign w:val="bottom"/>
            <w:gridSpan w:val="8"/>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32.1*</w:t>
            </w:r>
          </w:p>
        </w:tc>
        <w:tc>
          <w:tcPr>
            <w:tcW w:w="1100" w:type="dxa"/>
            <w:vAlign w:val="bottom"/>
          </w:tcPr>
          <w:p>
            <w:pPr>
              <w:spacing w:after="0"/>
              <w:rPr>
                <w:sz w:val="24"/>
                <w:szCs w:val="24"/>
                <w:color w:val="auto"/>
              </w:rPr>
            </w:pPr>
          </w:p>
        </w:tc>
        <w:tc>
          <w:tcPr>
            <w:tcW w:w="5780" w:type="dxa"/>
            <w:vAlign w:val="bottom"/>
            <w:tcBorders>
              <w:bottom w:val="single" w:sz="8" w:color="0000FF"/>
            </w:tcBorders>
            <w:gridSpan w:val="8"/>
          </w:tcPr>
          <w:p>
            <w:pPr>
              <w:spacing w:after="0"/>
              <w:rPr>
                <w:rFonts w:ascii="Arial" w:cs="Arial" w:eastAsia="Arial" w:hAnsi="Arial"/>
                <w:sz w:val="14"/>
                <w:szCs w:val="14"/>
                <w:color w:val="0000FF"/>
                <w:w w:val="94"/>
              </w:rPr>
            </w:pPr>
            <w:hyperlink w:anchor="page235">
              <w:r>
                <w:rPr>
                  <w:rFonts w:ascii="Arial" w:cs="Arial" w:eastAsia="Arial" w:hAnsi="Arial"/>
                  <w:sz w:val="14"/>
                  <w:szCs w:val="14"/>
                  <w:color w:val="0000FF"/>
                  <w:w w:val="94"/>
                </w:rPr>
                <w:t>Certification of Chief Executive Officer pursuant to Section 906 of the Sarbanes-Oxley Act of 2002.</w:t>
              </w:r>
            </w:hyperlink>
          </w:p>
        </w:tc>
        <w:tc>
          <w:tcPr>
            <w:tcW w:w="3940" w:type="dxa"/>
            <w:vAlign w:val="bottom"/>
            <w:gridSpan w:val="9"/>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Arial" w:cs="Arial" w:eastAsia="Arial" w:hAnsi="Arial"/>
                <w:sz w:val="14"/>
                <w:szCs w:val="14"/>
                <w:color w:val="auto"/>
                <w:w w:val="91"/>
              </w:rPr>
              <w:t>32.2*</w:t>
            </w:r>
          </w:p>
        </w:tc>
        <w:tc>
          <w:tcPr>
            <w:tcW w:w="1100" w:type="dxa"/>
            <w:vAlign w:val="bottom"/>
          </w:tcPr>
          <w:p>
            <w:pPr>
              <w:spacing w:after="0"/>
              <w:rPr>
                <w:sz w:val="24"/>
                <w:szCs w:val="24"/>
                <w:color w:val="auto"/>
              </w:rPr>
            </w:pPr>
          </w:p>
        </w:tc>
        <w:tc>
          <w:tcPr>
            <w:tcW w:w="5740" w:type="dxa"/>
            <w:vAlign w:val="bottom"/>
            <w:tcBorders>
              <w:bottom w:val="single" w:sz="8" w:color="0000FF"/>
            </w:tcBorders>
            <w:gridSpan w:val="7"/>
          </w:tcPr>
          <w:p>
            <w:pPr>
              <w:spacing w:after="0"/>
              <w:rPr>
                <w:rFonts w:ascii="Arial" w:cs="Arial" w:eastAsia="Arial" w:hAnsi="Arial"/>
                <w:sz w:val="14"/>
                <w:szCs w:val="14"/>
                <w:color w:val="0000FF"/>
                <w:w w:val="94"/>
              </w:rPr>
            </w:pPr>
            <w:hyperlink w:anchor="page236">
              <w:r>
                <w:rPr>
                  <w:rFonts w:ascii="Arial" w:cs="Arial" w:eastAsia="Arial" w:hAnsi="Arial"/>
                  <w:sz w:val="14"/>
                  <w:szCs w:val="14"/>
                  <w:color w:val="0000FF"/>
                  <w:w w:val="94"/>
                </w:rPr>
                <w:t>Certification of Chief Financial Officer pursuant to Section 906 of the Sarbanes-Oxley Act of 2002.</w:t>
              </w:r>
            </w:hyperlink>
          </w:p>
        </w:tc>
        <w:tc>
          <w:tcPr>
            <w:tcW w:w="3980" w:type="dxa"/>
            <w:vAlign w:val="bottom"/>
            <w:gridSpan w:val="10"/>
          </w:tcPr>
          <w:p>
            <w:pPr>
              <w:spacing w:after="0"/>
              <w:rPr>
                <w:sz w:val="24"/>
                <w:szCs w:val="24"/>
                <w:color w:val="auto"/>
              </w:rPr>
            </w:pPr>
          </w:p>
        </w:tc>
      </w:tr>
      <w:tr>
        <w:trPr>
          <w:trHeight w:val="331"/>
        </w:trPr>
        <w:tc>
          <w:tcPr>
            <w:tcW w:w="380" w:type="dxa"/>
            <w:vAlign w:val="bottom"/>
          </w:tcPr>
          <w:p>
            <w:pPr>
              <w:jc w:val="right"/>
              <w:ind w:right="48"/>
              <w:spacing w:after="0"/>
              <w:rPr>
                <w:sz w:val="20"/>
                <w:szCs w:val="20"/>
                <w:color w:val="auto"/>
              </w:rPr>
            </w:pPr>
            <w:r>
              <w:rPr>
                <w:rFonts w:ascii="Arial" w:cs="Arial" w:eastAsia="Arial" w:hAnsi="Arial"/>
                <w:sz w:val="14"/>
                <w:szCs w:val="14"/>
                <w:color w:val="auto"/>
                <w:w w:val="87"/>
              </w:rPr>
              <w:t>99.1</w:t>
            </w:r>
          </w:p>
        </w:tc>
        <w:tc>
          <w:tcPr>
            <w:tcW w:w="110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4"/>
                <w:szCs w:val="14"/>
                <w:color w:val="0000FF"/>
                <w:w w:val="96"/>
              </w:rPr>
            </w:pPr>
            <w:hyperlink r:id="rId641">
              <w:r>
                <w:rPr>
                  <w:rFonts w:ascii="Arial" w:cs="Arial" w:eastAsia="Arial" w:hAnsi="Arial"/>
                  <w:sz w:val="14"/>
                  <w:szCs w:val="14"/>
                  <w:color w:val="0000FF"/>
                  <w:w w:val="96"/>
                </w:rPr>
                <w:t>Privacy Policy of the Registrant (Incorporated by reference to Exhibit 99.1 to the Registrant’s Annual Report on Form 10-K (File No. 814-00736), filed on November</w:t>
              </w:r>
            </w:hyperlink>
          </w:p>
        </w:tc>
      </w:tr>
      <w:tr>
        <w:trPr>
          <w:trHeight w:val="128"/>
        </w:trPr>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88"/>
              </w:rPr>
            </w:pPr>
            <w:hyperlink r:id="rId641">
              <w:r>
                <w:rPr>
                  <w:rFonts w:ascii="Arial" w:cs="Arial" w:eastAsia="Arial" w:hAnsi="Arial"/>
                  <w:sz w:val="14"/>
                  <w:szCs w:val="14"/>
                  <w:color w:val="0000FF"/>
                  <w:w w:val="88"/>
                </w:rPr>
                <w:t>16, 2011).</w:t>
              </w:r>
            </w:hyperlink>
          </w:p>
        </w:tc>
        <w:tc>
          <w:tcPr>
            <w:tcW w:w="16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86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23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9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560" w:type="dxa"/>
            <w:vAlign w:val="bottom"/>
            <w:tcBorders>
              <w:top w:val="single" w:sz="8" w:color="0000FF"/>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00" w:lineRule="exact"/>
        <w:rPr>
          <w:sz w:val="20"/>
          <w:szCs w:val="20"/>
          <w:color w:val="auto"/>
        </w:rPr>
      </w:pPr>
    </w:p>
    <w:p>
      <w:pPr>
        <w:spacing w:after="0" w:line="210" w:lineRule="exact"/>
        <w:rPr>
          <w:sz w:val="20"/>
          <w:szCs w:val="20"/>
          <w:color w:val="auto"/>
        </w:rPr>
      </w:pPr>
    </w:p>
    <w:p>
      <w:pPr>
        <w:ind w:firstLine="449"/>
        <w:spacing w:after="0" w:line="27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319" w:right="3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August 3, 2022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4"/>
          <w:szCs w:val="14"/>
          <w:color w:val="auto"/>
        </w:rPr>
        <w:t>August 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PENNANTPARK INVESTMENT CORPORATION</w:t>
      </w:r>
    </w:p>
    <w:p>
      <w:pPr>
        <w:spacing w:after="0" w:line="23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12700</wp:posOffset>
            </wp:positionV>
            <wp:extent cx="334327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Arthur H. Penn</w:t>
      </w:r>
    </w:p>
    <w:p>
      <w:pPr>
        <w:spacing w:after="0" w:line="25"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21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12700</wp:posOffset>
            </wp:positionV>
            <wp:extent cx="334327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4"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Richard T. Allorto, Jr.</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3">
            <w:col w:w="4820" w:space="720"/>
            <w:col w:w="380" w:space="720"/>
            <w:col w:w="4580"/>
          </w:cols>
          <w:pgMar w:left="320" w:top="319" w:right="359" w:bottom="1440" w:gutter="0" w:footer="0" w:header="0"/>
          <w:type w:val="continuous"/>
        </w:sectPr>
      </w:pP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 ADMINISTRATION AGREEMENT</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AGREEMENT (this “Agreement”) made as of July 1, 2022 by and between PennantPark Investment Corporation, a Maryland corporation (hereinafter referred to as the “Corporation”), and PennantPark Investment Administration, LLC, a Delaware limited liability company, (hereinafter referred to as the “Administrator”).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12"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WHEREAS, the Corporation is a closed-end non-diversified management investment company that has filed a notice with the Securities and Exchange Commission that it intends to elect to treated as a business development company under the Investment Company Act of 1940, as amended (hereinafter referred to as the “1940 Act”);</w:t>
      </w:r>
    </w:p>
    <w:p>
      <w:pPr>
        <w:spacing w:after="0" w:line="186" w:lineRule="exact"/>
        <w:rPr>
          <w:sz w:val="20"/>
          <w:szCs w:val="20"/>
          <w:color w:val="auto"/>
        </w:rPr>
      </w:pPr>
    </w:p>
    <w:p>
      <w:pPr>
        <w:jc w:val="both"/>
        <w:ind w:firstLine="509"/>
        <w:spacing w:after="0" w:line="328" w:lineRule="auto"/>
        <w:rPr>
          <w:sz w:val="20"/>
          <w:szCs w:val="20"/>
          <w:color w:val="auto"/>
        </w:rPr>
      </w:pPr>
      <w:r>
        <w:rPr>
          <w:rFonts w:ascii="Arial" w:cs="Arial" w:eastAsia="Arial" w:hAnsi="Arial"/>
          <w:sz w:val="19"/>
          <w:szCs w:val="19"/>
          <w:color w:val="auto"/>
        </w:rPr>
        <w:t>WHEREAS, the Corporation has engaged the Administrator to provide administrative services to the Corporation under that Administration Agreement, most recently re-approved by the Board of Directors of the Corporation in February 2022; and</w:t>
      </w:r>
    </w:p>
    <w:p>
      <w:pPr>
        <w:spacing w:after="0" w:line="105"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22"/>
          <w:szCs w:val="22"/>
          <w:color w:val="auto"/>
        </w:rPr>
        <w:t>WHEREAS, the Corporation and the Administrator wish to make certain amendments to the Administration Agreement, as reflected in this Agreement.</w:t>
      </w:r>
    </w:p>
    <w:p>
      <w:pPr>
        <w:spacing w:after="0" w:line="175"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213" w:lineRule="exact"/>
        <w:rPr>
          <w:sz w:val="20"/>
          <w:szCs w:val="20"/>
          <w:color w:val="auto"/>
        </w:rPr>
      </w:pPr>
    </w:p>
    <w:p>
      <w:pPr>
        <w:ind w:left="480" w:hanging="459"/>
        <w:spacing w:after="0"/>
        <w:tabs>
          <w:tab w:leader="none" w:pos="4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Duties of the Administrator</w:t>
      </w:r>
    </w:p>
    <w:p>
      <w:pPr>
        <w:spacing w:after="0" w:line="206" w:lineRule="exact"/>
        <w:rPr>
          <w:rFonts w:ascii="Arial" w:cs="Arial" w:eastAsia="Arial" w:hAnsi="Arial"/>
          <w:sz w:val="22"/>
          <w:szCs w:val="22"/>
          <w:color w:val="auto"/>
        </w:rPr>
      </w:pPr>
    </w:p>
    <w:p>
      <w:pPr>
        <w:jc w:val="both"/>
        <w:ind w:firstLine="517"/>
        <w:spacing w:after="0" w:line="275" w:lineRule="auto"/>
        <w:tabs>
          <w:tab w:leader="none" w:pos="843"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Employment of Administrator</w:t>
      </w:r>
      <w:r>
        <w:rPr>
          <w:rFonts w:ascii="Arial" w:cs="Arial" w:eastAsia="Arial" w:hAnsi="Arial"/>
          <w:sz w:val="19"/>
          <w:szCs w:val="19"/>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157" w:lineRule="exact"/>
        <w:rPr>
          <w:rFonts w:ascii="Arial" w:cs="Arial" w:eastAsia="Arial" w:hAnsi="Arial"/>
          <w:sz w:val="19"/>
          <w:szCs w:val="19"/>
          <w:color w:val="auto"/>
        </w:rPr>
      </w:pPr>
    </w:p>
    <w:p>
      <w:pPr>
        <w:jc w:val="both"/>
        <w:ind w:firstLine="517"/>
        <w:spacing w:after="0" w:line="234" w:lineRule="auto"/>
        <w:tabs>
          <w:tab w:leader="none" w:pos="828"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Services</w:t>
      </w:r>
      <w:r>
        <w:rPr>
          <w:rFonts w:ascii="Arial" w:cs="Arial" w:eastAsia="Arial" w:hAnsi="Arial"/>
          <w:sz w:val="22"/>
          <w:szCs w:val="22"/>
          <w:color w:val="auto"/>
        </w:rPr>
        <w:t>.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 facilities and such other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both"/>
        <w:spacing w:after="0" w:line="270" w:lineRule="auto"/>
        <w:rPr>
          <w:sz w:val="20"/>
          <w:szCs w:val="20"/>
          <w:color w:val="auto"/>
        </w:rPr>
      </w:pPr>
      <w:r>
        <w:rPr>
          <w:rFonts w:ascii="Arial" w:cs="Arial" w:eastAsia="Arial" w:hAnsi="Arial"/>
          <w:sz w:val="19"/>
          <w:szCs w:val="19"/>
          <w:color w:val="auto"/>
        </w:rPr>
        <w:t>services as the Administrator, subject to review by the Board of Directors of the Corporation, shall from time to time determine to be necessary or useful to 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 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200" w:lineRule="exact"/>
        <w:rPr>
          <w:sz w:val="20"/>
          <w:szCs w:val="20"/>
          <w:color w:val="auto"/>
        </w:rPr>
      </w:pPr>
    </w:p>
    <w:p>
      <w:pPr>
        <w:spacing w:after="0" w:line="241" w:lineRule="exact"/>
        <w:rPr>
          <w:sz w:val="20"/>
          <w:szCs w:val="20"/>
          <w:color w:val="auto"/>
        </w:rPr>
      </w:pPr>
    </w:p>
    <w:p>
      <w:pPr>
        <w:ind w:left="480" w:hanging="459"/>
        <w:spacing w:after="0"/>
        <w:tabs>
          <w:tab w:leader="none" w:pos="4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Records</w:t>
      </w:r>
    </w:p>
    <w:p>
      <w:pPr>
        <w:spacing w:after="0" w:line="206"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21"/>
          <w:szCs w:val="21"/>
          <w:color w:val="auto"/>
        </w:rPr>
        <w:t>The Administrator agrees to maintain and keep all books, accounts and other records of the Corporation that relate to activities performed by the Administrator hereunder and, if required by the 1940 Act, will maintain and keep such books, accounts and records in accordance with that Act. In compliance with the requirements of Rule 31a-3 under the 1940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1940 Act will be preserved for the periods prescribed by Rule 31a-2 under the 1940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08" w:lineRule="exact"/>
        <w:rPr>
          <w:sz w:val="20"/>
          <w:szCs w:val="20"/>
          <w:color w:val="auto"/>
        </w:rPr>
      </w:pPr>
    </w:p>
    <w:p>
      <w:pPr>
        <w:ind w:left="480" w:hanging="459"/>
        <w:spacing w:after="0"/>
        <w:tabs>
          <w:tab w:leader="none" w:pos="4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Confidentiality</w:t>
      </w:r>
    </w:p>
    <w:p>
      <w:pPr>
        <w:spacing w:after="0" w:line="206"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22"/>
          <w:szCs w:val="22"/>
          <w:color w:val="auto"/>
        </w:rPr>
        <w:t>The parties hereto agree that each shall treat confidentially the terms and conditions of this Agreement and all information provided by each party to the other regarding 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8" w:name="page59"/>
    <w:bookmarkEnd w:id="58"/>
    <w:p>
      <w:pPr>
        <w:jc w:val="both"/>
        <w:spacing w:after="0"/>
        <w:rPr>
          <w:sz w:val="20"/>
          <w:szCs w:val="20"/>
          <w:color w:val="auto"/>
        </w:rPr>
      </w:pPr>
      <w:r>
        <w:rPr>
          <w:rFonts w:ascii="Arial" w:cs="Arial" w:eastAsia="Arial" w:hAnsi="Arial"/>
          <w:sz w:val="22"/>
          <w:szCs w:val="22"/>
          <w:color w:val="auto"/>
        </w:rPr>
        <w:t>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13" w:lineRule="exact"/>
        <w:rPr>
          <w:sz w:val="20"/>
          <w:szCs w:val="20"/>
          <w:color w:val="auto"/>
        </w:rPr>
      </w:pPr>
    </w:p>
    <w:p>
      <w:pPr>
        <w:ind w:left="480" w:hanging="459"/>
        <w:spacing w:after="0"/>
        <w:tabs>
          <w:tab w:leader="none" w:pos="4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Compensation; Allocation of Costs and Expenses</w:t>
      </w:r>
    </w:p>
    <w:p>
      <w:pPr>
        <w:spacing w:after="0" w:line="20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22"/>
          <w:szCs w:val="22"/>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17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9"/>
          <w:szCs w:val="19"/>
          <w:color w:val="auto"/>
        </w:rPr>
        <w:t>The Corporation will bear all costs and expenses that are incurred in its operation and transactions and not specifically assumed by the Corporation’s investment adviser (the “Adviser”), pursuant to that certain Third Amended and Restated Investment Advisory Management Agreement, dated as of April 12, 2019,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 For the avoidance of doubt, the costs and expenses to be borne by the Corporation set forth above include the costs and expenses allocable with respect to the provision of in-house legal, tax, or other professional advice and/or services to the Corporation, including performing due diligence on its prospective portfolio companies, as deemed appropriate by the Administrator, where such in-house personnel perform services that would be paid by the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Corporation if outside service providers provided the same services, subject to the Board of Directors’ oversight.</w:t>
      </w:r>
    </w:p>
    <w:p>
      <w:pPr>
        <w:spacing w:after="0" w:line="207"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13" w:lineRule="exact"/>
        <w:rPr>
          <w:sz w:val="20"/>
          <w:szCs w:val="20"/>
          <w:color w:val="auto"/>
        </w:rPr>
      </w:pPr>
    </w:p>
    <w:p>
      <w:pPr>
        <w:ind w:left="480" w:hanging="459"/>
        <w:spacing w:after="0"/>
        <w:tabs>
          <w:tab w:leader="none" w:pos="4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Limitation of Liability of the Administrator; Indemnification</w:t>
      </w:r>
    </w:p>
    <w:p>
      <w:pPr>
        <w:spacing w:after="0" w:line="20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9"/>
          <w:szCs w:val="19"/>
          <w:color w:val="auto"/>
        </w:rPr>
        <w:t>The Administrator (and its officers, managers, partners, agents, employees, controlling persons, members, and any other person or entity affiliated with the Administrator, including without limitation its sole member)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1940 Act and any interpretations or guidance by the SEC or its staff thereunder).</w:t>
      </w:r>
    </w:p>
    <w:p>
      <w:pPr>
        <w:spacing w:after="0" w:line="200" w:lineRule="exact"/>
        <w:rPr>
          <w:sz w:val="20"/>
          <w:szCs w:val="20"/>
          <w:color w:val="auto"/>
        </w:rPr>
      </w:pPr>
    </w:p>
    <w:p>
      <w:pPr>
        <w:spacing w:after="0" w:line="238" w:lineRule="exact"/>
        <w:rPr>
          <w:sz w:val="20"/>
          <w:szCs w:val="20"/>
          <w:color w:val="auto"/>
        </w:rPr>
      </w:pPr>
    </w:p>
    <w:p>
      <w:pPr>
        <w:ind w:left="480" w:hanging="459"/>
        <w:spacing w:after="0"/>
        <w:tabs>
          <w:tab w:leader="none" w:pos="4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Activities of the Administrator</w:t>
      </w:r>
    </w:p>
    <w:p>
      <w:pPr>
        <w:spacing w:after="0" w:line="2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1"/>
          <w:szCs w:val="21"/>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 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163" w:lineRule="exact"/>
        <w:rPr>
          <w:sz w:val="20"/>
          <w:szCs w:val="20"/>
          <w:color w:val="auto"/>
        </w:rPr>
      </w:pPr>
    </w:p>
    <w:p>
      <w:pPr>
        <w:ind w:left="480" w:hanging="459"/>
        <w:spacing w:after="0"/>
        <w:tabs>
          <w:tab w:leader="none" w:pos="4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Duration and Termination of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jc w:val="both"/>
        <w:ind w:firstLine="509"/>
        <w:spacing w:after="0" w:line="252" w:lineRule="auto"/>
        <w:rPr>
          <w:sz w:val="20"/>
          <w:szCs w:val="20"/>
          <w:color w:val="auto"/>
        </w:rPr>
      </w:pPr>
      <w:r>
        <w:rPr>
          <w:rFonts w:ascii="Arial" w:cs="Arial" w:eastAsia="Arial" w:hAnsi="Arial"/>
          <w:sz w:val="21"/>
          <w:szCs w:val="21"/>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1940 Act) of any such party.</w:t>
      </w:r>
    </w:p>
    <w:p>
      <w:pPr>
        <w:spacing w:after="0" w:line="120"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186" w:lineRule="exact"/>
        <w:rPr>
          <w:sz w:val="20"/>
          <w:szCs w:val="20"/>
          <w:color w:val="auto"/>
        </w:rPr>
      </w:pPr>
    </w:p>
    <w:p>
      <w:pPr>
        <w:ind w:left="480" w:hanging="459"/>
        <w:spacing w:after="0"/>
        <w:tabs>
          <w:tab w:leader="none" w:pos="4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Amendments of this Agreement</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This Agreement may be amended pursuant to a written instrument by mutual consent of the parties.</w:t>
      </w:r>
    </w:p>
    <w:p>
      <w:pPr>
        <w:spacing w:after="0" w:line="233" w:lineRule="exact"/>
        <w:rPr>
          <w:sz w:val="20"/>
          <w:szCs w:val="20"/>
          <w:color w:val="auto"/>
        </w:rPr>
      </w:pPr>
    </w:p>
    <w:p>
      <w:pPr>
        <w:ind w:left="480" w:hanging="459"/>
        <w:spacing w:after="0"/>
        <w:tabs>
          <w:tab w:leader="none" w:pos="48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Governing Law</w:t>
      </w:r>
    </w:p>
    <w:p>
      <w:pPr>
        <w:spacing w:after="0" w:line="206"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This Agreement shall be construed in accordance with laws of the State of New York and the applicable provisions of the 1940 Act, if any. To the extent that the applicable laws of the State of New York, or any of the provisions herein, conflict with the applicable provisions of the 1940 Act, if any, the latter shall control.</w:t>
      </w:r>
    </w:p>
    <w:p>
      <w:pPr>
        <w:spacing w:after="0" w:line="213" w:lineRule="exact"/>
        <w:rPr>
          <w:sz w:val="20"/>
          <w:szCs w:val="20"/>
          <w:color w:val="auto"/>
        </w:rPr>
      </w:pPr>
    </w:p>
    <w:p>
      <w:pPr>
        <w:ind w:left="480" w:hanging="459"/>
        <w:spacing w:after="0"/>
        <w:tabs>
          <w:tab w:leader="none" w:pos="48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Entire Agreement</w:t>
      </w:r>
    </w:p>
    <w:p>
      <w:pPr>
        <w:spacing w:after="0" w:line="206"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color w:val="auto"/>
        </w:rPr>
        <w:t>This Agreement contains the entire agreement of the parties and supersedes all prior agreements, understandings and arrangements with respect to the subject matter hereof.</w:t>
      </w:r>
    </w:p>
    <w:p>
      <w:pPr>
        <w:spacing w:after="0" w:line="202" w:lineRule="exact"/>
        <w:rPr>
          <w:sz w:val="20"/>
          <w:szCs w:val="20"/>
          <w:color w:val="auto"/>
        </w:rPr>
      </w:pPr>
    </w:p>
    <w:p>
      <w:pPr>
        <w:ind w:left="480" w:hanging="459"/>
        <w:spacing w:after="0"/>
        <w:tabs>
          <w:tab w:leader="none" w:pos="4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Notices</w:t>
      </w:r>
    </w:p>
    <w:p>
      <w:pPr>
        <w:spacing w:after="0" w:line="206" w:lineRule="exact"/>
        <w:rPr>
          <w:sz w:val="20"/>
          <w:szCs w:val="20"/>
          <w:color w:val="auto"/>
        </w:rPr>
      </w:pPr>
    </w:p>
    <w:p>
      <w:pPr>
        <w:ind w:firstLine="509"/>
        <w:spacing w:after="0" w:line="250" w:lineRule="auto"/>
        <w:rPr>
          <w:sz w:val="20"/>
          <w:szCs w:val="20"/>
          <w:color w:val="auto"/>
        </w:rPr>
      </w:pPr>
      <w:r>
        <w:rPr>
          <w:rFonts w:ascii="Arial" w:cs="Arial" w:eastAsia="Arial" w:hAnsi="Arial"/>
          <w:sz w:val="22"/>
          <w:szCs w:val="22"/>
          <w:color w:val="auto"/>
        </w:rPr>
        <w:t>Any notice under this Agreement shall be given in writing, addressed and delivered or mailed, postage prepaid, to the other party at its principal office.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1" w:name="page62"/>
    <w:bookmarkEnd w:id="61"/>
    <w:p>
      <w:pPr>
        <w:ind w:left="76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 above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385"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PENNANTPARK INVESTMENT CORPORATION</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-17780</wp:posOffset>
            </wp:positionV>
            <wp:extent cx="400494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4004945" cy="8255"/>
                    </a:xfrm>
                    <a:prstGeom prst="rect">
                      <a:avLst/>
                    </a:prstGeom>
                    <a:noFill/>
                  </pic:spPr>
                </pic:pic>
              </a:graphicData>
            </a:graphic>
          </wp:anchor>
        </w:drawing>
      </w:r>
    </w:p>
    <w:p>
      <w:pPr>
        <w:ind w:left="4940"/>
        <w:spacing w:after="0" w:line="238" w:lineRule="auto"/>
        <w:rPr>
          <w:sz w:val="20"/>
          <w:szCs w:val="20"/>
          <w:color w:val="auto"/>
        </w:rPr>
      </w:pPr>
      <w:r>
        <w:rPr>
          <w:rFonts w:ascii="Arial" w:cs="Arial" w:eastAsia="Arial" w:hAnsi="Arial"/>
          <w:sz w:val="22"/>
          <w:szCs w:val="22"/>
          <w:color w:val="auto"/>
        </w:rPr>
        <w:t>Name: Arthur H. Penn</w:t>
      </w:r>
    </w:p>
    <w:p>
      <w:pPr>
        <w:ind w:left="4940"/>
        <w:spacing w:after="0"/>
        <w:rPr>
          <w:sz w:val="20"/>
          <w:szCs w:val="20"/>
          <w:color w:val="auto"/>
        </w:rPr>
      </w:pPr>
      <w:r>
        <w:rPr>
          <w:rFonts w:ascii="Arial" w:cs="Arial" w:eastAsia="Arial" w:hAnsi="Arial"/>
          <w:sz w:val="22"/>
          <w:szCs w:val="22"/>
          <w:color w:val="auto"/>
        </w:rPr>
        <w:t>Title: Chief Executive Officer</w:t>
      </w:r>
    </w:p>
    <w:p>
      <w:pPr>
        <w:spacing w:after="0" w:line="37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PENNANT INVESTMENT ADMINISTRATION, LLC</w:t>
      </w:r>
    </w:p>
    <w:p>
      <w:pPr>
        <w:spacing w:after="0" w:line="1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-17780</wp:posOffset>
            </wp:positionV>
            <wp:extent cx="400494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4004945" cy="8255"/>
                    </a:xfrm>
                    <a:prstGeom prst="rect">
                      <a:avLst/>
                    </a:prstGeom>
                    <a:noFill/>
                  </pic:spPr>
                </pic:pic>
              </a:graphicData>
            </a:graphic>
          </wp:anchor>
        </w:drawing>
      </w:r>
    </w:p>
    <w:p>
      <w:pPr>
        <w:ind w:left="4940"/>
        <w:spacing w:after="0" w:line="238" w:lineRule="auto"/>
        <w:rPr>
          <w:sz w:val="20"/>
          <w:szCs w:val="20"/>
          <w:color w:val="auto"/>
        </w:rPr>
      </w:pPr>
      <w:r>
        <w:rPr>
          <w:rFonts w:ascii="Arial" w:cs="Arial" w:eastAsia="Arial" w:hAnsi="Arial"/>
          <w:sz w:val="22"/>
          <w:szCs w:val="22"/>
          <w:color w:val="auto"/>
        </w:rPr>
        <w:t>Name: Arthur H. Penn</w:t>
      </w:r>
    </w:p>
    <w:p>
      <w:pPr>
        <w:ind w:left="4940"/>
        <w:spacing w:after="0"/>
        <w:rPr>
          <w:sz w:val="20"/>
          <w:szCs w:val="20"/>
          <w:color w:val="auto"/>
        </w:rPr>
      </w:pPr>
      <w:r>
        <w:rPr>
          <w:rFonts w:ascii="Arial" w:cs="Arial" w:eastAsia="Arial" w:hAnsi="Arial"/>
          <w:sz w:val="22"/>
          <w:szCs w:val="22"/>
          <w:color w:val="auto"/>
        </w:rPr>
        <w:t>Title: Chief Executive Officer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u w:val="single" w:color="auto"/>
          <w:color w:val="auto"/>
        </w:rPr>
        <w:t>Exhibit 10.2</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22"/>
          <w:szCs w:val="22"/>
          <w:color w:val="auto"/>
        </w:rPr>
        <w:t>FIFTH AMENDMENT TO SECOND AMENDED AND RESTATED SENIOR SECURED REVOLVING CREDIT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1"/>
          <w:szCs w:val="21"/>
          <w:color w:val="auto"/>
        </w:rPr>
        <w:t>This FIFTH AMENDMENT TO SECOND AMENDED AND RESTATED SENIOR SECURED REVOLVING CREDIT AGREEMENT, dated as of July 29, 2022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among PENNANTPARK INVESTMENT CORPORATION, a Maryland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LENDERS party hereto, the ISSUING BANKS party hereto, TRUIST BANK, as Administrative Agent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xml:space="preserve">”), and, solely with respect to </w:t>
      </w:r>
      <w:r>
        <w:rPr>
          <w:rFonts w:ascii="Arial" w:cs="Arial" w:eastAsia="Arial" w:hAnsi="Arial"/>
          <w:sz w:val="21"/>
          <w:szCs w:val="21"/>
          <w:u w:val="single" w:color="auto"/>
          <w:color w:val="auto"/>
        </w:rPr>
        <w:t>Section 8.9</w:t>
      </w:r>
      <w:r>
        <w:rPr>
          <w:rFonts w:ascii="Arial" w:cs="Arial" w:eastAsia="Arial" w:hAnsi="Arial"/>
          <w:sz w:val="21"/>
          <w:szCs w:val="21"/>
          <w:color w:val="auto"/>
        </w:rPr>
        <w:t>, PNNT CI (GALLS) PRIME INVESTMENT HOLDINGS, LLC, a Delaware limited liability company (“</w:t>
      </w:r>
      <w:r>
        <w:rPr>
          <w:rFonts w:ascii="Arial" w:cs="Arial" w:eastAsia="Arial" w:hAnsi="Arial"/>
          <w:sz w:val="21"/>
          <w:szCs w:val="21"/>
          <w:u w:val="single" w:color="auto"/>
          <w:color w:val="auto"/>
        </w:rPr>
        <w:t>PNNT CI</w:t>
      </w:r>
      <w:r>
        <w:rPr>
          <w:rFonts w:ascii="Arial" w:cs="Arial" w:eastAsia="Arial" w:hAnsi="Arial"/>
          <w:sz w:val="21"/>
          <w:szCs w:val="21"/>
          <w:color w:val="auto"/>
        </w:rPr>
        <w:t>”), and PNNT INVESTMENT HOLDINGS, LLC, a Delaware limited liability company (“</w:t>
      </w:r>
      <w:r>
        <w:rPr>
          <w:rFonts w:ascii="Arial" w:cs="Arial" w:eastAsia="Arial" w:hAnsi="Arial"/>
          <w:sz w:val="21"/>
          <w:szCs w:val="21"/>
          <w:u w:val="single" w:color="auto"/>
          <w:color w:val="auto"/>
        </w:rPr>
        <w:t>PNNT Investment Holdings</w:t>
      </w:r>
      <w:r>
        <w:rPr>
          <w:rFonts w:ascii="Arial" w:cs="Arial" w:eastAsia="Arial" w:hAnsi="Arial"/>
          <w:sz w:val="21"/>
          <w:szCs w:val="21"/>
          <w:color w:val="auto"/>
        </w:rPr>
        <w: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WHEREAS, the Borrower and the Administrative Agent entered into that certain Second Amended and Restated Senior Secured Revolving Credit Agreement, dated as of June 25, 2014 (as amended by that certain First Omnibus Amendment to Second Amended and Restated Senior Secured Revolving Credit Agreement and Second Amended and Restated Guarantee and Security Agreement, dated as of May 25, 2017, that certain Second Amendment to Second Amended and Restated Senior Secured Revolving Credit Agreement, dated as of September 4, 2019, that certain Third Amendment to Second Amended and Restated Senior Secured Revolving Credit Agreement, dated as of December 10, 2021, that certain Fourth Amendment to Second Amended and Restated Senior Secured Revolving Credit Agreement, dated as of February 23, 2022, and as further amended or otherwise modified prior to the Effective Date (as hereinafter defined),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with the Lenders from time to time party thereto, pursuant to which the Lenders extended certain commitments and made certain loans to the Borrower;</w:t>
      </w:r>
    </w:p>
    <w:p>
      <w:pPr>
        <w:spacing w:after="0" w:line="158"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9"/>
          <w:szCs w:val="19"/>
          <w:color w:val="auto"/>
        </w:rPr>
        <w:t>WHEREAS, it has come to the attention of the Borrower and the Administrative Agent that the Borrower may have failed to designate PennantPark SBIC GP II, LLC, a Delaware limited liability company (“</w:t>
      </w:r>
      <w:r>
        <w:rPr>
          <w:rFonts w:ascii="Arial" w:cs="Arial" w:eastAsia="Arial" w:hAnsi="Arial"/>
          <w:sz w:val="19"/>
          <w:szCs w:val="19"/>
          <w:u w:val="single" w:color="auto"/>
          <w:color w:val="auto"/>
        </w:rPr>
        <w:t>SBIC GP II</w:t>
      </w:r>
      <w:r>
        <w:rPr>
          <w:rFonts w:ascii="Arial" w:cs="Arial" w:eastAsia="Arial" w:hAnsi="Arial"/>
          <w:sz w:val="19"/>
          <w:szCs w:val="19"/>
          <w:color w:val="auto"/>
        </w:rPr>
        <w:t>”), and PennantPark SBIC</w:t>
      </w:r>
    </w:p>
    <w:p>
      <w:pPr>
        <w:spacing w:after="0" w:line="1" w:lineRule="exact"/>
        <w:rPr>
          <w:sz w:val="20"/>
          <w:szCs w:val="20"/>
          <w:color w:val="auto"/>
        </w:rPr>
      </w:pPr>
    </w:p>
    <w:p>
      <w:pPr>
        <w:ind w:right="20" w:firstLine="8"/>
        <w:spacing w:after="0" w:line="236" w:lineRule="auto"/>
        <w:tabs>
          <w:tab w:leader="none" w:pos="202" w:val="left"/>
        </w:tabs>
        <w:numPr>
          <w:ilvl w:val="0"/>
          <w:numId w:val="52"/>
        </w:numPr>
        <w:rPr>
          <w:rFonts w:ascii="Arial" w:cs="Arial" w:eastAsia="Arial" w:hAnsi="Arial"/>
          <w:sz w:val="22"/>
          <w:szCs w:val="22"/>
          <w:color w:val="auto"/>
        </w:rPr>
      </w:pPr>
      <w:r>
        <w:rPr>
          <w:rFonts w:ascii="Arial" w:cs="Arial" w:eastAsia="Arial" w:hAnsi="Arial"/>
          <w:sz w:val="22"/>
          <w:szCs w:val="22"/>
          <w:color w:val="auto"/>
        </w:rPr>
        <w:t>LP, a Delaware limited partnership (“</w:t>
      </w:r>
      <w:r>
        <w:rPr>
          <w:rFonts w:ascii="Arial" w:cs="Arial" w:eastAsia="Arial" w:hAnsi="Arial"/>
          <w:sz w:val="22"/>
          <w:szCs w:val="22"/>
          <w:u w:val="single" w:color="auto"/>
          <w:color w:val="auto"/>
        </w:rPr>
        <w:t>SBIC II</w:t>
      </w:r>
      <w:r>
        <w:rPr>
          <w:rFonts w:ascii="Arial" w:cs="Arial" w:eastAsia="Arial" w:hAnsi="Arial"/>
          <w:sz w:val="22"/>
          <w:szCs w:val="22"/>
          <w:color w:val="auto"/>
        </w:rPr>
        <w:t>”), as SBIC Subsidiaries in accordance with the definition thereof (the “</w:t>
      </w:r>
      <w:r>
        <w:rPr>
          <w:rFonts w:ascii="Arial" w:cs="Arial" w:eastAsia="Arial" w:hAnsi="Arial"/>
          <w:sz w:val="22"/>
          <w:szCs w:val="22"/>
          <w:u w:val="single" w:color="auto"/>
          <w:color w:val="auto"/>
        </w:rPr>
        <w:t>Failure to</w:t>
      </w:r>
      <w:r>
        <w:rPr>
          <w:rFonts w:ascii="Arial" w:cs="Arial" w:eastAsia="Arial" w:hAnsi="Arial"/>
          <w:sz w:val="22"/>
          <w:szCs w:val="22"/>
          <w:color w:val="auto"/>
        </w:rPr>
        <w:t xml:space="preserve"> </w:t>
      </w:r>
      <w:r>
        <w:rPr>
          <w:rFonts w:ascii="Arial" w:cs="Arial" w:eastAsia="Arial" w:hAnsi="Arial"/>
          <w:sz w:val="22"/>
          <w:szCs w:val="22"/>
          <w:u w:val="single" w:color="auto"/>
          <w:color w:val="auto"/>
        </w:rPr>
        <w:t>Designate</w:t>
      </w:r>
      <w:r>
        <w:rPr>
          <w:rFonts w:ascii="Arial" w:cs="Arial" w:eastAsia="Arial" w:hAnsi="Arial"/>
          <w:sz w:val="22"/>
          <w:szCs w:val="22"/>
          <w:color w:val="auto"/>
        </w:rPr>
        <w:t>”);</w:t>
      </w:r>
    </w:p>
    <w:p>
      <w:pPr>
        <w:spacing w:after="0" w:line="187"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WEHREAS, the Borrower has permitted PNNT Investment Holdings, LLC, a Delaware limited liability company and a Subsidiary of the Borrower, to grant a Lien in all of its assets to PennantPark Loan Agency Servicing, LLC, as evidenced by that certain UCC-1 financing statement filed with the Secretary of State of the State of Delaware on December 30, 2021, with filing number 20210749738 (the “</w:t>
      </w:r>
      <w:r>
        <w:rPr>
          <w:rFonts w:ascii="Arial" w:cs="Arial" w:eastAsia="Arial" w:hAnsi="Arial"/>
          <w:sz w:val="22"/>
          <w:szCs w:val="22"/>
          <w:u w:val="single" w:color="auto"/>
          <w:color w:val="auto"/>
        </w:rPr>
        <w:t>Subject Financing Statement</w:t>
      </w:r>
      <w:r>
        <w:rPr>
          <w:rFonts w:ascii="Arial" w:cs="Arial" w:eastAsia="Arial" w:hAnsi="Arial"/>
          <w:sz w:val="22"/>
          <w:szCs w:val="22"/>
          <w:color w:val="auto"/>
        </w:rPr>
        <w:t>”), resulting in a breach of Section 6.02 of the Credit Agreement (the “</w:t>
      </w:r>
      <w:r>
        <w:rPr>
          <w:rFonts w:ascii="Arial" w:cs="Arial" w:eastAsia="Arial" w:hAnsi="Arial"/>
          <w:sz w:val="22"/>
          <w:szCs w:val="22"/>
          <w:u w:val="single" w:color="auto"/>
          <w:color w:val="auto"/>
        </w:rPr>
        <w:t>Lien Covenant Breach</w:t>
      </w:r>
      <w:r>
        <w:rPr>
          <w:rFonts w:ascii="Arial" w:cs="Arial" w:eastAsia="Arial" w:hAnsi="Arial"/>
          <w:sz w:val="22"/>
          <w:szCs w:val="22"/>
          <w:color w:val="auto"/>
        </w:rPr>
        <w:t>”); and</w:t>
      </w:r>
    </w:p>
    <w:p>
      <w:pPr>
        <w:spacing w:after="0" w:line="18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WHEREAS, the Borrower has requested and the Lenders party hereto and the Administrative Agent are willing, on the terms and subject to the conditions hereinafter set forth, to (i) amend the Credit Agreement to make certain changes, as set forth below, (ii) waive any Default or Event of Default that may have arisen as a result of the Failure to Designate (the</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748469295 11262547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jc w:val="both"/>
        <w:ind w:right="20"/>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Possible Default or Event of Default</w:t>
      </w:r>
      <w:r>
        <w:rPr>
          <w:rFonts w:ascii="Arial" w:cs="Arial" w:eastAsia="Arial" w:hAnsi="Arial"/>
          <w:sz w:val="22"/>
          <w:szCs w:val="22"/>
          <w:color w:val="auto"/>
        </w:rPr>
        <w:t>”) and (iii) waive any Default or Event of Default that resulted from the Lien Covenant Breach (the “</w:t>
      </w:r>
      <w:r>
        <w:rPr>
          <w:rFonts w:ascii="Arial" w:cs="Arial" w:eastAsia="Arial" w:hAnsi="Arial"/>
          <w:sz w:val="22"/>
          <w:szCs w:val="22"/>
          <w:u w:val="single" w:color="auto"/>
          <w:color w:val="auto"/>
        </w:rPr>
        <w:t>Specified Default or Event of Default</w:t>
      </w:r>
      <w:r>
        <w:rPr>
          <w:rFonts w:ascii="Arial" w:cs="Arial" w:eastAsia="Arial" w:hAnsi="Arial"/>
          <w:sz w:val="22"/>
          <w:szCs w:val="22"/>
          <w:color w:val="auto"/>
        </w:rPr>
        <w:t>”).</w:t>
      </w:r>
    </w:p>
    <w:p>
      <w:pPr>
        <w:spacing w:after="0" w:line="173"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NOW, THEREFORE, in consideration of the premises and the mutual agreements contained herein and in the Credit Agreement, the parties hereto agree as follows: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not otherwise defined herein are used as defined in (or by reference in) the Credit Agreement as amended hereby.</w:t>
      </w:r>
    </w:p>
    <w:p>
      <w:pPr>
        <w:spacing w:after="0" w:line="175"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Regions Bank as a Lender</w:t>
      </w:r>
      <w:r>
        <w:rPr>
          <w:rFonts w:ascii="Arial" w:cs="Arial" w:eastAsia="Arial" w:hAnsi="Arial"/>
          <w:sz w:val="22"/>
          <w:szCs w:val="22"/>
          <w:color w:val="auto"/>
        </w:rPr>
        <w:t>. Subject to the occurrence of the Effective Date, each of the parties hereto hereby agrees that Regions Bank will (and does hereby) become a “Lender” under and for all purposes of the Credit Agreement with a Multicurrency Commitment equal to $35,000,000 and Regions Bank hereby agrees to be bound by and comply with all of the terms and provisions of the Credit Agreement applicable to it as a “Lender” thereunder and that it will perform all of the obligations which by the terms of the Amended Credit Agreement (as hereinafter defined) are required to be performed by it as a Lender. Regions Bank represents and warrants that it has full power and authority, and has taken all action necessary, to execute this Amendment and to consummate the transactions contemplated hereby and to become a Lender under the Amended Credit Agreement.</w:t>
      </w:r>
    </w:p>
    <w:p>
      <w:pPr>
        <w:spacing w:after="0" w:line="18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Limited Waiver</w:t>
      </w:r>
      <w:r>
        <w:rPr>
          <w:rFonts w:ascii="Arial" w:cs="Arial" w:eastAsia="Arial" w:hAnsi="Arial"/>
          <w:sz w:val="21"/>
          <w:szCs w:val="21"/>
          <w:color w:val="auto"/>
        </w:rPr>
        <w:t>. Subject to the occurrence of the Effective Date, the Lenders party hereto hereby waive (x) the Possible Default or Event of Default, (y) the Specified Default or Event of Default, and (z) (i) the taking of any action, or the failure to take any action, prior to the Effective Date, in each case, not permitted under the Credit Agreement and the other Loan Documents as a result of the Possible Default or Event of Default or the Specified Default or Event of Default or (ii) the failure to give notice of (or other information with respect to) the Possible Default or Event of Default or the Specified Default or Event of Default (the “</w:t>
      </w:r>
      <w:r>
        <w:rPr>
          <w:rFonts w:ascii="Arial" w:cs="Arial" w:eastAsia="Arial" w:hAnsi="Arial"/>
          <w:sz w:val="21"/>
          <w:szCs w:val="21"/>
          <w:u w:val="single" w:color="auto"/>
          <w:color w:val="auto"/>
        </w:rPr>
        <w:t>Waiver</w:t>
      </w:r>
      <w:r>
        <w:rPr>
          <w:rFonts w:ascii="Arial" w:cs="Arial" w:eastAsia="Arial" w:hAnsi="Arial"/>
          <w:sz w:val="21"/>
          <w:szCs w:val="21"/>
          <w:color w:val="auto"/>
        </w:rPr>
        <w:t>”). The Waiver is a one-time waiver and shall not be construed to be a waiver of or in any way obligate the Administrative Agent or any Lender to waive any other Default or Event of Default. The Administrative Agent hereby expressly reserves, on behalf of itself and the Collateral Agent, all rights, powers and/or remedies, whether under and with respect to the Credit Agreement, the other Loan Documents and/or applicable law, from and after the Effective Date, including the right to exercise any right or remedy arising on account of the continuance of an Event of Default arising from the Failure to Designate after the Effective Date.</w:t>
      </w:r>
    </w:p>
    <w:p>
      <w:pPr>
        <w:spacing w:after="0" w:line="188" w:lineRule="exact"/>
        <w:rPr>
          <w:sz w:val="20"/>
          <w:szCs w:val="20"/>
          <w:color w:val="auto"/>
        </w:rPr>
      </w:pPr>
    </w:p>
    <w:p>
      <w:pPr>
        <w:jc w:val="both"/>
        <w:ind w:right="20" w:firstLine="749"/>
        <w:spacing w:after="0" w:line="274"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Amendments to Credit Agreement</w:t>
      </w:r>
      <w:r>
        <w:rPr>
          <w:rFonts w:ascii="Arial" w:cs="Arial" w:eastAsia="Arial" w:hAnsi="Arial"/>
          <w:sz w:val="21"/>
          <w:szCs w:val="21"/>
          <w:color w:val="auto"/>
        </w:rPr>
        <w:t xml:space="preserve">. The Credit Agreement (including the Exhibits and Schedules thereto) is hereby amended in its entirety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Amended Credit Agreement</w:t>
      </w:r>
      <w:r>
        <w:rPr>
          <w:rFonts w:ascii="Arial" w:cs="Arial" w:eastAsia="Arial" w:hAnsi="Arial"/>
          <w:sz w:val="21"/>
          <w:szCs w:val="21"/>
          <w:color w:val="auto"/>
        </w:rPr>
        <w:t>”).</w:t>
      </w:r>
    </w:p>
    <w:p>
      <w:pPr>
        <w:spacing w:after="0" w:line="151"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Eurocurrency Loans</w:t>
      </w:r>
      <w:r>
        <w:rPr>
          <w:rFonts w:ascii="Arial" w:cs="Arial" w:eastAsia="Arial" w:hAnsi="Arial"/>
          <w:sz w:val="22"/>
          <w:szCs w:val="22"/>
          <w:color w:val="auto"/>
        </w:rPr>
        <w:t>. Notwithstanding anything to the contrary in the Credit Agreement, as amended by this Amendment, all outstanding Eurocurrency Loans (as defined in the Credit Agreement) as of the Effective Date shall remain outstanding as Eurocurrency Loans until the end of the Interest Period applicable thereto as of the Effective Date and thereafter shall be converted to ABR Loans, Term Benchmark Loans or RFR Loans, as applicable, in accordance with the terms of the Credit Agreement, as amended by this Amendment.</w:t>
      </w:r>
    </w:p>
    <w:p>
      <w:pPr>
        <w:spacing w:after="0" w:line="190"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748469295 11262547</w:t>
        <w:tab/>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firstLine="749"/>
        <w:spacing w:after="0" w:line="251"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Conditions Precedent</w:t>
      </w:r>
      <w:r>
        <w:rPr>
          <w:rFonts w:ascii="Arial" w:cs="Arial" w:eastAsia="Arial" w:hAnsi="Arial"/>
          <w:sz w:val="22"/>
          <w:szCs w:val="22"/>
          <w:color w:val="auto"/>
        </w:rPr>
        <w:t>. This Amendment shall become effective on the first date on which the following conditions precedent have been satisfied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73" w:lineRule="exact"/>
        <w:rPr>
          <w:sz w:val="20"/>
          <w:szCs w:val="20"/>
          <w:color w:val="auto"/>
        </w:rPr>
      </w:pPr>
    </w:p>
    <w:p>
      <w:pPr>
        <w:jc w:val="both"/>
        <w:ind w:left="760" w:firstLine="745"/>
        <w:spacing w:after="0" w:line="238" w:lineRule="auto"/>
        <w:tabs>
          <w:tab w:leader="none" w:pos="22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each party hereto either (i) a counterpart of this Amendment signed on behalf of such party or (ii) written evidence satisfactory to the Administrative Agent (which may include telecopy transmission of a signed signature page to this Amendment) that such party has signed a counterpart of this Amendment;</w:t>
      </w:r>
    </w:p>
    <w:p>
      <w:pPr>
        <w:spacing w:after="0" w:line="184" w:lineRule="exact"/>
        <w:rPr>
          <w:rFonts w:ascii="Arial" w:cs="Arial" w:eastAsia="Arial" w:hAnsi="Arial"/>
          <w:sz w:val="22"/>
          <w:szCs w:val="22"/>
          <w:color w:val="auto"/>
        </w:rPr>
      </w:pPr>
    </w:p>
    <w:p>
      <w:pPr>
        <w:jc w:val="both"/>
        <w:ind w:left="760" w:firstLine="745"/>
        <w:spacing w:after="0" w:line="238" w:lineRule="auto"/>
        <w:tabs>
          <w:tab w:leader="none" w:pos="22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Administrative Agent shall have received a favorable written opinion (addressed to the Administrative Agent and the Lenders and dated as of the date hereof) of counsel for the Borrower, in form and substance reasonably acceptable to the Administrative Agent (and the Borrower hereby instructs such counsel to deliver such opinion to the Lenders and the Administrative Agent);</w:t>
      </w:r>
    </w:p>
    <w:p>
      <w:pPr>
        <w:spacing w:after="0" w:line="184" w:lineRule="exact"/>
        <w:rPr>
          <w:rFonts w:ascii="Arial" w:cs="Arial" w:eastAsia="Arial" w:hAnsi="Arial"/>
          <w:sz w:val="22"/>
          <w:szCs w:val="22"/>
          <w:color w:val="auto"/>
        </w:rPr>
      </w:pPr>
    </w:p>
    <w:p>
      <w:pPr>
        <w:jc w:val="both"/>
        <w:ind w:left="760" w:firstLine="745"/>
        <w:spacing w:after="0" w:line="236" w:lineRule="auto"/>
        <w:tabs>
          <w:tab w:leader="none" w:pos="22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Administrative Agent shall have received such documents and certificates as the Administrative Agent or its counsel may reasonably request relating to the organization, existence and good standing of the Borrower, the authorization of this Amendment and any other legal matters relating to the Borrower, this Amendment or the transactions contemplated by this Amendment, all in form and substance reasonably satisfactory to the Administrative Agent and its counsel;</w:t>
      </w:r>
    </w:p>
    <w:p>
      <w:pPr>
        <w:spacing w:after="0" w:line="187" w:lineRule="exact"/>
        <w:rPr>
          <w:rFonts w:ascii="Arial" w:cs="Arial" w:eastAsia="Arial" w:hAnsi="Arial"/>
          <w:sz w:val="22"/>
          <w:szCs w:val="22"/>
          <w:color w:val="auto"/>
        </w:rPr>
      </w:pPr>
    </w:p>
    <w:p>
      <w:pPr>
        <w:jc w:val="both"/>
        <w:ind w:left="760" w:firstLine="745"/>
        <w:spacing w:after="0"/>
        <w:tabs>
          <w:tab w:leader="none" w:pos="22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Administrative Agent shall have received a certificate of a Financial Officer of the Borrower, designating each of SBIC GP II and SBIC II as a SBIC Subsidiary in accordance with the definition thereof, in form and substance reasonably satisfactory to the Administrative Agent;</w:t>
      </w:r>
    </w:p>
    <w:p>
      <w:pPr>
        <w:spacing w:after="0" w:line="186" w:lineRule="exact"/>
        <w:rPr>
          <w:rFonts w:ascii="Arial" w:cs="Arial" w:eastAsia="Arial" w:hAnsi="Arial"/>
          <w:sz w:val="22"/>
          <w:szCs w:val="22"/>
          <w:color w:val="auto"/>
        </w:rPr>
      </w:pPr>
    </w:p>
    <w:p>
      <w:pPr>
        <w:ind w:left="2260" w:hanging="755"/>
        <w:spacing w:after="0"/>
        <w:tabs>
          <w:tab w:leader="none" w:pos="22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Subject Financing Statement has been terminated; and</w:t>
      </w:r>
    </w:p>
    <w:p>
      <w:pPr>
        <w:spacing w:after="0" w:line="206" w:lineRule="exact"/>
        <w:rPr>
          <w:rFonts w:ascii="Arial" w:cs="Arial" w:eastAsia="Arial" w:hAnsi="Arial"/>
          <w:sz w:val="22"/>
          <w:szCs w:val="22"/>
          <w:color w:val="auto"/>
        </w:rPr>
      </w:pPr>
    </w:p>
    <w:p>
      <w:pPr>
        <w:jc w:val="both"/>
        <w:ind w:left="760" w:firstLine="745"/>
        <w:spacing w:after="0"/>
        <w:tabs>
          <w:tab w:leader="none" w:pos="22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confirmation of receipt by the Administrative Agent (on behalf of itself and the Lenders) or the Lenders, as applicable, of any fees and expenses due and owing by the Borrower as of the date hereof under the Credit Agreement.</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Assignment and Reallocation of Existing Commitments and Existing Loans</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7.1. On the Effective Date, the Lenders, shall assign and transfer the Loans among themselves, in a manner acceptable to the Administrative Agent, so that, after giving effect to all such assignments and transfers, the Loans of each Class are held ratably by the Lenders of such Class in accordance with the respective Commitments of such Class of such Lenders (immediately after giving effect to this Amendment). Concurrently therewith, the Lenders of each Class shall be deemed to have assigned and transferred their participation interests in any outstanding Letters of Credit of such Class among themselves, in a manner acceptable to the Administrative Agent, so that such interests are held ratably in accordance with the Commitments of such Class of such Lenders (immediately after giving effect to this Amendment).</w:t>
      </w:r>
    </w:p>
    <w:p>
      <w:pPr>
        <w:spacing w:after="0" w:line="18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7.2. Each of the Lenders hereby acknowledges and agrees that (i) no Lender nor the Administrative Agent has made any representations or warranties or assumed any responsibility</w:t>
      </w:r>
    </w:p>
    <w:p>
      <w:pPr>
        <w:spacing w:after="0" w:line="178"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748469295 11262547</w:t>
        <w:tab/>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both"/>
        <w:spacing w:after="0" w:line="245" w:lineRule="auto"/>
        <w:rPr>
          <w:sz w:val="20"/>
          <w:szCs w:val="20"/>
          <w:color w:val="auto"/>
        </w:rPr>
      </w:pPr>
      <w:r>
        <w:rPr>
          <w:rFonts w:ascii="Arial" w:cs="Arial" w:eastAsia="Arial" w:hAnsi="Arial"/>
          <w:sz w:val="21"/>
          <w:szCs w:val="21"/>
          <w:color w:val="auto"/>
        </w:rPr>
        <w:t>with respect to (A) any statements, warranties or representations made in or in connection with this Amendment, the Amended Credit Agreement or the execution, legality, validity, enforceability, genuineness or sufficiency of this Amendment, the Amended Credit Agreement or any other Loan Document or (B) the financial condition of any Obligor or the performance by any Obligor of its obligations hereunder or under the Amended Credit Agreement or any other Loan Document; (ii) it has received such information as it has deemed appropriate to make its own credit analysis and decision to enter into this Amendment; (iii) it has made and continues to make its own credit decisions in taking or not taking action under this Amendment or the Amended Credit Agreement, independently and without reliance upon the Administrative Agent or any other Lender; and (iv) no amounts shall be required to be paid to such Lender under Section 2.15 of the Credit Agreement in connection with the reallocation described in this Section 7.2.</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Representations and Warranties</w:t>
      </w:r>
      <w:r>
        <w:rPr>
          <w:rFonts w:ascii="Arial" w:cs="Arial" w:eastAsia="Arial" w:hAnsi="Arial"/>
          <w:sz w:val="21"/>
          <w:szCs w:val="21"/>
          <w:color w:val="auto"/>
        </w:rPr>
        <w:t>. The Borrower hereby represents and warrants that (i) this Amendment and the Amended Credit Agreement each constitutes a legal, valid and binding obligation of it, enforceable against it in accordance with its terms, (ii) immediately prior to the effectiveness of this Amendment, no Default or Event of Default (other than the Possible Default or Event of Default or the Specified Default or Event of Default) shall exist and,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References to Credit Agreement</w:t>
      </w:r>
      <w:r>
        <w:rPr>
          <w:rFonts w:ascii="Arial" w:cs="Arial" w:eastAsia="Arial" w:hAnsi="Arial"/>
          <w:sz w:val="22"/>
          <w:szCs w:val="22"/>
          <w:color w:val="auto"/>
        </w:rPr>
        <w:t>. Upon the effectiveness of this Amendment, each reference in the Amended Credit Agreement to “this Agreement”, “hereunder”, “hereof”, “herein”, or words of like import shall mean and be a reference to the Credit Agreement as amended hereby and each reference to the Credit Agreement in the other Loan Documents and in any other document, instrument or agreement executed and/or delivered in connection with the Credit Agreement shall mean and be a reference to the Credit Agreement as amended hereby.</w:t>
      </w:r>
    </w:p>
    <w:p>
      <w:pPr>
        <w:spacing w:after="0" w:line="18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Effect on Existing Agreements</w:t>
      </w:r>
      <w:r>
        <w:rPr>
          <w:rFonts w:ascii="Arial" w:cs="Arial" w:eastAsia="Arial" w:hAnsi="Arial"/>
          <w:sz w:val="19"/>
          <w:szCs w:val="19"/>
          <w:color w:val="auto"/>
        </w:rPr>
        <w:t>. Except as specifically amended above, the Credit Agreement, the other Loan Documents and all other documents, instruments and agreements executed and/or delivered in connection therewith shall remain in full force and effect and are hereby ratified and confirmed in all respects. This Amendment does not constitute a novation or termination of the Secured Obligations (as defined in the Guarantee and Security Agreement) under the Credit Agreement as in effect immediately prior to the effectiveness of this Amendment and which remain outstanding.</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No Waiver</w:t>
      </w:r>
      <w:r>
        <w:rPr>
          <w:rFonts w:ascii="Arial" w:cs="Arial" w:eastAsia="Arial" w:hAnsi="Arial"/>
          <w:sz w:val="22"/>
          <w:szCs w:val="22"/>
          <w:color w:val="auto"/>
        </w:rPr>
        <w:t>. The execution, delivery and effectiveness of this Amendment shall not operate as a waiver of any right, power or remedy of the Administrative Agent under the Credit Agreement, the Amended Credit Agreement, the other Loan Documents or any other document,</w:t>
      </w:r>
    </w:p>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748469295 11262547</w:t>
        <w:tab/>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jc w:val="both"/>
        <w:ind w:right="20"/>
        <w:spacing w:after="0" w:line="274" w:lineRule="auto"/>
        <w:rPr>
          <w:sz w:val="20"/>
          <w:szCs w:val="20"/>
          <w:color w:val="auto"/>
        </w:rPr>
      </w:pPr>
      <w:r>
        <w:rPr>
          <w:rFonts w:ascii="Arial" w:cs="Arial" w:eastAsia="Arial" w:hAnsi="Arial"/>
          <w:sz w:val="21"/>
          <w:szCs w:val="21"/>
          <w:color w:val="auto"/>
        </w:rPr>
        <w:t>instrument or agreement executed in connection therewith, nor constitute a waiver of any provision contained therein, except as specifically set forth herein. The parties hereto hereby agree that this Amendment is a Loan Document.</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shall be construed in accordance with and governed by the law of the State of New York.</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Amendment shall be binding upon and shall inure to the benefit of the parties hereto and their respective successors and permitted assigns.</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in this Amendment are inserted for convenience of reference only and shall not affect the meaning or interpretation of this Amendment or any provision hereof.</w:t>
      </w:r>
    </w:p>
    <w:p>
      <w:pPr>
        <w:spacing w:after="0" w:line="17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8.8.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by the parties hereto in several counterparts, each of which shall be deemed to be an original and all of which shall constitute together but one and the same agreement.</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u w:val="single" w:color="auto"/>
          <w:color w:val="auto"/>
        </w:rPr>
        <w:t>Reaffirmation</w:t>
      </w:r>
      <w:r>
        <w:rPr>
          <w:rFonts w:ascii="Arial" w:cs="Arial" w:eastAsia="Arial" w:hAnsi="Arial"/>
          <w:sz w:val="21"/>
          <w:szCs w:val="21"/>
          <w:color w:val="auto"/>
        </w:rPr>
        <w:t>. Each of PNNT CI and PNNT Investment Holdings (i) hereby consents to the terms of this Amendment and the Amended Credit Agreement, (ii) hereby confirms that, after giving effect to this Amendment and the transactions contemplated hereby, its Guarantee under the Guarantee and Security Agreement remains unaltered and in full force and effect and (iii) hereby reaffirms, ratifies and confirms that, after giving effect to this Amendment and the transactions contemplated hereby, the Liens and other security interests granted by it pursuant to, and the terms and conditions of, the Guarantee and Security Agreement remain unaltered and in full force and effect.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FOLLOW]</w:t>
      </w:r>
    </w:p>
    <w:p>
      <w:pPr>
        <w:spacing w:after="0" w:line="200" w:lineRule="exact"/>
        <w:rPr>
          <w:sz w:val="20"/>
          <w:szCs w:val="20"/>
          <w:color w:val="auto"/>
        </w:rPr>
      </w:pPr>
    </w:p>
    <w:p>
      <w:pPr>
        <w:spacing w:after="0" w:line="211" w:lineRule="exact"/>
        <w:rPr>
          <w:sz w:val="20"/>
          <w:szCs w:val="20"/>
          <w:color w:val="auto"/>
        </w:rPr>
      </w:pPr>
    </w:p>
    <w:p>
      <w:pPr>
        <w:spacing w:after="0"/>
        <w:tabs>
          <w:tab w:leader="none" w:pos="1420" w:val="left"/>
        </w:tabs>
        <w:rPr>
          <w:sz w:val="20"/>
          <w:szCs w:val="20"/>
          <w:color w:val="auto"/>
        </w:rPr>
      </w:pPr>
      <w:r>
        <w:rPr>
          <w:rFonts w:ascii="Arial" w:cs="Arial" w:eastAsia="Arial" w:hAnsi="Arial"/>
          <w:sz w:val="14"/>
          <w:szCs w:val="14"/>
          <w:color w:val="auto"/>
        </w:rPr>
        <w:t>748469295 11262547</w:t>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ind w:firstLine="749"/>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Amendment to be executed by their respective officers</w:t>
      </w:r>
      <w:r>
        <w:rPr>
          <w:rFonts w:ascii="Arial" w:cs="Arial" w:eastAsia="Arial" w:hAnsi="Arial"/>
          <w:sz w:val="22"/>
          <w:szCs w:val="22"/>
          <w:b w:val="1"/>
          <w:bCs w:val="1"/>
          <w:color w:val="auto"/>
        </w:rPr>
        <w:t xml:space="preserve"> </w:t>
      </w:r>
      <w:r>
        <w:rPr>
          <w:rFonts w:ascii="Arial" w:cs="Arial" w:eastAsia="Arial" w:hAnsi="Arial"/>
          <w:sz w:val="22"/>
          <w:szCs w:val="22"/>
          <w:color w:val="auto"/>
        </w:rPr>
        <w:t>thereunto duly authorized, as of the date first above written.</w:t>
      </w:r>
    </w:p>
    <w:p>
      <w:pPr>
        <w:spacing w:after="0" w:line="16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PENNANTPARK INVESTMENT CORPORATION</w:t>
      </w:r>
      <w:r>
        <w:rPr>
          <w:rFonts w:ascii="Arial" w:cs="Arial" w:eastAsia="Arial" w:hAnsi="Arial"/>
          <w:sz w:val="22"/>
          <w:szCs w:val="22"/>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23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281940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2819400" cy="8255"/>
                    </a:xfrm>
                    <a:prstGeom prst="rect">
                      <a:avLst/>
                    </a:prstGeom>
                    <a:noFill/>
                  </pic:spPr>
                </pic:pic>
              </a:graphicData>
            </a:graphic>
          </wp:anchor>
        </w:drawing>
      </w:r>
    </w:p>
    <w:p>
      <w:pPr>
        <w:ind w:left="4820"/>
        <w:spacing w:after="0" w:line="238" w:lineRule="auto"/>
        <w:rPr>
          <w:sz w:val="20"/>
          <w:szCs w:val="20"/>
          <w:color w:val="auto"/>
        </w:rPr>
      </w:pPr>
      <w:r>
        <w:rPr>
          <w:rFonts w:ascii="Arial" w:cs="Arial" w:eastAsia="Arial" w:hAnsi="Arial"/>
          <w:sz w:val="22"/>
          <w:szCs w:val="22"/>
          <w:color w:val="auto"/>
        </w:rPr>
        <w:t>Name: Arthur H. Penn</w:t>
      </w:r>
    </w:p>
    <w:p>
      <w:pPr>
        <w:ind w:left="48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748469295 11262547</w:t>
      </w:r>
      <w:r>
        <w:rPr>
          <w:sz w:val="20"/>
          <w:szCs w:val="20"/>
          <w:color w:val="auto"/>
        </w:rPr>
        <w:tab/>
      </w:r>
      <w:r>
        <w:rPr>
          <w:rFonts w:ascii="Arial" w:cs="Arial" w:eastAsia="Arial" w:hAnsi="Arial"/>
          <w:sz w:val="12"/>
          <w:szCs w:val="12"/>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8" w:name="page69"/>
    <w:bookmarkEnd w:id="68"/>
    <w:p>
      <w:pPr>
        <w:ind w:left="4500"/>
        <w:spacing w:after="0"/>
        <w:rPr>
          <w:sz w:val="20"/>
          <w:szCs w:val="20"/>
          <w:color w:val="auto"/>
        </w:rPr>
      </w:pPr>
      <w:r>
        <w:rPr>
          <w:rFonts w:ascii="Arial" w:cs="Arial" w:eastAsia="Arial" w:hAnsi="Arial"/>
          <w:sz w:val="22"/>
          <w:szCs w:val="22"/>
          <w:b w:val="1"/>
          <w:bCs w:val="1"/>
          <w:color w:val="auto"/>
        </w:rPr>
        <w:t>TRUIST BANK</w:t>
      </w:r>
      <w:r>
        <w:rPr>
          <w:rFonts w:ascii="Arial" w:cs="Arial" w:eastAsia="Arial" w:hAnsi="Arial"/>
          <w:sz w:val="22"/>
          <w:szCs w:val="22"/>
          <w:color w:val="auto"/>
        </w:rPr>
        <w: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as the Administrative Agent, Issuing Bank and a Lender</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David Fournier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-17780</wp:posOffset>
            </wp:positionV>
            <wp:extent cx="281940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2819400" cy="8255"/>
                    </a:xfrm>
                    <a:prstGeom prst="rect">
                      <a:avLst/>
                    </a:prstGeom>
                    <a:noFill/>
                  </pic:spPr>
                </pic:pic>
              </a:graphicData>
            </a:graphic>
          </wp:anchor>
        </w:drawing>
      </w:r>
    </w:p>
    <w:p>
      <w:pPr>
        <w:ind w:left="4820"/>
        <w:spacing w:after="0" w:line="238" w:lineRule="auto"/>
        <w:rPr>
          <w:sz w:val="20"/>
          <w:szCs w:val="20"/>
          <w:color w:val="auto"/>
        </w:rPr>
      </w:pPr>
      <w:r>
        <w:rPr>
          <w:rFonts w:ascii="Arial" w:cs="Arial" w:eastAsia="Arial" w:hAnsi="Arial"/>
          <w:sz w:val="22"/>
          <w:szCs w:val="22"/>
          <w:color w:val="auto"/>
        </w:rPr>
        <w:t>Name: David Fournier</w:t>
      </w:r>
    </w:p>
    <w:p>
      <w:pPr>
        <w:ind w:left="48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color w:val="auto"/>
        </w:rPr>
        <w:t>748469295 11262547</w:t>
      </w:r>
      <w:r>
        <w:rPr>
          <w:sz w:val="20"/>
          <w:szCs w:val="20"/>
          <w:color w:val="auto"/>
        </w:rPr>
        <w:tab/>
      </w:r>
      <w:r>
        <w:rPr>
          <w:rFonts w:ascii="Arial" w:cs="Arial" w:eastAsia="Arial" w:hAnsi="Arial"/>
          <w:sz w:val="12"/>
          <w:szCs w:val="12"/>
          <w:i w:val="1"/>
          <w:iCs w:val="1"/>
          <w:color w:val="auto"/>
        </w:rPr>
        <w:t>Signature Page to Fifth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69" w:name="page70"/>
    <w:bookmarkEnd w:id="69"/>
    <w:p>
      <w:pPr>
        <w:ind w:left="3920"/>
        <w:spacing w:after="0"/>
        <w:rPr>
          <w:sz w:val="20"/>
          <w:szCs w:val="20"/>
          <w:color w:val="auto"/>
        </w:rPr>
      </w:pPr>
      <w:r>
        <w:rPr>
          <w:rFonts w:ascii="Arial" w:cs="Arial" w:eastAsia="Arial" w:hAnsi="Arial"/>
          <w:sz w:val="19"/>
          <w:szCs w:val="19"/>
          <w:b w:val="1"/>
          <w:bCs w:val="1"/>
          <w:color w:val="auto"/>
        </w:rPr>
        <w:t>[_______________]</w:t>
      </w:r>
      <w:r>
        <w:rPr>
          <w:rFonts w:ascii="Arial" w:cs="Arial" w:eastAsia="Arial" w:hAnsi="Arial"/>
          <w:sz w:val="19"/>
          <w:szCs w:val="19"/>
          <w:color w:val="auto"/>
        </w:rPr>
        <w:t>,</w:t>
      </w:r>
    </w:p>
    <w:p>
      <w:pPr>
        <w:spacing w:after="0" w:line="49"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as a Lender</w:t>
      </w:r>
    </w:p>
    <w:p>
      <w:pPr>
        <w:spacing w:after="0" w:line="200" w:lineRule="exact"/>
        <w:rPr>
          <w:sz w:val="20"/>
          <w:szCs w:val="20"/>
          <w:color w:val="auto"/>
        </w:rPr>
      </w:pPr>
    </w:p>
    <w:p>
      <w:pPr>
        <w:spacing w:after="0" w:line="23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-17780</wp:posOffset>
            </wp:positionV>
            <wp:extent cx="7620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4240"/>
        <w:spacing w:after="0" w:line="238" w:lineRule="auto"/>
        <w:rPr>
          <w:sz w:val="20"/>
          <w:szCs w:val="20"/>
          <w:color w:val="auto"/>
        </w:rPr>
      </w:pPr>
      <w:r>
        <w:rPr>
          <w:rFonts w:ascii="Arial" w:cs="Arial" w:eastAsia="Arial" w:hAnsi="Arial"/>
          <w:sz w:val="22"/>
          <w:szCs w:val="22"/>
          <w:color w:val="auto"/>
        </w:rPr>
        <w:t>Name:</w:t>
      </w:r>
    </w:p>
    <w:p>
      <w:pPr>
        <w:ind w:left="4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Signature Page to Fifth Amendme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68580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315" w:right="1440" w:bottom="1440" w:gutter="0" w:footer="0" w:header="0"/>
        </w:sectPr>
      </w:pPr>
    </w:p>
    <w:bookmarkStart w:id="70" w:name="page71"/>
    <w:bookmarkEnd w:id="70"/>
    <w:p>
      <w:pPr>
        <w:ind w:left="3920"/>
        <w:spacing w:after="0"/>
        <w:rPr>
          <w:sz w:val="20"/>
          <w:szCs w:val="20"/>
          <w:color w:val="auto"/>
        </w:rPr>
      </w:pPr>
      <w:r>
        <w:rPr>
          <w:rFonts w:ascii="Arial" w:cs="Arial" w:eastAsia="Arial" w:hAnsi="Arial"/>
          <w:sz w:val="21"/>
          <w:szCs w:val="21"/>
          <w:color w:val="auto"/>
        </w:rPr>
        <w:t xml:space="preserve">Agreed and acknowledged solely with respect to </w:t>
      </w:r>
      <w:r>
        <w:rPr>
          <w:rFonts w:ascii="Arial" w:cs="Arial" w:eastAsia="Arial" w:hAnsi="Arial"/>
          <w:sz w:val="21"/>
          <w:szCs w:val="21"/>
          <w:u w:val="single" w:color="auto"/>
          <w:color w:val="auto"/>
        </w:rPr>
        <w:t>Section 8.9</w:t>
      </w:r>
      <w:r>
        <w:rPr>
          <w:rFonts w:ascii="Arial" w:cs="Arial" w:eastAsia="Arial" w:hAnsi="Arial"/>
          <w:sz w:val="21"/>
          <w:szCs w:val="21"/>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PNNT CI (GALLS) PRIME INVESTMENT HOLDINGS, LLC</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-17780</wp:posOffset>
            </wp:positionV>
            <wp:extent cx="762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76200" cy="8255"/>
                    </a:xfrm>
                    <a:prstGeom prst="rect">
                      <a:avLst/>
                    </a:prstGeom>
                    <a:noFill/>
                  </pic:spPr>
                </pic:pic>
              </a:graphicData>
            </a:graphic>
          </wp:anchor>
        </w:drawing>
      </w:r>
    </w:p>
    <w:p>
      <w:pPr>
        <w:ind w:left="3920"/>
        <w:spacing w:after="0" w:line="238" w:lineRule="auto"/>
        <w:rPr>
          <w:sz w:val="20"/>
          <w:szCs w:val="20"/>
          <w:color w:val="auto"/>
        </w:rPr>
      </w:pPr>
      <w:r>
        <w:rPr>
          <w:rFonts w:ascii="Arial" w:cs="Arial" w:eastAsia="Arial" w:hAnsi="Arial"/>
          <w:sz w:val="22"/>
          <w:szCs w:val="22"/>
          <w:color w:val="auto"/>
        </w:rPr>
        <w:t>Name:</w:t>
      </w:r>
    </w:p>
    <w:p>
      <w:pPr>
        <w:ind w:left="3920"/>
        <w:spacing w:after="0"/>
        <w:rPr>
          <w:sz w:val="20"/>
          <w:szCs w:val="20"/>
          <w:color w:val="auto"/>
        </w:rPr>
      </w:pPr>
      <w:r>
        <w:rPr>
          <w:rFonts w:ascii="Arial" w:cs="Arial" w:eastAsia="Arial" w:hAnsi="Arial"/>
          <w:sz w:val="22"/>
          <w:szCs w:val="22"/>
          <w:color w:val="auto"/>
        </w:rPr>
        <w:t>Title:</w:t>
      </w:r>
    </w:p>
    <w:p>
      <w:pPr>
        <w:spacing w:after="0" w:line="371"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PNNT INVESTMENT HOLDINGS, LLC</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-17780</wp:posOffset>
            </wp:positionV>
            <wp:extent cx="762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3920"/>
        <w:spacing w:after="0" w:line="238" w:lineRule="auto"/>
        <w:rPr>
          <w:sz w:val="20"/>
          <w:szCs w:val="20"/>
          <w:color w:val="auto"/>
        </w:rPr>
      </w:pPr>
      <w:r>
        <w:rPr>
          <w:rFonts w:ascii="Arial" w:cs="Arial" w:eastAsia="Arial" w:hAnsi="Arial"/>
          <w:sz w:val="22"/>
          <w:szCs w:val="22"/>
          <w:color w:val="auto"/>
        </w:rPr>
        <w:t>Name:</w:t>
      </w:r>
    </w:p>
    <w:p>
      <w:pPr>
        <w:ind w:left="3920"/>
        <w:spacing w:after="0"/>
        <w:rPr>
          <w:sz w:val="20"/>
          <w:szCs w:val="20"/>
          <w:color w:val="auto"/>
        </w:rPr>
      </w:pPr>
      <w:r>
        <w:rPr>
          <w:rFonts w:ascii="Arial" w:cs="Arial" w:eastAsia="Arial" w:hAnsi="Arial"/>
          <w:sz w:val="22"/>
          <w:szCs w:val="22"/>
          <w:color w:val="auto"/>
        </w:rPr>
        <w:t>Title:</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Signature Page to Fifth Amendme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68580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80"/>
          </w:cols>
          <w:pgMar w:left="900" w:top="523" w:right="121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color w:val="auto"/>
        </w:rPr>
        <w:t>t</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EXHIBIT A</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Conformed through Fifth Amendment, dated as of July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10.3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w:t>
      </w:r>
    </w:p>
    <w:p>
      <w:pPr>
        <w:jc w:val="center"/>
        <w:spacing w:after="0" w:line="238" w:lineRule="auto"/>
        <w:rPr>
          <w:sz w:val="20"/>
          <w:szCs w:val="20"/>
          <w:color w:val="auto"/>
        </w:rPr>
      </w:pPr>
      <w:r>
        <w:rPr>
          <w:rFonts w:ascii="Arial" w:cs="Arial" w:eastAsia="Arial" w:hAnsi="Arial"/>
          <w:sz w:val="22"/>
          <w:szCs w:val="22"/>
          <w:color w:val="auto"/>
        </w:rPr>
        <w:t>SENIOR SECURED</w:t>
      </w:r>
    </w:p>
    <w:p>
      <w:pPr>
        <w:jc w:val="center"/>
        <w:spacing w:after="0"/>
        <w:rPr>
          <w:sz w:val="20"/>
          <w:szCs w:val="20"/>
          <w:color w:val="auto"/>
        </w:rPr>
      </w:pPr>
      <w:r>
        <w:rPr>
          <w:rFonts w:ascii="Arial" w:cs="Arial" w:eastAsia="Arial" w:hAnsi="Arial"/>
          <w:sz w:val="22"/>
          <w:szCs w:val="22"/>
          <w:color w:val="auto"/>
        </w:rPr>
        <w:t>REVOLVING CREDIT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25, 2014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jc w:val="center"/>
        <w:ind w:right="40"/>
        <w:spacing w:after="0" w:line="234" w:lineRule="auto"/>
        <w:rPr>
          <w:sz w:val="20"/>
          <w:szCs w:val="20"/>
          <w:color w:val="auto"/>
        </w:rPr>
      </w:pPr>
      <w:r>
        <w:rPr>
          <w:rFonts w:ascii="Arial" w:cs="Arial" w:eastAsia="Arial" w:hAnsi="Arial"/>
          <w:sz w:val="22"/>
          <w:szCs w:val="22"/>
          <w:color w:val="auto"/>
        </w:rPr>
        <w:t>as amended by the First Omnibus Amendment to Second Amended and Restated Senior Secured Revolving Credit Agreement and Second Amended and Restated Guarantee and Security Amendment dated as of May 25, 2017, by the Second Amendment to Second Amended and Restated Senior Secured Revolving Credit Agreement dated as of September 4, 2019, by the Third Amendment to Second Amended and Restated Senior Secured Revolving Credit Agreement dated as of December 10, 2021, by the Fourth Amendment to Second Amended and Restated Senior Secured Revolving Credit Agreement dated as of February 23, 2022, and by the Fifth Amendment to Second Amended and Restated Senior Secured Revolving Credit Agreement dated as of July 29, 2022</w:t>
      </w:r>
    </w:p>
    <w:p>
      <w:pPr>
        <w:spacing w:after="0" w:line="191"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among</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PENNANTPARK INVESTMENT CORPORATION</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as Borrower</w:t>
      </w:r>
    </w:p>
    <w:p>
      <w:pPr>
        <w:spacing w:after="0" w:line="18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The LENDERS Party Hereto</w:t>
      </w:r>
    </w:p>
    <w:p>
      <w:pPr>
        <w:spacing w:after="0" w:line="20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TRUIST BANK</w:t>
      </w:r>
    </w:p>
    <w:p>
      <w:pPr>
        <w:spacing w:after="0" w:line="8"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JPMORGAN CHASE BANK, N.A.</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as Syndication Agent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$500,000,000</w:t>
      </w:r>
    </w:p>
    <w:p>
      <w:pPr>
        <w:spacing w:after="0" w:line="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TRUIST SECURITIES, INC.</w:t>
      </w:r>
    </w:p>
    <w:p>
      <w:pPr>
        <w:jc w:val="center"/>
        <w:spacing w:after="0" w:line="238" w:lineRule="auto"/>
        <w:rPr>
          <w:sz w:val="20"/>
          <w:szCs w:val="20"/>
          <w:color w:val="auto"/>
        </w:rPr>
      </w:pPr>
      <w:r>
        <w:rPr>
          <w:rFonts w:ascii="Arial" w:cs="Arial" w:eastAsia="Arial" w:hAnsi="Arial"/>
          <w:sz w:val="22"/>
          <w:szCs w:val="22"/>
          <w:color w:val="auto"/>
        </w:rPr>
        <w:t>JPMORGAN CHASE BANK, N.A.</w:t>
      </w:r>
    </w:p>
    <w:p>
      <w:pPr>
        <w:jc w:val="center"/>
        <w:spacing w:after="0"/>
        <w:rPr>
          <w:sz w:val="20"/>
          <w:szCs w:val="20"/>
          <w:color w:val="auto"/>
        </w:rPr>
      </w:pPr>
      <w:r>
        <w:rPr>
          <w:rFonts w:ascii="Arial" w:cs="Arial" w:eastAsia="Arial" w:hAnsi="Arial"/>
          <w:sz w:val="22"/>
          <w:szCs w:val="22"/>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2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21"/>
        </w:trPr>
        <w:tc>
          <w:tcPr>
            <w:tcW w:w="1200" w:type="dxa"/>
            <w:vAlign w:val="bottom"/>
          </w:tcPr>
          <w:p>
            <w:pPr>
              <w:spacing w:after="0"/>
              <w:rPr>
                <w:sz w:val="20"/>
                <w:szCs w:val="20"/>
                <w:color w:val="auto"/>
              </w:rPr>
            </w:pPr>
            <w:r>
              <w:rPr>
                <w:rFonts w:ascii="Arial" w:cs="Arial" w:eastAsia="Arial" w:hAnsi="Arial"/>
                <w:sz w:val="22"/>
                <w:szCs w:val="22"/>
                <w:color w:val="auto"/>
              </w:rPr>
              <w:t>ARTICLE I</w:t>
            </w:r>
          </w:p>
        </w:tc>
        <w:tc>
          <w:tcPr>
            <w:tcW w:w="7860" w:type="dxa"/>
            <w:vAlign w:val="bottom"/>
          </w:tcPr>
          <w:p>
            <w:pPr>
              <w:ind w:left="100"/>
              <w:spacing w:after="0"/>
              <w:rPr>
                <w:sz w:val="20"/>
                <w:szCs w:val="20"/>
                <w:color w:val="auto"/>
              </w:rPr>
            </w:pPr>
            <w:r>
              <w:rPr>
                <w:rFonts w:ascii="Arial" w:cs="Arial" w:eastAsia="Arial" w:hAnsi="Arial"/>
                <w:sz w:val="22"/>
                <w:szCs w:val="22"/>
                <w:color w:val="auto"/>
              </w:rPr>
              <w:t>DEFINITIONS</w:t>
            </w:r>
          </w:p>
        </w:tc>
        <w:tc>
          <w:tcPr>
            <w:tcW w:w="20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1.01. Defined Terms</w:t>
            </w:r>
          </w:p>
        </w:tc>
        <w:tc>
          <w:tcPr>
            <w:tcW w:w="20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1.02. Classification of Loans and Borrowings</w:t>
            </w:r>
          </w:p>
        </w:tc>
        <w:tc>
          <w:tcPr>
            <w:tcW w:w="20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1.03. Terms Generally</w:t>
            </w:r>
          </w:p>
        </w:tc>
        <w:tc>
          <w:tcPr>
            <w:tcW w:w="20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1.04. Accounting Terms; GAAP</w:t>
            </w:r>
          </w:p>
        </w:tc>
        <w:tc>
          <w:tcPr>
            <w:tcW w:w="20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1.05. Currencies; Currency Equivalents.</w:t>
            </w:r>
          </w:p>
        </w:tc>
        <w:tc>
          <w:tcPr>
            <w:tcW w:w="20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1.06. Divisions</w:t>
            </w:r>
          </w:p>
        </w:tc>
        <w:tc>
          <w:tcPr>
            <w:tcW w:w="20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1.07. Rates</w:t>
            </w:r>
          </w:p>
        </w:tc>
        <w:tc>
          <w:tcPr>
            <w:tcW w:w="20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51"/>
        </w:trPr>
        <w:tc>
          <w:tcPr>
            <w:tcW w:w="1200" w:type="dxa"/>
            <w:vAlign w:val="bottom"/>
          </w:tcPr>
          <w:p>
            <w:pPr>
              <w:spacing w:after="0"/>
              <w:rPr>
                <w:sz w:val="20"/>
                <w:szCs w:val="20"/>
                <w:color w:val="auto"/>
              </w:rPr>
            </w:pPr>
            <w:r>
              <w:rPr>
                <w:rFonts w:ascii="Arial" w:cs="Arial" w:eastAsia="Arial" w:hAnsi="Arial"/>
                <w:sz w:val="22"/>
                <w:szCs w:val="22"/>
                <w:color w:val="auto"/>
              </w:rPr>
              <w:t>ARTICLE II</w:t>
            </w:r>
          </w:p>
        </w:tc>
        <w:tc>
          <w:tcPr>
            <w:tcW w:w="7860" w:type="dxa"/>
            <w:vAlign w:val="bottom"/>
          </w:tcPr>
          <w:p>
            <w:pPr>
              <w:ind w:left="100"/>
              <w:spacing w:after="0"/>
              <w:rPr>
                <w:sz w:val="20"/>
                <w:szCs w:val="20"/>
                <w:color w:val="auto"/>
              </w:rPr>
            </w:pPr>
            <w:r>
              <w:rPr>
                <w:rFonts w:ascii="Arial" w:cs="Arial" w:eastAsia="Arial" w:hAnsi="Arial"/>
                <w:sz w:val="22"/>
                <w:szCs w:val="22"/>
                <w:color w:val="auto"/>
              </w:rPr>
              <w:t>THE CREDITS</w:t>
            </w:r>
          </w:p>
        </w:tc>
        <w:tc>
          <w:tcPr>
            <w:tcW w:w="20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2.01. The Commitments</w:t>
            </w:r>
          </w:p>
        </w:tc>
        <w:tc>
          <w:tcPr>
            <w:tcW w:w="20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2.02. Loans and Borrowings.</w:t>
            </w:r>
          </w:p>
        </w:tc>
        <w:tc>
          <w:tcPr>
            <w:tcW w:w="20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2.03. Requests for Syndicated Borrowings.</w:t>
            </w:r>
          </w:p>
        </w:tc>
        <w:tc>
          <w:tcPr>
            <w:tcW w:w="20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2.04. Swingline Loans.</w:t>
            </w:r>
          </w:p>
        </w:tc>
        <w:tc>
          <w:tcPr>
            <w:tcW w:w="20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2.05. Letters of Credit.</w:t>
            </w:r>
          </w:p>
        </w:tc>
        <w:tc>
          <w:tcPr>
            <w:tcW w:w="204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2.06. Funding of Borrowings.</w:t>
            </w:r>
          </w:p>
        </w:tc>
        <w:tc>
          <w:tcPr>
            <w:tcW w:w="20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2.07. Interest Elections.</w:t>
            </w:r>
          </w:p>
        </w:tc>
        <w:tc>
          <w:tcPr>
            <w:tcW w:w="20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2.08. Termination, Reduction or Increase of the Commitments.</w:t>
            </w:r>
          </w:p>
        </w:tc>
        <w:tc>
          <w:tcPr>
            <w:tcW w:w="20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2.09. Repayment of Loans; Evidence of Debt.</w:t>
            </w:r>
          </w:p>
        </w:tc>
        <w:tc>
          <w:tcPr>
            <w:tcW w:w="204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2.10. Prepayment of Loans.</w:t>
            </w:r>
          </w:p>
        </w:tc>
        <w:tc>
          <w:tcPr>
            <w:tcW w:w="204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2.11. Fees.</w:t>
            </w:r>
          </w:p>
        </w:tc>
        <w:tc>
          <w:tcPr>
            <w:tcW w:w="204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2.12. Interest.</w:t>
            </w:r>
          </w:p>
        </w:tc>
        <w:tc>
          <w:tcPr>
            <w:tcW w:w="204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2.13. Inability to Determine Interest Rates</w:t>
            </w:r>
          </w:p>
        </w:tc>
        <w:tc>
          <w:tcPr>
            <w:tcW w:w="204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2.14. Increased Costs.</w:t>
            </w:r>
          </w:p>
        </w:tc>
        <w:tc>
          <w:tcPr>
            <w:tcW w:w="204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2.15. Break Funding Payments</w:t>
            </w:r>
          </w:p>
        </w:tc>
        <w:tc>
          <w:tcPr>
            <w:tcW w:w="204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2.16. Taxes</w:t>
            </w:r>
          </w:p>
        </w:tc>
        <w:tc>
          <w:tcPr>
            <w:tcW w:w="2040" w:type="dxa"/>
            <w:vAlign w:val="bottom"/>
          </w:tcPr>
          <w:p>
            <w:pPr>
              <w:jc w:val="right"/>
              <w:spacing w:after="0"/>
              <w:rPr>
                <w:sz w:val="20"/>
                <w:szCs w:val="20"/>
                <w:color w:val="auto"/>
              </w:rPr>
            </w:pPr>
            <w:r>
              <w:rPr>
                <w:rFonts w:ascii="Arial" w:cs="Arial" w:eastAsia="Arial" w:hAnsi="Arial"/>
                <w:sz w:val="22"/>
                <w:szCs w:val="22"/>
                <w:color w:val="auto"/>
              </w:rPr>
              <w:t>76</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2.17. Payments Generally; Pro Rata Treatment: Sharing of Set-offs.</w:t>
            </w:r>
          </w:p>
        </w:tc>
        <w:tc>
          <w:tcPr>
            <w:tcW w:w="2040" w:type="dxa"/>
            <w:vAlign w:val="bottom"/>
          </w:tcPr>
          <w:p>
            <w:pPr>
              <w:jc w:val="right"/>
              <w:spacing w:after="0"/>
              <w:rPr>
                <w:sz w:val="20"/>
                <w:szCs w:val="20"/>
                <w:color w:val="auto"/>
              </w:rPr>
            </w:pPr>
            <w:r>
              <w:rPr>
                <w:rFonts w:ascii="Arial" w:cs="Arial" w:eastAsia="Arial" w:hAnsi="Arial"/>
                <w:sz w:val="22"/>
                <w:szCs w:val="22"/>
                <w:color w:val="auto"/>
              </w:rPr>
              <w:t>79</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2.18. Mitigation Obligations; Replacement of Lenders.</w:t>
            </w:r>
          </w:p>
        </w:tc>
        <w:tc>
          <w:tcPr>
            <w:tcW w:w="204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351"/>
        </w:trPr>
        <w:tc>
          <w:tcPr>
            <w:tcW w:w="9060" w:type="dxa"/>
            <w:vAlign w:val="bottom"/>
            <w:gridSpan w:val="2"/>
          </w:tcPr>
          <w:p>
            <w:pPr>
              <w:ind w:left="640"/>
              <w:spacing w:after="0"/>
              <w:rPr>
                <w:sz w:val="20"/>
                <w:szCs w:val="20"/>
                <w:color w:val="auto"/>
              </w:rPr>
            </w:pPr>
            <w:r>
              <w:rPr>
                <w:rFonts w:ascii="Arial" w:cs="Arial" w:eastAsia="Arial" w:hAnsi="Arial"/>
                <w:sz w:val="22"/>
                <w:szCs w:val="22"/>
                <w:color w:val="auto"/>
              </w:rPr>
              <w:t>SECTION 2.19. Defaulting Lenders.</w:t>
            </w:r>
          </w:p>
        </w:tc>
        <w:tc>
          <w:tcPr>
            <w:tcW w:w="2040" w:type="dxa"/>
            <w:vAlign w:val="bottom"/>
          </w:tcPr>
          <w:p>
            <w:pPr>
              <w:jc w:val="right"/>
              <w:spacing w:after="0"/>
              <w:rPr>
                <w:sz w:val="20"/>
                <w:szCs w:val="20"/>
                <w:color w:val="auto"/>
              </w:rPr>
            </w:pPr>
            <w:r>
              <w:rPr>
                <w:rFonts w:ascii="Arial" w:cs="Arial" w:eastAsia="Arial" w:hAnsi="Arial"/>
                <w:sz w:val="22"/>
                <w:szCs w:val="22"/>
                <w:color w:val="auto"/>
              </w:rPr>
              <w:t>83</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20" w:type="dxa"/>
        <w:tblCellMar>
          <w:top w:w="0" w:type="dxa"/>
          <w:left w:w="0" w:type="dxa"/>
          <w:bottom w:w="0" w:type="dxa"/>
          <w:right w:w="0" w:type="dxa"/>
        </w:tblCellMar>
      </w:tblPr>
      <w:tr>
        <w:trPr>
          <w:trHeight w:val="280"/>
        </w:trPr>
        <w:tc>
          <w:tcPr>
            <w:tcW w:w="954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597"/>
        </w:trPr>
        <w:tc>
          <w:tcPr>
            <w:tcW w:w="9540" w:type="dxa"/>
            <w:vAlign w:val="bottom"/>
          </w:tcPr>
          <w:p>
            <w:pPr>
              <w:ind w:left="640"/>
              <w:spacing w:after="0"/>
              <w:rPr>
                <w:sz w:val="20"/>
                <w:szCs w:val="20"/>
                <w:color w:val="auto"/>
              </w:rPr>
            </w:pPr>
            <w:r>
              <w:rPr>
                <w:rFonts w:ascii="Arial" w:cs="Arial" w:eastAsia="Arial" w:hAnsi="Arial"/>
                <w:sz w:val="22"/>
                <w:szCs w:val="22"/>
                <w:color w:val="auto"/>
              </w:rPr>
              <w:t>SECTION 2.20. Reallocation Following a Non-Extended Commitment Termination Date.</w:t>
            </w:r>
          </w:p>
        </w:tc>
        <w:tc>
          <w:tcPr>
            <w:tcW w:w="1560" w:type="dxa"/>
            <w:vAlign w:val="bottom"/>
          </w:tcPr>
          <w:p>
            <w:pPr>
              <w:jc w:val="right"/>
              <w:spacing w:after="0"/>
              <w:rPr>
                <w:sz w:val="20"/>
                <w:szCs w:val="20"/>
                <w:color w:val="auto"/>
              </w:rPr>
            </w:pPr>
            <w:r>
              <w:rPr>
                <w:rFonts w:ascii="Arial" w:cs="Arial" w:eastAsia="Arial" w:hAnsi="Arial"/>
                <w:sz w:val="22"/>
                <w:szCs w:val="22"/>
                <w:color w:val="auto"/>
              </w:rPr>
              <w:t>87</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2.21. [Reserved]</w:t>
            </w:r>
          </w:p>
        </w:tc>
        <w:tc>
          <w:tcPr>
            <w:tcW w:w="15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2.22. Benchmark Replacement.</w:t>
            </w:r>
          </w:p>
        </w:tc>
        <w:tc>
          <w:tcPr>
            <w:tcW w:w="15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351"/>
        </w:trPr>
        <w:tc>
          <w:tcPr>
            <w:tcW w:w="9540" w:type="dxa"/>
            <w:vAlign w:val="bottom"/>
          </w:tcPr>
          <w:p>
            <w:pPr>
              <w:spacing w:after="0"/>
              <w:rPr>
                <w:sz w:val="20"/>
                <w:szCs w:val="20"/>
                <w:color w:val="auto"/>
              </w:rPr>
            </w:pPr>
            <w:r>
              <w:rPr>
                <w:rFonts w:ascii="Arial" w:cs="Arial" w:eastAsia="Arial" w:hAnsi="Arial"/>
                <w:sz w:val="22"/>
                <w:szCs w:val="22"/>
                <w:color w:val="auto"/>
              </w:rPr>
              <w:t>ARTICLE III REPRESENTATIONS AND WARRANTIES</w:t>
            </w:r>
          </w:p>
        </w:tc>
        <w:tc>
          <w:tcPr>
            <w:tcW w:w="15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3.01. Organization; Powers</w:t>
            </w:r>
          </w:p>
        </w:tc>
        <w:tc>
          <w:tcPr>
            <w:tcW w:w="15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3.02. Authorization; Enforceability</w:t>
            </w:r>
          </w:p>
        </w:tc>
        <w:tc>
          <w:tcPr>
            <w:tcW w:w="156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3.03. Governmental Approvals; No Conflicts</w:t>
            </w:r>
          </w:p>
        </w:tc>
        <w:tc>
          <w:tcPr>
            <w:tcW w:w="15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3.04. Financial Condition; No Material Adverse Change.</w:t>
            </w:r>
          </w:p>
        </w:tc>
        <w:tc>
          <w:tcPr>
            <w:tcW w:w="15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3.05. Litigation</w:t>
            </w:r>
          </w:p>
        </w:tc>
        <w:tc>
          <w:tcPr>
            <w:tcW w:w="15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3.06. Compliance with Laws and Agreements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3.07. Taxes</w:t>
            </w:r>
          </w:p>
        </w:tc>
        <w:tc>
          <w:tcPr>
            <w:tcW w:w="15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3.08. ERISA</w:t>
            </w:r>
          </w:p>
        </w:tc>
        <w:tc>
          <w:tcPr>
            <w:tcW w:w="15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3.09. Disclosure</w:t>
            </w:r>
          </w:p>
        </w:tc>
        <w:tc>
          <w:tcPr>
            <w:tcW w:w="15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3.10. Investment Company Act; Margin Regulations.</w:t>
            </w:r>
          </w:p>
        </w:tc>
        <w:tc>
          <w:tcPr>
            <w:tcW w:w="156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3.11. Material Agreements and Liens.</w:t>
            </w:r>
          </w:p>
        </w:tc>
        <w:tc>
          <w:tcPr>
            <w:tcW w:w="15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3.12. Subsidiaries and Investments.</w:t>
            </w:r>
          </w:p>
        </w:tc>
        <w:tc>
          <w:tcPr>
            <w:tcW w:w="15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3.13. Properties.</w:t>
            </w:r>
          </w:p>
        </w:tc>
        <w:tc>
          <w:tcPr>
            <w:tcW w:w="156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3.14. Affiliate Agreements</w:t>
            </w:r>
          </w:p>
        </w:tc>
        <w:tc>
          <w:tcPr>
            <w:tcW w:w="156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3.15. Sanctions</w:t>
            </w:r>
          </w:p>
        </w:tc>
        <w:tc>
          <w:tcPr>
            <w:tcW w:w="156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3.16. Patriot Act</w:t>
            </w:r>
          </w:p>
        </w:tc>
        <w:tc>
          <w:tcPr>
            <w:tcW w:w="156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3.17. Collateral Documents</w:t>
            </w:r>
          </w:p>
        </w:tc>
        <w:tc>
          <w:tcPr>
            <w:tcW w:w="156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3.18. EEA Financial Institutions</w:t>
            </w:r>
          </w:p>
        </w:tc>
        <w:tc>
          <w:tcPr>
            <w:tcW w:w="156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51"/>
        </w:trPr>
        <w:tc>
          <w:tcPr>
            <w:tcW w:w="9540" w:type="dxa"/>
            <w:vAlign w:val="bottom"/>
          </w:tcPr>
          <w:p>
            <w:pPr>
              <w:spacing w:after="0"/>
              <w:rPr>
                <w:sz w:val="20"/>
                <w:szCs w:val="20"/>
                <w:color w:val="auto"/>
              </w:rPr>
            </w:pPr>
            <w:r>
              <w:rPr>
                <w:rFonts w:ascii="Arial" w:cs="Arial" w:eastAsia="Arial" w:hAnsi="Arial"/>
                <w:sz w:val="22"/>
                <w:szCs w:val="22"/>
                <w:color w:val="auto"/>
              </w:rPr>
              <w:t>ARTICLE IV CONDITIONS</w:t>
            </w:r>
          </w:p>
        </w:tc>
        <w:tc>
          <w:tcPr>
            <w:tcW w:w="156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4.01. Effective Date</w:t>
            </w:r>
          </w:p>
        </w:tc>
        <w:tc>
          <w:tcPr>
            <w:tcW w:w="156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4.02. Each Credit Event</w:t>
            </w:r>
          </w:p>
        </w:tc>
        <w:tc>
          <w:tcPr>
            <w:tcW w:w="1560" w:type="dxa"/>
            <w:vAlign w:val="bottom"/>
          </w:tcPr>
          <w:p>
            <w:pPr>
              <w:jc w:val="right"/>
              <w:spacing w:after="0"/>
              <w:rPr>
                <w:sz w:val="20"/>
                <w:szCs w:val="20"/>
                <w:color w:val="auto"/>
              </w:rPr>
            </w:pPr>
            <w:r>
              <w:rPr>
                <w:rFonts w:ascii="Arial" w:cs="Arial" w:eastAsia="Arial" w:hAnsi="Arial"/>
                <w:sz w:val="22"/>
                <w:szCs w:val="22"/>
                <w:color w:val="auto"/>
              </w:rPr>
              <w:t>97</w:t>
            </w:r>
          </w:p>
        </w:tc>
      </w:tr>
      <w:tr>
        <w:trPr>
          <w:trHeight w:val="351"/>
        </w:trPr>
        <w:tc>
          <w:tcPr>
            <w:tcW w:w="9540" w:type="dxa"/>
            <w:vAlign w:val="bottom"/>
          </w:tcPr>
          <w:p>
            <w:pPr>
              <w:spacing w:after="0"/>
              <w:rPr>
                <w:sz w:val="20"/>
                <w:szCs w:val="20"/>
                <w:color w:val="auto"/>
              </w:rPr>
            </w:pPr>
            <w:r>
              <w:rPr>
                <w:rFonts w:ascii="Arial" w:cs="Arial" w:eastAsia="Arial" w:hAnsi="Arial"/>
                <w:sz w:val="22"/>
                <w:szCs w:val="22"/>
                <w:color w:val="auto"/>
              </w:rPr>
              <w:t>ARTICLE V  AFFIRMATIVE COVENANTS</w:t>
            </w:r>
          </w:p>
        </w:tc>
        <w:tc>
          <w:tcPr>
            <w:tcW w:w="15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5.01. Financial Statements and Other Information</w:t>
            </w:r>
          </w:p>
        </w:tc>
        <w:tc>
          <w:tcPr>
            <w:tcW w:w="156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5.02. Notices of Material Events</w:t>
            </w:r>
          </w:p>
        </w:tc>
        <w:tc>
          <w:tcPr>
            <w:tcW w:w="156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5.03. Existence; Conduct of Business</w:t>
            </w:r>
          </w:p>
        </w:tc>
        <w:tc>
          <w:tcPr>
            <w:tcW w:w="156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51"/>
        </w:trPr>
        <w:tc>
          <w:tcPr>
            <w:tcW w:w="9540" w:type="dxa"/>
            <w:vAlign w:val="bottom"/>
          </w:tcPr>
          <w:p>
            <w:pPr>
              <w:ind w:left="640"/>
              <w:spacing w:after="0"/>
              <w:rPr>
                <w:sz w:val="20"/>
                <w:szCs w:val="20"/>
                <w:color w:val="auto"/>
              </w:rPr>
            </w:pPr>
            <w:r>
              <w:rPr>
                <w:rFonts w:ascii="Arial" w:cs="Arial" w:eastAsia="Arial" w:hAnsi="Arial"/>
                <w:sz w:val="22"/>
                <w:szCs w:val="22"/>
                <w:color w:val="auto"/>
              </w:rPr>
              <w:t>SECTION 5.04. Payment of Obligations</w:t>
            </w:r>
          </w:p>
        </w:tc>
        <w:tc>
          <w:tcPr>
            <w:tcW w:w="1560" w:type="dxa"/>
            <w:vAlign w:val="bottom"/>
          </w:tcPr>
          <w:p>
            <w:pPr>
              <w:jc w:val="right"/>
              <w:spacing w:after="0"/>
              <w:rPr>
                <w:sz w:val="20"/>
                <w:szCs w:val="20"/>
                <w:color w:val="auto"/>
              </w:rPr>
            </w:pPr>
            <w:r>
              <w:rPr>
                <w:rFonts w:ascii="Arial" w:cs="Arial" w:eastAsia="Arial" w:hAnsi="Arial"/>
                <w:sz w:val="22"/>
                <w:szCs w:val="22"/>
                <w:color w:val="auto"/>
              </w:rPr>
              <w:t>101</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20" w:type="dxa"/>
        <w:tblCellMar>
          <w:top w:w="0" w:type="dxa"/>
          <w:left w:w="0" w:type="dxa"/>
          <w:bottom w:w="0" w:type="dxa"/>
          <w:right w:w="0" w:type="dxa"/>
        </w:tblCellMar>
      </w:tblPr>
      <w:tr>
        <w:trPr>
          <w:trHeight w:val="280"/>
        </w:trPr>
        <w:tc>
          <w:tcPr>
            <w:tcW w:w="15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597"/>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5.05. Maintenance of Properties; Insurance</w:t>
            </w:r>
          </w:p>
        </w:tc>
        <w:tc>
          <w:tcPr>
            <w:tcW w:w="18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5.06. Books and Records; Inspection and Audit Rights.</w:t>
            </w:r>
          </w:p>
        </w:tc>
        <w:tc>
          <w:tcPr>
            <w:tcW w:w="18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5.07. Compliance with Laws</w:t>
            </w:r>
          </w:p>
        </w:tc>
        <w:tc>
          <w:tcPr>
            <w:tcW w:w="18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5.08. Certain Obligations Respecting Subsidiaries; Further Assurances.</w:t>
            </w:r>
          </w:p>
        </w:tc>
        <w:tc>
          <w:tcPr>
            <w:tcW w:w="18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5.09. Use of Proceeds</w:t>
            </w:r>
          </w:p>
        </w:tc>
        <w:tc>
          <w:tcPr>
            <w:tcW w:w="18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5.10. Status of RIC and BDC</w:t>
            </w:r>
          </w:p>
        </w:tc>
        <w:tc>
          <w:tcPr>
            <w:tcW w:w="18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5.11. Investment Policies</w:t>
            </w:r>
          </w:p>
        </w:tc>
        <w:tc>
          <w:tcPr>
            <w:tcW w:w="18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5.12. Portfolio Valuation and Diversification Etc.</w:t>
            </w:r>
          </w:p>
        </w:tc>
        <w:tc>
          <w:tcPr>
            <w:tcW w:w="1880" w:type="dxa"/>
            <w:vAlign w:val="bottom"/>
          </w:tcPr>
          <w:p>
            <w:pPr>
              <w:jc w:val="right"/>
              <w:spacing w:after="0"/>
              <w:rPr>
                <w:sz w:val="20"/>
                <w:szCs w:val="20"/>
                <w:color w:val="auto"/>
              </w:rPr>
            </w:pPr>
            <w:r>
              <w:rPr>
                <w:rFonts w:ascii="Arial" w:cs="Arial" w:eastAsia="Arial" w:hAnsi="Arial"/>
                <w:sz w:val="22"/>
                <w:szCs w:val="22"/>
                <w:color w:val="auto"/>
              </w:rPr>
              <w:t>104</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5.13. Calculation of Borrowing Base</w:t>
            </w:r>
          </w:p>
        </w:tc>
        <w:tc>
          <w:tcPr>
            <w:tcW w:w="1880" w:type="dxa"/>
            <w:vAlign w:val="bottom"/>
          </w:tcPr>
          <w:p>
            <w:pPr>
              <w:jc w:val="right"/>
              <w:spacing w:after="0"/>
              <w:rPr>
                <w:sz w:val="20"/>
                <w:szCs w:val="20"/>
                <w:color w:val="auto"/>
              </w:rPr>
            </w:pPr>
            <w:r>
              <w:rPr>
                <w:rFonts w:ascii="Arial" w:cs="Arial" w:eastAsia="Arial" w:hAnsi="Arial"/>
                <w:sz w:val="22"/>
                <w:szCs w:val="22"/>
                <w:color w:val="auto"/>
              </w:rPr>
              <w:t>108</w:t>
            </w:r>
          </w:p>
        </w:tc>
      </w:tr>
      <w:tr>
        <w:trPr>
          <w:trHeight w:val="351"/>
        </w:trPr>
        <w:tc>
          <w:tcPr>
            <w:tcW w:w="9220" w:type="dxa"/>
            <w:vAlign w:val="bottom"/>
            <w:gridSpan w:val="2"/>
          </w:tcPr>
          <w:p>
            <w:pPr>
              <w:spacing w:after="0"/>
              <w:rPr>
                <w:sz w:val="20"/>
                <w:szCs w:val="20"/>
                <w:color w:val="auto"/>
              </w:rPr>
            </w:pPr>
            <w:r>
              <w:rPr>
                <w:rFonts w:ascii="Arial" w:cs="Arial" w:eastAsia="Arial" w:hAnsi="Arial"/>
                <w:sz w:val="22"/>
                <w:szCs w:val="22"/>
                <w:color w:val="auto"/>
              </w:rPr>
              <w:t>ARTICLE VI NEGATIVE COVENANTS</w:t>
            </w:r>
          </w:p>
        </w:tc>
        <w:tc>
          <w:tcPr>
            <w:tcW w:w="188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6.01. Indebtedness</w:t>
            </w:r>
          </w:p>
        </w:tc>
        <w:tc>
          <w:tcPr>
            <w:tcW w:w="188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6.02. Liens</w:t>
            </w:r>
          </w:p>
        </w:tc>
        <w:tc>
          <w:tcPr>
            <w:tcW w:w="188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6.03. Fundamental Changes</w:t>
            </w:r>
          </w:p>
        </w:tc>
        <w:tc>
          <w:tcPr>
            <w:tcW w:w="188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6.04. Investments</w:t>
            </w:r>
          </w:p>
        </w:tc>
        <w:tc>
          <w:tcPr>
            <w:tcW w:w="188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6.05. Restricted Payments</w:t>
            </w:r>
          </w:p>
        </w:tc>
        <w:tc>
          <w:tcPr>
            <w:tcW w:w="188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6.06. Certain Restrictions on Subsidiaries</w:t>
            </w:r>
          </w:p>
        </w:tc>
        <w:tc>
          <w:tcPr>
            <w:tcW w:w="188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6.07. Certain Financial Covenants.</w:t>
            </w:r>
          </w:p>
        </w:tc>
        <w:tc>
          <w:tcPr>
            <w:tcW w:w="188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6.08. Transactions with Affiliates</w:t>
            </w:r>
          </w:p>
        </w:tc>
        <w:tc>
          <w:tcPr>
            <w:tcW w:w="188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6.09. Lines of Business</w:t>
            </w:r>
          </w:p>
        </w:tc>
        <w:tc>
          <w:tcPr>
            <w:tcW w:w="188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6.10. No Further Negative Pledge</w:t>
            </w:r>
          </w:p>
        </w:tc>
        <w:tc>
          <w:tcPr>
            <w:tcW w:w="188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6.11. Modifications of Longer-Term Indebtedness Documents</w:t>
            </w:r>
          </w:p>
        </w:tc>
        <w:tc>
          <w:tcPr>
            <w:tcW w:w="188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6.12. Payments of Longer-Term Indebtedness</w:t>
            </w:r>
          </w:p>
        </w:tc>
        <w:tc>
          <w:tcPr>
            <w:tcW w:w="188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6.13. Accounting Changes</w:t>
            </w:r>
          </w:p>
        </w:tc>
        <w:tc>
          <w:tcPr>
            <w:tcW w:w="188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6.14. SBIC Guarantee</w:t>
            </w:r>
          </w:p>
        </w:tc>
        <w:tc>
          <w:tcPr>
            <w:tcW w:w="188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351"/>
        </w:trPr>
        <w:tc>
          <w:tcPr>
            <w:tcW w:w="9220" w:type="dxa"/>
            <w:vAlign w:val="bottom"/>
            <w:gridSpan w:val="2"/>
          </w:tcPr>
          <w:p>
            <w:pPr>
              <w:spacing w:after="0"/>
              <w:rPr>
                <w:sz w:val="20"/>
                <w:szCs w:val="20"/>
                <w:color w:val="auto"/>
              </w:rPr>
            </w:pPr>
            <w:r>
              <w:rPr>
                <w:rFonts w:ascii="Arial" w:cs="Arial" w:eastAsia="Arial" w:hAnsi="Arial"/>
                <w:sz w:val="22"/>
                <w:szCs w:val="22"/>
                <w:color w:val="auto"/>
              </w:rPr>
              <w:t>ARTICLE VII EVENTS OF DEFAULT</w:t>
            </w:r>
          </w:p>
        </w:tc>
        <w:tc>
          <w:tcPr>
            <w:tcW w:w="188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351"/>
        </w:trPr>
        <w:tc>
          <w:tcPr>
            <w:tcW w:w="1520" w:type="dxa"/>
            <w:vAlign w:val="bottom"/>
          </w:tcPr>
          <w:p>
            <w:pPr>
              <w:spacing w:after="0"/>
              <w:rPr>
                <w:sz w:val="20"/>
                <w:szCs w:val="20"/>
                <w:color w:val="auto"/>
              </w:rPr>
            </w:pPr>
            <w:r>
              <w:rPr>
                <w:rFonts w:ascii="Arial" w:cs="Arial" w:eastAsia="Arial" w:hAnsi="Arial"/>
                <w:sz w:val="22"/>
                <w:szCs w:val="22"/>
                <w:color w:val="auto"/>
              </w:rPr>
              <w:t>ARTICLE VIII</w:t>
            </w:r>
          </w:p>
        </w:tc>
        <w:tc>
          <w:tcPr>
            <w:tcW w:w="7700" w:type="dxa"/>
            <w:vAlign w:val="bottom"/>
          </w:tcPr>
          <w:p>
            <w:pPr>
              <w:ind w:left="200"/>
              <w:spacing w:after="0"/>
              <w:rPr>
                <w:sz w:val="20"/>
                <w:szCs w:val="20"/>
                <w:color w:val="auto"/>
              </w:rPr>
            </w:pPr>
            <w:r>
              <w:rPr>
                <w:rFonts w:ascii="Arial" w:cs="Arial" w:eastAsia="Arial" w:hAnsi="Arial"/>
                <w:sz w:val="22"/>
                <w:szCs w:val="22"/>
                <w:color w:val="auto"/>
              </w:rPr>
              <w:t>THE ADMINISTRATIVE AGENT</w:t>
            </w:r>
          </w:p>
        </w:tc>
        <w:tc>
          <w:tcPr>
            <w:tcW w:w="18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8.01. Appointment of the Administrative Agent</w:t>
            </w:r>
          </w:p>
        </w:tc>
        <w:tc>
          <w:tcPr>
            <w:tcW w:w="18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8.02. Capacity as Lender</w:t>
            </w:r>
          </w:p>
        </w:tc>
        <w:tc>
          <w:tcPr>
            <w:tcW w:w="18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8.03. Limitation of Duties; Exculpation</w:t>
            </w:r>
          </w:p>
        </w:tc>
        <w:tc>
          <w:tcPr>
            <w:tcW w:w="18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351"/>
        </w:trPr>
        <w:tc>
          <w:tcPr>
            <w:tcW w:w="9220" w:type="dxa"/>
            <w:vAlign w:val="bottom"/>
            <w:gridSpan w:val="2"/>
          </w:tcPr>
          <w:p>
            <w:pPr>
              <w:ind w:left="640"/>
              <w:spacing w:after="0"/>
              <w:rPr>
                <w:sz w:val="20"/>
                <w:szCs w:val="20"/>
                <w:color w:val="auto"/>
              </w:rPr>
            </w:pPr>
            <w:r>
              <w:rPr>
                <w:rFonts w:ascii="Arial" w:cs="Arial" w:eastAsia="Arial" w:hAnsi="Arial"/>
                <w:sz w:val="22"/>
                <w:szCs w:val="22"/>
                <w:color w:val="auto"/>
              </w:rPr>
              <w:t>SECTION 8.04. Reliance</w:t>
            </w:r>
          </w:p>
        </w:tc>
        <w:tc>
          <w:tcPr>
            <w:tcW w:w="1880" w:type="dxa"/>
            <w:vAlign w:val="bottom"/>
          </w:tcPr>
          <w:p>
            <w:pPr>
              <w:jc w:val="right"/>
              <w:spacing w:after="0"/>
              <w:rPr>
                <w:sz w:val="20"/>
                <w:szCs w:val="20"/>
                <w:color w:val="auto"/>
              </w:rPr>
            </w:pPr>
            <w:r>
              <w:rPr>
                <w:rFonts w:ascii="Arial" w:cs="Arial" w:eastAsia="Arial" w:hAnsi="Arial"/>
                <w:sz w:val="22"/>
                <w:szCs w:val="22"/>
                <w:color w:val="auto"/>
              </w:rPr>
              <w:t>128</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-iii-</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2" w:right="45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22"/>
          <w:szCs w:val="22"/>
          <w:b w:val="1"/>
          <w:bCs w:val="1"/>
          <w:color w:val="auto"/>
        </w:rPr>
        <w:t>TABLE OF CONTENTS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(continued)</w:t>
      </w:r>
    </w:p>
    <w:tbl>
      <w:tblPr>
        <w:tblLayout w:type="fixed"/>
        <w:tblInd w:w="20" w:type="dxa"/>
        <w:tblCellMar>
          <w:top w:w="0" w:type="dxa"/>
          <w:left w:w="0" w:type="dxa"/>
          <w:bottom w:w="0" w:type="dxa"/>
          <w:right w:w="0" w:type="dxa"/>
        </w:tblCellMar>
      </w:tblPr>
      <w:tr>
        <w:trPr>
          <w:trHeight w:val="280"/>
        </w:trPr>
        <w:tc>
          <w:tcPr>
            <w:tcW w:w="96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597"/>
        </w:trPr>
        <w:tc>
          <w:tcPr>
            <w:tcW w:w="9660" w:type="dxa"/>
            <w:vAlign w:val="bottom"/>
          </w:tcPr>
          <w:p>
            <w:pPr>
              <w:ind w:left="640"/>
              <w:spacing w:after="0"/>
              <w:rPr>
                <w:sz w:val="20"/>
                <w:szCs w:val="20"/>
                <w:color w:val="auto"/>
              </w:rPr>
            </w:pPr>
            <w:r>
              <w:rPr>
                <w:rFonts w:ascii="Arial" w:cs="Arial" w:eastAsia="Arial" w:hAnsi="Arial"/>
                <w:sz w:val="22"/>
                <w:szCs w:val="22"/>
                <w:color w:val="auto"/>
              </w:rPr>
              <w:t>SECTION 8.05. Sub-Agents</w:t>
            </w:r>
          </w:p>
        </w:tc>
        <w:tc>
          <w:tcPr>
            <w:tcW w:w="144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8.06. Resignation; Successor Administrative Agent</w:t>
            </w:r>
          </w:p>
        </w:tc>
        <w:tc>
          <w:tcPr>
            <w:tcW w:w="144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8.07. Reliance by Lenders</w:t>
            </w:r>
          </w:p>
        </w:tc>
        <w:tc>
          <w:tcPr>
            <w:tcW w:w="14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8.08. Modifications to Loan Documents</w:t>
            </w:r>
          </w:p>
        </w:tc>
        <w:tc>
          <w:tcPr>
            <w:tcW w:w="14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8.09. Erroneous Payments.</w:t>
            </w:r>
          </w:p>
        </w:tc>
        <w:tc>
          <w:tcPr>
            <w:tcW w:w="14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351"/>
        </w:trPr>
        <w:tc>
          <w:tcPr>
            <w:tcW w:w="9660" w:type="dxa"/>
            <w:vAlign w:val="bottom"/>
          </w:tcPr>
          <w:p>
            <w:pPr>
              <w:spacing w:after="0"/>
              <w:rPr>
                <w:sz w:val="20"/>
                <w:szCs w:val="20"/>
                <w:color w:val="auto"/>
              </w:rPr>
            </w:pPr>
            <w:r>
              <w:rPr>
                <w:rFonts w:ascii="Arial" w:cs="Arial" w:eastAsia="Arial" w:hAnsi="Arial"/>
                <w:sz w:val="22"/>
                <w:szCs w:val="22"/>
                <w:color w:val="auto"/>
              </w:rPr>
              <w:t>ARTICLE IX MISCELLANEOUS</w:t>
            </w:r>
          </w:p>
        </w:tc>
        <w:tc>
          <w:tcPr>
            <w:tcW w:w="14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9.01. Notices; Electronic Communications.</w:t>
            </w:r>
          </w:p>
        </w:tc>
        <w:tc>
          <w:tcPr>
            <w:tcW w:w="14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9.02. Waivers; Amendments.</w:t>
            </w:r>
          </w:p>
        </w:tc>
        <w:tc>
          <w:tcPr>
            <w:tcW w:w="1440" w:type="dxa"/>
            <w:vAlign w:val="bottom"/>
          </w:tcPr>
          <w:p>
            <w:pPr>
              <w:jc w:val="right"/>
              <w:spacing w:after="0"/>
              <w:rPr>
                <w:sz w:val="20"/>
                <w:szCs w:val="20"/>
                <w:color w:val="auto"/>
              </w:rPr>
            </w:pPr>
            <w:r>
              <w:rPr>
                <w:rFonts w:ascii="Arial" w:cs="Arial" w:eastAsia="Arial" w:hAnsi="Arial"/>
                <w:sz w:val="22"/>
                <w:szCs w:val="22"/>
                <w:color w:val="auto"/>
              </w:rPr>
              <w:t>135</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9.03. Expenses; Indemnity; Damage Waiver.</w:t>
            </w:r>
          </w:p>
        </w:tc>
        <w:tc>
          <w:tcPr>
            <w:tcW w:w="1440" w:type="dxa"/>
            <w:vAlign w:val="bottom"/>
          </w:tcPr>
          <w:p>
            <w:pPr>
              <w:jc w:val="right"/>
              <w:spacing w:after="0"/>
              <w:rPr>
                <w:sz w:val="20"/>
                <w:szCs w:val="20"/>
                <w:color w:val="auto"/>
              </w:rPr>
            </w:pPr>
            <w:r>
              <w:rPr>
                <w:rFonts w:ascii="Arial" w:cs="Arial" w:eastAsia="Arial" w:hAnsi="Arial"/>
                <w:sz w:val="22"/>
                <w:szCs w:val="22"/>
                <w:color w:val="auto"/>
              </w:rPr>
              <w:t>137</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9.04. Successors and Assigns.</w:t>
            </w:r>
          </w:p>
        </w:tc>
        <w:tc>
          <w:tcPr>
            <w:tcW w:w="1440" w:type="dxa"/>
            <w:vAlign w:val="bottom"/>
          </w:tcPr>
          <w:p>
            <w:pPr>
              <w:jc w:val="right"/>
              <w:spacing w:after="0"/>
              <w:rPr>
                <w:sz w:val="20"/>
                <w:szCs w:val="20"/>
                <w:color w:val="auto"/>
              </w:rPr>
            </w:pPr>
            <w:r>
              <w:rPr>
                <w:rFonts w:ascii="Arial" w:cs="Arial" w:eastAsia="Arial" w:hAnsi="Arial"/>
                <w:sz w:val="22"/>
                <w:szCs w:val="22"/>
                <w:color w:val="auto"/>
              </w:rPr>
              <w:t>139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9.05. Survival</w:t>
            </w:r>
          </w:p>
        </w:tc>
        <w:tc>
          <w:tcPr>
            <w:tcW w:w="144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9.06. Counterparts; Integration; Effectiveness; Electronic Execution.</w:t>
            </w:r>
          </w:p>
        </w:tc>
        <w:tc>
          <w:tcPr>
            <w:tcW w:w="144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9.07. Severability</w:t>
            </w:r>
          </w:p>
        </w:tc>
        <w:tc>
          <w:tcPr>
            <w:tcW w:w="144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9.08. Right of Setoff</w:t>
            </w:r>
          </w:p>
        </w:tc>
        <w:tc>
          <w:tcPr>
            <w:tcW w:w="144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9.09. Governing Law; Jurisdiction; Etc</w:t>
            </w:r>
          </w:p>
        </w:tc>
        <w:tc>
          <w:tcPr>
            <w:tcW w:w="144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9.10. WAIVER OF JURY TRIAL</w:t>
            </w:r>
          </w:p>
        </w:tc>
        <w:tc>
          <w:tcPr>
            <w:tcW w:w="144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9.11. Judgment Currency</w:t>
            </w:r>
          </w:p>
        </w:tc>
        <w:tc>
          <w:tcPr>
            <w:tcW w:w="144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9.12. Headings</w:t>
            </w:r>
          </w:p>
        </w:tc>
        <w:tc>
          <w:tcPr>
            <w:tcW w:w="144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9.13. Treatment of Certain Information; No Fiduciary Duty; Confidentiality.</w:t>
            </w:r>
          </w:p>
        </w:tc>
        <w:tc>
          <w:tcPr>
            <w:tcW w:w="1440" w:type="dxa"/>
            <w:vAlign w:val="bottom"/>
          </w:tcPr>
          <w:p>
            <w:pPr>
              <w:jc w:val="right"/>
              <w:spacing w:after="0"/>
              <w:rPr>
                <w:sz w:val="20"/>
                <w:szCs w:val="20"/>
                <w:color w:val="auto"/>
              </w:rPr>
            </w:pPr>
            <w:r>
              <w:rPr>
                <w:rFonts w:ascii="Arial" w:cs="Arial" w:eastAsia="Arial" w:hAnsi="Arial"/>
                <w:sz w:val="22"/>
                <w:szCs w:val="22"/>
                <w:color w:val="auto"/>
              </w:rPr>
              <w:t>147</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9.14. USA PATRIOT Act</w:t>
            </w:r>
          </w:p>
        </w:tc>
        <w:tc>
          <w:tcPr>
            <w:tcW w:w="144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9.15. Effect of Amendment and Restatement of the Existing Agreement</w:t>
            </w:r>
          </w:p>
        </w:tc>
        <w:tc>
          <w:tcPr>
            <w:tcW w:w="144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9.16. Acknowledgement and Consent to Bail-In of Affected Financial Institutions</w:t>
            </w:r>
          </w:p>
        </w:tc>
        <w:tc>
          <w:tcPr>
            <w:tcW w:w="1440" w:type="dxa"/>
            <w:vAlign w:val="bottom"/>
          </w:tcPr>
          <w:p>
            <w:pPr>
              <w:jc w:val="right"/>
              <w:spacing w:after="0"/>
              <w:rPr>
                <w:sz w:val="20"/>
                <w:szCs w:val="20"/>
                <w:color w:val="auto"/>
              </w:rPr>
            </w:pPr>
            <w:r>
              <w:rPr>
                <w:rFonts w:ascii="Arial" w:cs="Arial" w:eastAsia="Arial" w:hAnsi="Arial"/>
                <w:sz w:val="22"/>
                <w:szCs w:val="22"/>
                <w:color w:val="auto"/>
              </w:rPr>
              <w:t>149</w:t>
            </w:r>
          </w:p>
        </w:tc>
      </w:tr>
      <w:tr>
        <w:trPr>
          <w:trHeight w:val="351"/>
        </w:trPr>
        <w:tc>
          <w:tcPr>
            <w:tcW w:w="9660" w:type="dxa"/>
            <w:vAlign w:val="bottom"/>
          </w:tcPr>
          <w:p>
            <w:pPr>
              <w:ind w:left="640"/>
              <w:spacing w:after="0"/>
              <w:rPr>
                <w:sz w:val="20"/>
                <w:szCs w:val="20"/>
                <w:color w:val="auto"/>
              </w:rPr>
            </w:pPr>
            <w:r>
              <w:rPr>
                <w:rFonts w:ascii="Arial" w:cs="Arial" w:eastAsia="Arial" w:hAnsi="Arial"/>
                <w:sz w:val="22"/>
                <w:szCs w:val="22"/>
                <w:color w:val="auto"/>
              </w:rPr>
              <w:t>SECTION 9.17. Acknowledgement Regarding Any Supported QFCs</w:t>
            </w:r>
          </w:p>
        </w:tc>
        <w:tc>
          <w:tcPr>
            <w:tcW w:w="1440" w:type="dxa"/>
            <w:vAlign w:val="bottom"/>
          </w:tcPr>
          <w:p>
            <w:pPr>
              <w:jc w:val="right"/>
              <w:spacing w:after="0"/>
              <w:rPr>
                <w:sz w:val="20"/>
                <w:szCs w:val="20"/>
                <w:color w:val="auto"/>
              </w:rPr>
            </w:pPr>
            <w:r>
              <w:rPr>
                <w:rFonts w:ascii="Arial" w:cs="Arial" w:eastAsia="Arial" w:hAnsi="Arial"/>
                <w:sz w:val="22"/>
                <w:szCs w:val="22"/>
                <w:color w:val="auto"/>
              </w:rPr>
              <w:t>150</w:t>
            </w:r>
          </w:p>
        </w:tc>
      </w:tr>
    </w:tbl>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-iv-</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748401849 11262547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1" w:right="4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53"/>
        </w:trPr>
        <w:tc>
          <w:tcPr>
            <w:tcW w:w="2000" w:type="dxa"/>
            <w:vAlign w:val="bottom"/>
            <w:gridSpan w:val="3"/>
          </w:tcPr>
          <w:p>
            <w:pPr>
              <w:spacing w:after="0"/>
              <w:rPr>
                <w:sz w:val="20"/>
                <w:szCs w:val="20"/>
                <w:color w:val="auto"/>
              </w:rPr>
            </w:pPr>
            <w:r>
              <w:rPr>
                <w:rFonts w:ascii="Arial" w:cs="Arial" w:eastAsia="Arial" w:hAnsi="Arial"/>
                <w:sz w:val="22"/>
                <w:szCs w:val="22"/>
                <w:color w:val="auto"/>
              </w:rPr>
              <w:t>SCHEDULE 1.01(a)</w:t>
            </w:r>
          </w:p>
        </w:tc>
        <w:tc>
          <w:tcPr>
            <w:tcW w:w="9240" w:type="dxa"/>
            <w:vAlign w:val="bottom"/>
            <w:gridSpan w:val="2"/>
          </w:tcPr>
          <w:p>
            <w:pPr>
              <w:ind w:left="160"/>
              <w:spacing w:after="0"/>
              <w:rPr>
                <w:sz w:val="20"/>
                <w:szCs w:val="20"/>
                <w:color w:val="auto"/>
              </w:rPr>
            </w:pPr>
            <w:r>
              <w:rPr>
                <w:rFonts w:ascii="Arial" w:cs="Arial" w:eastAsia="Arial" w:hAnsi="Arial"/>
                <w:sz w:val="22"/>
                <w:szCs w:val="22"/>
                <w:color w:val="auto"/>
              </w:rPr>
              <w:t>-    Approved Dealers and Approved Pricing Services</w:t>
            </w:r>
          </w:p>
        </w:tc>
      </w:tr>
      <w:tr>
        <w:trPr>
          <w:trHeight w:val="243"/>
        </w:trPr>
        <w:tc>
          <w:tcPr>
            <w:tcW w:w="2000" w:type="dxa"/>
            <w:vAlign w:val="bottom"/>
            <w:gridSpan w:val="3"/>
          </w:tcPr>
          <w:p>
            <w:pPr>
              <w:spacing w:after="0" w:line="243" w:lineRule="exact"/>
              <w:rPr>
                <w:sz w:val="20"/>
                <w:szCs w:val="20"/>
                <w:color w:val="auto"/>
              </w:rPr>
            </w:pPr>
            <w:r>
              <w:rPr>
                <w:rFonts w:ascii="Arial" w:cs="Arial" w:eastAsia="Arial" w:hAnsi="Arial"/>
                <w:sz w:val="22"/>
                <w:szCs w:val="22"/>
                <w:color w:val="auto"/>
              </w:rPr>
              <w:t>SCHEDULE 1.01(b)</w:t>
            </w:r>
          </w:p>
        </w:tc>
        <w:tc>
          <w:tcPr>
            <w:tcW w:w="420" w:type="dxa"/>
            <w:vAlign w:val="bottom"/>
          </w:tcPr>
          <w:p>
            <w:pPr>
              <w:ind w:left="160"/>
              <w:spacing w:after="0" w:line="243" w:lineRule="exact"/>
              <w:rPr>
                <w:sz w:val="20"/>
                <w:szCs w:val="20"/>
                <w:color w:val="auto"/>
              </w:rPr>
            </w:pPr>
            <w:r>
              <w:rPr>
                <w:rFonts w:ascii="Arial" w:cs="Arial" w:eastAsia="Arial" w:hAnsi="Arial"/>
                <w:sz w:val="22"/>
                <w:szCs w:val="22"/>
                <w:color w:val="auto"/>
              </w:rPr>
              <w:t>-</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Commitments</w:t>
            </w:r>
          </w:p>
        </w:tc>
      </w:tr>
      <w:tr>
        <w:trPr>
          <w:trHeight w:val="243"/>
        </w:trPr>
        <w:tc>
          <w:tcPr>
            <w:tcW w:w="2000" w:type="dxa"/>
            <w:vAlign w:val="bottom"/>
            <w:gridSpan w:val="3"/>
          </w:tcPr>
          <w:p>
            <w:pPr>
              <w:spacing w:after="0" w:line="243" w:lineRule="exact"/>
              <w:rPr>
                <w:sz w:val="20"/>
                <w:szCs w:val="20"/>
                <w:color w:val="auto"/>
              </w:rPr>
            </w:pPr>
            <w:r>
              <w:rPr>
                <w:rFonts w:ascii="Arial" w:cs="Arial" w:eastAsia="Arial" w:hAnsi="Arial"/>
                <w:sz w:val="22"/>
                <w:szCs w:val="22"/>
                <w:color w:val="auto"/>
              </w:rPr>
              <w:t>SCHEDULE 1.01(c)</w:t>
            </w:r>
          </w:p>
        </w:tc>
        <w:tc>
          <w:tcPr>
            <w:tcW w:w="924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    Industry Classification Group List</w:t>
            </w:r>
          </w:p>
        </w:tc>
      </w:tr>
      <w:tr>
        <w:trPr>
          <w:trHeight w:val="243"/>
        </w:trPr>
        <w:tc>
          <w:tcPr>
            <w:tcW w:w="1660" w:type="dxa"/>
            <w:vAlign w:val="bottom"/>
            <w:gridSpan w:val="2"/>
          </w:tcPr>
          <w:p>
            <w:pPr>
              <w:spacing w:after="0" w:line="243" w:lineRule="exact"/>
              <w:rPr>
                <w:sz w:val="20"/>
                <w:szCs w:val="20"/>
                <w:color w:val="auto"/>
              </w:rPr>
            </w:pPr>
            <w:r>
              <w:rPr>
                <w:rFonts w:ascii="Arial" w:cs="Arial" w:eastAsia="Arial" w:hAnsi="Arial"/>
                <w:sz w:val="22"/>
                <w:szCs w:val="22"/>
                <w:color w:val="auto"/>
                <w:w w:val="97"/>
              </w:rPr>
              <w:t>SCHEDULE 3.11</w:t>
            </w:r>
          </w:p>
        </w:tc>
        <w:tc>
          <w:tcPr>
            <w:tcW w:w="34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9240" w:type="dxa"/>
            <w:vAlign w:val="bottom"/>
            <w:gridSpan w:val="2"/>
          </w:tcPr>
          <w:p>
            <w:pPr>
              <w:ind w:left="160"/>
              <w:spacing w:after="0" w:line="243" w:lineRule="exact"/>
              <w:rPr>
                <w:sz w:val="20"/>
                <w:szCs w:val="20"/>
                <w:color w:val="auto"/>
              </w:rPr>
            </w:pPr>
            <w:r>
              <w:rPr>
                <w:rFonts w:ascii="Arial" w:cs="Arial" w:eastAsia="Arial" w:hAnsi="Arial"/>
                <w:sz w:val="22"/>
                <w:szCs w:val="22"/>
                <w:color w:val="auto"/>
              </w:rPr>
              <w:t>Material Agreements and Liens</w:t>
            </w:r>
          </w:p>
        </w:tc>
      </w:tr>
      <w:tr>
        <w:trPr>
          <w:trHeight w:val="243"/>
        </w:trPr>
        <w:tc>
          <w:tcPr>
            <w:tcW w:w="2000" w:type="dxa"/>
            <w:vAlign w:val="bottom"/>
            <w:gridSpan w:val="3"/>
          </w:tcPr>
          <w:p>
            <w:pPr>
              <w:spacing w:after="0" w:line="243" w:lineRule="exact"/>
              <w:rPr>
                <w:sz w:val="20"/>
                <w:szCs w:val="20"/>
                <w:color w:val="auto"/>
              </w:rPr>
            </w:pPr>
            <w:r>
              <w:rPr>
                <w:rFonts w:ascii="Arial" w:cs="Arial" w:eastAsia="Arial" w:hAnsi="Arial"/>
                <w:sz w:val="22"/>
                <w:szCs w:val="22"/>
                <w:color w:val="auto"/>
              </w:rPr>
              <w:t>SCHEDULE 3.12(a)</w:t>
            </w:r>
          </w:p>
        </w:tc>
        <w:tc>
          <w:tcPr>
            <w:tcW w:w="420" w:type="dxa"/>
            <w:vAlign w:val="bottom"/>
          </w:tcPr>
          <w:p>
            <w:pPr>
              <w:ind w:left="160"/>
              <w:spacing w:after="0" w:line="243" w:lineRule="exact"/>
              <w:rPr>
                <w:sz w:val="20"/>
                <w:szCs w:val="20"/>
                <w:color w:val="auto"/>
              </w:rPr>
            </w:pPr>
            <w:r>
              <w:rPr>
                <w:rFonts w:ascii="Arial" w:cs="Arial" w:eastAsia="Arial" w:hAnsi="Arial"/>
                <w:sz w:val="22"/>
                <w:szCs w:val="22"/>
                <w:color w:val="auto"/>
              </w:rPr>
              <w:t>-</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Subsidiaries</w:t>
            </w:r>
          </w:p>
        </w:tc>
      </w:tr>
      <w:tr>
        <w:trPr>
          <w:trHeight w:val="243"/>
        </w:trPr>
        <w:tc>
          <w:tcPr>
            <w:tcW w:w="2000" w:type="dxa"/>
            <w:vAlign w:val="bottom"/>
            <w:gridSpan w:val="3"/>
          </w:tcPr>
          <w:p>
            <w:pPr>
              <w:spacing w:after="0" w:line="243" w:lineRule="exact"/>
              <w:rPr>
                <w:sz w:val="20"/>
                <w:szCs w:val="20"/>
                <w:color w:val="auto"/>
              </w:rPr>
            </w:pPr>
            <w:r>
              <w:rPr>
                <w:rFonts w:ascii="Arial" w:cs="Arial" w:eastAsia="Arial" w:hAnsi="Arial"/>
                <w:sz w:val="22"/>
                <w:szCs w:val="22"/>
                <w:color w:val="auto"/>
              </w:rPr>
              <w:t>SCHEDULE 3.12(b)</w:t>
            </w:r>
          </w:p>
        </w:tc>
        <w:tc>
          <w:tcPr>
            <w:tcW w:w="420" w:type="dxa"/>
            <w:vAlign w:val="bottom"/>
          </w:tcPr>
          <w:p>
            <w:pPr>
              <w:ind w:left="160"/>
              <w:spacing w:after="0" w:line="243" w:lineRule="exact"/>
              <w:rPr>
                <w:sz w:val="20"/>
                <w:szCs w:val="20"/>
                <w:color w:val="auto"/>
              </w:rPr>
            </w:pPr>
            <w:r>
              <w:rPr>
                <w:rFonts w:ascii="Arial" w:cs="Arial" w:eastAsia="Arial" w:hAnsi="Arial"/>
                <w:sz w:val="22"/>
                <w:szCs w:val="22"/>
                <w:color w:val="auto"/>
              </w:rPr>
              <w:t>-</w:t>
            </w:r>
          </w:p>
        </w:tc>
        <w:tc>
          <w:tcPr>
            <w:tcW w:w="8820" w:type="dxa"/>
            <w:vAlign w:val="bottom"/>
          </w:tcPr>
          <w:p>
            <w:pPr>
              <w:ind w:left="180"/>
              <w:spacing w:after="0" w:line="243" w:lineRule="exact"/>
              <w:rPr>
                <w:sz w:val="20"/>
                <w:szCs w:val="20"/>
                <w:color w:val="auto"/>
              </w:rPr>
            </w:pPr>
            <w:r>
              <w:rPr>
                <w:rFonts w:ascii="Arial" w:cs="Arial" w:eastAsia="Arial" w:hAnsi="Arial"/>
                <w:sz w:val="22"/>
                <w:szCs w:val="22"/>
                <w:color w:val="auto"/>
              </w:rPr>
              <w:t>Investments</w:t>
            </w:r>
          </w:p>
        </w:tc>
      </w:tr>
      <w:tr>
        <w:trPr>
          <w:trHeight w:val="274"/>
        </w:trPr>
        <w:tc>
          <w:tcPr>
            <w:tcW w:w="1660" w:type="dxa"/>
            <w:vAlign w:val="bottom"/>
            <w:gridSpan w:val="2"/>
          </w:tcPr>
          <w:p>
            <w:pPr>
              <w:spacing w:after="0"/>
              <w:rPr>
                <w:sz w:val="20"/>
                <w:szCs w:val="20"/>
                <w:color w:val="auto"/>
              </w:rPr>
            </w:pPr>
            <w:r>
              <w:rPr>
                <w:rFonts w:ascii="Arial" w:cs="Arial" w:eastAsia="Arial" w:hAnsi="Arial"/>
                <w:sz w:val="22"/>
                <w:szCs w:val="22"/>
                <w:color w:val="auto"/>
                <w:w w:val="97"/>
              </w:rPr>
              <w:t>SCHEDULE 6.08</w:t>
            </w:r>
          </w:p>
        </w:tc>
        <w:tc>
          <w:tcPr>
            <w:tcW w:w="340" w:type="dxa"/>
            <w:vAlign w:val="bottom"/>
          </w:tcPr>
          <w:p>
            <w:pPr>
              <w:ind w:left="80"/>
              <w:spacing w:after="0"/>
              <w:rPr>
                <w:sz w:val="20"/>
                <w:szCs w:val="20"/>
                <w:color w:val="auto"/>
              </w:rPr>
            </w:pPr>
            <w:r>
              <w:rPr>
                <w:rFonts w:ascii="Arial" w:cs="Arial" w:eastAsia="Arial" w:hAnsi="Arial"/>
                <w:sz w:val="22"/>
                <w:szCs w:val="22"/>
                <w:color w:val="auto"/>
              </w:rPr>
              <w:t>-</w:t>
            </w:r>
          </w:p>
        </w:tc>
        <w:tc>
          <w:tcPr>
            <w:tcW w:w="9240" w:type="dxa"/>
            <w:vAlign w:val="bottom"/>
            <w:gridSpan w:val="2"/>
          </w:tcPr>
          <w:p>
            <w:pPr>
              <w:ind w:left="160"/>
              <w:spacing w:after="0"/>
              <w:rPr>
                <w:sz w:val="20"/>
                <w:szCs w:val="20"/>
                <w:color w:val="auto"/>
              </w:rPr>
            </w:pPr>
            <w:r>
              <w:rPr>
                <w:rFonts w:ascii="Arial" w:cs="Arial" w:eastAsia="Arial" w:hAnsi="Arial"/>
                <w:sz w:val="22"/>
                <w:szCs w:val="22"/>
                <w:color w:val="auto"/>
              </w:rPr>
              <w:t>Transactions with Affiliates</w:t>
            </w:r>
          </w:p>
        </w:tc>
      </w:tr>
      <w:tr>
        <w:trPr>
          <w:trHeight w:val="819"/>
        </w:trPr>
        <w:tc>
          <w:tcPr>
            <w:tcW w:w="1280" w:type="dxa"/>
            <w:vAlign w:val="bottom"/>
          </w:tcPr>
          <w:p>
            <w:pPr>
              <w:spacing w:after="0"/>
              <w:rPr>
                <w:sz w:val="20"/>
                <w:szCs w:val="20"/>
                <w:color w:val="auto"/>
              </w:rPr>
            </w:pPr>
            <w:r>
              <w:rPr>
                <w:rFonts w:ascii="Arial" w:cs="Arial" w:eastAsia="Arial" w:hAnsi="Arial"/>
                <w:sz w:val="22"/>
                <w:szCs w:val="22"/>
                <w:color w:val="auto"/>
              </w:rPr>
              <w:t>EXHIBIT A</w:t>
            </w:r>
          </w:p>
        </w:tc>
        <w:tc>
          <w:tcPr>
            <w:tcW w:w="38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9580" w:type="dxa"/>
            <w:vAlign w:val="bottom"/>
            <w:gridSpan w:val="3"/>
          </w:tcPr>
          <w:p>
            <w:pPr>
              <w:ind w:left="80"/>
              <w:spacing w:after="0"/>
              <w:rPr>
                <w:sz w:val="20"/>
                <w:szCs w:val="20"/>
                <w:color w:val="auto"/>
              </w:rPr>
            </w:pPr>
            <w:r>
              <w:rPr>
                <w:rFonts w:ascii="Arial" w:cs="Arial" w:eastAsia="Arial" w:hAnsi="Arial"/>
                <w:sz w:val="22"/>
                <w:szCs w:val="22"/>
                <w:color w:val="auto"/>
              </w:rPr>
              <w:t>Form of Assignment and Assumption</w:t>
            </w:r>
          </w:p>
        </w:tc>
      </w:tr>
      <w:tr>
        <w:trPr>
          <w:trHeight w:val="243"/>
        </w:trPr>
        <w:tc>
          <w:tcPr>
            <w:tcW w:w="128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380" w:type="dxa"/>
            <w:vAlign w:val="bottom"/>
          </w:tcPr>
          <w:p>
            <w:pPr>
              <w:jc w:val="right"/>
              <w:ind w:right="172"/>
              <w:spacing w:after="0" w:line="243" w:lineRule="exact"/>
              <w:rPr>
                <w:sz w:val="20"/>
                <w:szCs w:val="20"/>
                <w:color w:val="auto"/>
              </w:rPr>
            </w:pPr>
            <w:r>
              <w:rPr>
                <w:rFonts w:ascii="Arial" w:cs="Arial" w:eastAsia="Arial" w:hAnsi="Arial"/>
                <w:sz w:val="22"/>
                <w:szCs w:val="22"/>
                <w:color w:val="auto"/>
              </w:rPr>
              <w:t>-</w:t>
            </w:r>
          </w:p>
        </w:tc>
        <w:tc>
          <w:tcPr>
            <w:tcW w:w="9580" w:type="dxa"/>
            <w:vAlign w:val="bottom"/>
            <w:gridSpan w:val="3"/>
          </w:tcPr>
          <w:p>
            <w:pPr>
              <w:ind w:left="80"/>
              <w:spacing w:after="0" w:line="243" w:lineRule="exact"/>
              <w:rPr>
                <w:sz w:val="20"/>
                <w:szCs w:val="20"/>
                <w:color w:val="auto"/>
              </w:rPr>
            </w:pPr>
            <w:r>
              <w:rPr>
                <w:rFonts w:ascii="Arial" w:cs="Arial" w:eastAsia="Arial" w:hAnsi="Arial"/>
                <w:sz w:val="22"/>
                <w:szCs w:val="22"/>
                <w:color w:val="auto"/>
              </w:rPr>
              <w:t>Form of Borrowing Base Certificate</w:t>
            </w:r>
          </w:p>
        </w:tc>
      </w:tr>
      <w:tr>
        <w:trPr>
          <w:trHeight w:val="274"/>
        </w:trPr>
        <w:tc>
          <w:tcPr>
            <w:tcW w:w="1280" w:type="dxa"/>
            <w:vAlign w:val="bottom"/>
          </w:tcPr>
          <w:p>
            <w:pPr>
              <w:spacing w:after="0"/>
              <w:rPr>
                <w:sz w:val="20"/>
                <w:szCs w:val="20"/>
                <w:color w:val="auto"/>
              </w:rPr>
            </w:pPr>
            <w:r>
              <w:rPr>
                <w:rFonts w:ascii="Arial" w:cs="Arial" w:eastAsia="Arial" w:hAnsi="Arial"/>
                <w:sz w:val="22"/>
                <w:szCs w:val="22"/>
                <w:color w:val="auto"/>
              </w:rPr>
              <w:t>EXHIBIT C</w:t>
            </w:r>
          </w:p>
        </w:tc>
        <w:tc>
          <w:tcPr>
            <w:tcW w:w="380" w:type="dxa"/>
            <w:vAlign w:val="bottom"/>
          </w:tcPr>
          <w:p>
            <w:pPr>
              <w:jc w:val="right"/>
              <w:ind w:right="172"/>
              <w:spacing w:after="0"/>
              <w:rPr>
                <w:sz w:val="20"/>
                <w:szCs w:val="20"/>
                <w:color w:val="auto"/>
              </w:rPr>
            </w:pPr>
            <w:r>
              <w:rPr>
                <w:rFonts w:ascii="Arial" w:cs="Arial" w:eastAsia="Arial" w:hAnsi="Arial"/>
                <w:sz w:val="22"/>
                <w:szCs w:val="22"/>
                <w:color w:val="auto"/>
              </w:rPr>
              <w:t>-</w:t>
            </w:r>
          </w:p>
        </w:tc>
        <w:tc>
          <w:tcPr>
            <w:tcW w:w="9580" w:type="dxa"/>
            <w:vAlign w:val="bottom"/>
            <w:gridSpan w:val="3"/>
          </w:tcPr>
          <w:p>
            <w:pPr>
              <w:ind w:left="80"/>
              <w:spacing w:after="0"/>
              <w:rPr>
                <w:sz w:val="20"/>
                <w:szCs w:val="20"/>
                <w:color w:val="auto"/>
              </w:rPr>
            </w:pPr>
            <w:r>
              <w:rPr>
                <w:rFonts w:ascii="Arial" w:cs="Arial" w:eastAsia="Arial" w:hAnsi="Arial"/>
                <w:sz w:val="22"/>
                <w:szCs w:val="22"/>
                <w:color w:val="auto"/>
              </w:rPr>
              <w:t>Form of Borrowing Request</w:t>
            </w:r>
          </w:p>
        </w:tc>
      </w:tr>
      <w:tr>
        <w:trPr>
          <w:trHeight w:val="761"/>
        </w:trPr>
        <w:tc>
          <w:tcPr>
            <w:tcW w:w="1280" w:type="dxa"/>
            <w:vAlign w:val="bottom"/>
          </w:tcPr>
          <w:p>
            <w:pPr>
              <w:spacing w:after="0"/>
              <w:rPr>
                <w:sz w:val="20"/>
                <w:szCs w:val="20"/>
                <w:color w:val="auto"/>
              </w:rPr>
            </w:pPr>
            <w:r>
              <w:rPr>
                <w:rFonts w:ascii="Arial" w:cs="Arial" w:eastAsia="Arial" w:hAnsi="Arial"/>
                <w:sz w:val="14"/>
                <w:szCs w:val="14"/>
                <w:color w:val="auto"/>
                <w:w w:val="92"/>
              </w:rPr>
              <w:t>748401849 11262547</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20" w:type="dxa"/>
            <w:vAlign w:val="bottom"/>
          </w:tcPr>
          <w:p>
            <w:pPr>
              <w:spacing w:after="0"/>
              <w:rPr>
                <w:sz w:val="24"/>
                <w:szCs w:val="24"/>
                <w:color w:val="auto"/>
              </w:rPr>
            </w:pPr>
          </w:p>
        </w:tc>
      </w:tr>
      <w:tr>
        <w:trPr>
          <w:trHeight w:val="113"/>
        </w:trPr>
        <w:tc>
          <w:tcPr>
            <w:tcW w:w="1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sectPr>
      </w:pPr>
    </w:p>
    <w:bookmarkStart w:id="78" w:name="page79"/>
    <w:bookmarkEnd w:id="78"/>
    <w:p>
      <w:pPr>
        <w:jc w:val="both"/>
        <w:ind w:firstLine="1497"/>
        <w:spacing w:after="0" w:line="238" w:lineRule="auto"/>
        <w:rPr>
          <w:sz w:val="20"/>
          <w:szCs w:val="20"/>
          <w:color w:val="auto"/>
        </w:rPr>
      </w:pPr>
      <w:r>
        <w:rPr>
          <w:rFonts w:ascii="Arial" w:cs="Arial" w:eastAsia="Arial" w:hAnsi="Arial"/>
          <w:sz w:val="22"/>
          <w:szCs w:val="22"/>
          <w:color w:val="auto"/>
        </w:rPr>
        <w:t>SECOND AMENDED AND RESTATED SENIOR SECURED REVOLVING CREDIT AGREEMENT dated as of June 25, 2014 (as amended, restated, supplemented or otherwise modified from time to time,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PENNANTPARK INVESTMENT CORPORATION, a Maryland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LENDERS party hereto, and TRUIST BANK, as Administrative Agent.</w:t>
      </w:r>
    </w:p>
    <w:p>
      <w:pPr>
        <w:spacing w:after="0" w:line="18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Pursuant to the Amended and Restated Senior Secured Revolving Credit Agreement dated as of February 21, 2012 (as amended, supplemented or otherwise modified prior to the Effective Date,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among the Borrower, the lenders party thereto (collectively, the “</w:t>
      </w:r>
      <w:r>
        <w:rPr>
          <w:rFonts w:ascii="Arial" w:cs="Arial" w:eastAsia="Arial" w:hAnsi="Arial"/>
          <w:sz w:val="22"/>
          <w:szCs w:val="22"/>
          <w:u w:val="single" w:color="auto"/>
          <w:color w:val="auto"/>
        </w:rPr>
        <w:t>Existing Lenders</w:t>
      </w:r>
      <w:r>
        <w:rPr>
          <w:rFonts w:ascii="Arial" w:cs="Arial" w:eastAsia="Arial" w:hAnsi="Arial"/>
          <w:sz w:val="22"/>
          <w:szCs w:val="22"/>
          <w:color w:val="auto"/>
        </w:rPr>
        <w:t>”) and the Administrative Agent, the Existing Lenders agreed to make extensions of credit to the Borrower on the terms and conditions set forth therein, including making loans (the “</w:t>
      </w:r>
      <w:r>
        <w:rPr>
          <w:rFonts w:ascii="Arial" w:cs="Arial" w:eastAsia="Arial" w:hAnsi="Arial"/>
          <w:sz w:val="22"/>
          <w:szCs w:val="22"/>
          <w:u w:val="single" w:color="auto"/>
          <w:color w:val="auto"/>
        </w:rPr>
        <w:t>Existing Loans</w:t>
      </w:r>
      <w:r>
        <w:rPr>
          <w:rFonts w:ascii="Arial" w:cs="Arial" w:eastAsia="Arial" w:hAnsi="Arial"/>
          <w:sz w:val="22"/>
          <w:szCs w:val="22"/>
          <w:color w:val="auto"/>
        </w:rPr>
        <w:t>”) to the Borrower.</w:t>
      </w:r>
    </w:p>
    <w:p>
      <w:pPr>
        <w:spacing w:after="0" w:line="187"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6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The parties hereto hereby agree to amend and restate the Existing Credit Agreement, and the Existing Credit Agreement is hereby amended and restated in its entirety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have the meanings specified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May Notes</w:t>
      </w:r>
      <w:r>
        <w:rPr>
          <w:rFonts w:ascii="Arial" w:cs="Arial" w:eastAsia="Arial" w:hAnsi="Arial"/>
          <w:sz w:val="22"/>
          <w:szCs w:val="22"/>
          <w:color w:val="auto"/>
        </w:rPr>
        <w:t>” means the Borrower’s 4.50% unsecured notes due May 1, 2026.</w:t>
      </w:r>
    </w:p>
    <w:p>
      <w:pPr>
        <w:spacing w:after="0" w:line="206"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2026 November Notes</w:t>
      </w:r>
      <w:r>
        <w:rPr>
          <w:rFonts w:ascii="Arial" w:cs="Arial" w:eastAsia="Arial" w:hAnsi="Arial"/>
          <w:sz w:val="22"/>
          <w:szCs w:val="22"/>
          <w:color w:val="auto"/>
        </w:rPr>
        <w:t>” means the Borrower’s 4.00% unsecured notes due November 1, 2026.</w:t>
      </w:r>
    </w:p>
    <w:p>
      <w:pPr>
        <w:spacing w:after="0" w:line="213" w:lineRule="exact"/>
        <w:rPr>
          <w:sz w:val="20"/>
          <w:szCs w:val="20"/>
          <w:color w:val="auto"/>
        </w:rPr>
      </w:pPr>
    </w:p>
    <w:p>
      <w:pPr>
        <w:ind w:left="40"/>
        <w:spacing w:after="0"/>
        <w:tabs>
          <w:tab w:leader="none" w:pos="4020" w:val="left"/>
        </w:tabs>
        <w:rPr>
          <w:sz w:val="20"/>
          <w:szCs w:val="20"/>
          <w:color w:val="auto"/>
        </w:rPr>
      </w:pPr>
      <w:r>
        <w:rPr>
          <w:rFonts w:ascii="Arial" w:cs="Arial" w:eastAsia="Arial" w:hAnsi="Arial"/>
          <w:sz w:val="14"/>
          <w:szCs w:val="14"/>
          <w:color w:val="auto"/>
        </w:rPr>
        <w:t>DOCVARIABLE #DNDocID \* MERGEFORMAT 748401849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9" w:name="page80"/>
    <w:bookmarkEnd w:id="79"/>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ABR</w:t>
      </w:r>
      <w:r>
        <w:rPr>
          <w:rFonts w:ascii="Arial" w:cs="Arial" w:eastAsia="Arial" w:hAnsi="Arial"/>
          <w:sz w:val="22"/>
          <w:szCs w:val="22"/>
          <w:color w:val="auto"/>
        </w:rPr>
        <w:t>”, when used in reference to any Loan or Borrowing, refers to whether such Loan is, or the Loans constituting such Borrowing are, denominated in Dollars and bearing interest at a rate determined by reference to the Alternate Base Rate.</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Borrowing Base</w:t>
      </w:r>
      <w:r>
        <w:rPr>
          <w:rFonts w:ascii="Arial" w:cs="Arial" w:eastAsia="Arial" w:hAnsi="Arial"/>
          <w:sz w:val="22"/>
          <w:szCs w:val="22"/>
          <w:color w:val="auto"/>
        </w:rPr>
        <w:t xml:space="preserve">” means the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8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Covered Debt Balance</w:t>
      </w:r>
      <w:r>
        <w:rPr>
          <w:rFonts w:ascii="Arial" w:cs="Arial" w:eastAsia="Arial" w:hAnsi="Arial"/>
          <w:sz w:val="19"/>
          <w:szCs w:val="19"/>
          <w:color w:val="auto"/>
        </w:rPr>
        <w:t xml:space="preserve">” means, on any date, the aggregate Covered Debt Amount on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34"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Adjusted Term Benchmark Rate</w:t>
      </w:r>
      <w:r>
        <w:rPr>
          <w:rFonts w:ascii="Arial" w:cs="Arial" w:eastAsia="Arial" w:hAnsi="Arial"/>
          <w:sz w:val="21"/>
          <w:szCs w:val="21"/>
          <w:color w:val="auto"/>
        </w:rPr>
        <w:t xml:space="preserve">” means (a) for the Interest Period for any Term Benchmark Borrowing denominated in Euros, an interest rate per annum (rounded upwards, if necessary, to the next 1/16 of 1%) equal to (i) the Term Benchmark Rate for such Interest Period for such Currency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Statutory Reserve Rate for such Interest Period and (b) for the Interest Period for any Term Benchmark Borrowing denominated in a Currency (other than Euros) an interest rate per annum (rounded upwards, if necessary, to the next 1/16 of 1%) equal to the Term Benchmark Rate for such Interest Period for such Currency; provided that if the Adjusted Term Benchmark Rate shall be less than zero, such rate shall be deemed to be zero for the purposes of this Agreement.</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means Truist, in its capacity as administrative agent for the Lenders hereunder.</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 Appraisal Testing Month</w:t>
      </w:r>
      <w:r>
        <w:rPr>
          <w:rFonts w:ascii="Arial" w:cs="Arial" w:eastAsia="Arial" w:hAnsi="Arial"/>
          <w:sz w:val="19"/>
          <w:szCs w:val="19"/>
          <w:color w:val="auto"/>
        </w:rPr>
        <w:t xml:space="preserve">” has the meaning assigned to such term in </w:t>
      </w:r>
      <w:r>
        <w:rPr>
          <w:rFonts w:ascii="Arial" w:cs="Arial" w:eastAsia="Arial" w:hAnsi="Arial"/>
          <w:sz w:val="19"/>
          <w:szCs w:val="19"/>
          <w:u w:val="single" w:color="auto"/>
          <w:color w:val="auto"/>
        </w:rPr>
        <w:t>Section 5.12(b)(ii)</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w:t>
      </w:r>
      <w:r>
        <w:rPr>
          <w:rFonts w:ascii="Arial" w:cs="Arial" w:eastAsia="Arial" w:hAnsi="Arial"/>
          <w:sz w:val="22"/>
          <w:szCs w:val="22"/>
          <w:color w:val="auto"/>
        </w:rPr>
        <w:t>.</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Agent’s Account</w:t>
      </w:r>
      <w:r>
        <w:rPr>
          <w:rFonts w:ascii="Arial" w:cs="Arial" w:eastAsia="Arial" w:hAnsi="Arial"/>
          <w:sz w:val="22"/>
          <w:szCs w:val="22"/>
          <w:color w:val="auto"/>
        </w:rPr>
        <w:t>” means, for each Currency, an account in respect of such Currency designated by the Administrative Agent in a notice to the Borrower and the Lenders.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 Rate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1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0" w:name="page81"/>
    <w:bookmarkEnd w:id="80"/>
    <w:p>
      <w:pPr>
        <w:spacing w:after="0"/>
        <w:rPr>
          <w:sz w:val="20"/>
          <w:szCs w:val="20"/>
          <w:color w:val="auto"/>
        </w:rPr>
      </w:pPr>
      <w:r>
        <w:rPr>
          <w:rFonts w:ascii="Arial" w:cs="Arial" w:eastAsia="Arial" w:hAnsi="Arial"/>
          <w:sz w:val="19"/>
          <w:szCs w:val="19"/>
          <w:color w:val="auto"/>
        </w:rPr>
        <w:t>“Affiliate” shall not include any Person that constitutes an Investment held by any Obligor in the ordinary course of business.</w:t>
      </w:r>
    </w:p>
    <w:p>
      <w:pPr>
        <w:spacing w:after="0" w:line="241"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Agreements</w:t>
      </w:r>
      <w:r>
        <w:rPr>
          <w:rFonts w:ascii="Arial" w:cs="Arial" w:eastAsia="Arial" w:hAnsi="Arial"/>
          <w:sz w:val="19"/>
          <w:szCs w:val="19"/>
          <w:color w:val="auto"/>
        </w:rPr>
        <w:t>” means, collectively, (a) the Administration Agreement dated June 11, 2010 by and among the Borrower, PennantPark SBIC LP and PennantPark SBIC GP, LLC, (b) the Investment Advisory Agreement dated June 11, 2010 by and among the Borrower, PennantPark SBIC LP and PennantPark SBIC GP, LLC, (c) the Investment Advisory Management Agreement dated as of April 17, 2007, between the Borrower and Pennant Investment Advisers, LLC, (d) the Administration Agreement dated as of April 17, 2007, between the Borrower and PennantPark Investment Administration, LLC,</w:t>
      </w:r>
    </w:p>
    <w:p>
      <w:pPr>
        <w:spacing w:after="0" w:line="4" w:lineRule="exact"/>
        <w:rPr>
          <w:sz w:val="20"/>
          <w:szCs w:val="20"/>
          <w:color w:val="auto"/>
        </w:rPr>
      </w:pPr>
    </w:p>
    <w:p>
      <w:pPr>
        <w:ind w:left="300" w:hanging="292"/>
        <w:spacing w:after="0"/>
        <w:tabs>
          <w:tab w:leader="none" w:pos="3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Trademark License Agreement dated as of April 15, 2007, between the Borrower and Pennant Investment Advisers, LLC,</w:t>
      </w:r>
    </w:p>
    <w:p>
      <w:pPr>
        <w:spacing w:after="0" w:line="24" w:lineRule="exact"/>
        <w:rPr>
          <w:rFonts w:ascii="Arial" w:cs="Arial" w:eastAsia="Arial" w:hAnsi="Arial"/>
          <w:sz w:val="19"/>
          <w:szCs w:val="19"/>
          <w:color w:val="auto"/>
        </w:rPr>
      </w:pPr>
    </w:p>
    <w:p>
      <w:pPr>
        <w:jc w:val="both"/>
        <w:ind w:firstLine="8"/>
        <w:spacing w:after="0" w:line="234" w:lineRule="auto"/>
        <w:tabs>
          <w:tab w:leader="none" w:pos="321"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Administration Agreement, dated December 28, 2012, by and among the Borrower, PennantPark SBIC II LP and PennantPark SBIC GP II, LLC and (g) the Investment Advisory Agreement, dated December 28, 2012, by and among the Borrower, PennantPark SBIC II LP and PennantPark SBIC GP II, LLC.</w:t>
      </w:r>
    </w:p>
    <w:p>
      <w:pPr>
        <w:spacing w:after="0" w:line="187"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Agreed Foreign Currency</w:t>
      </w:r>
      <w:r>
        <w:rPr>
          <w:rFonts w:ascii="Arial" w:cs="Arial" w:eastAsia="Arial" w:hAnsi="Arial"/>
          <w:sz w:val="21"/>
          <w:szCs w:val="21"/>
          <w:color w:val="auto"/>
        </w:rPr>
        <w:t>” means, at any time, (i) any of Canadian Dollars, Sterling, Euros, Australian Dollars, Swiss Francs and Swedish Krona,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06"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Federal Funds Effective Rate for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1/2 of 1%, (c) the rate per annum equal to (x) the greater of</w:t>
      </w:r>
    </w:p>
    <w:p>
      <w:pPr>
        <w:spacing w:after="0" w:line="1" w:lineRule="exact"/>
        <w:rPr>
          <w:sz w:val="20"/>
          <w:szCs w:val="20"/>
          <w:color w:val="auto"/>
        </w:rPr>
      </w:pPr>
    </w:p>
    <w:p>
      <w:pPr>
        <w:jc w:val="both"/>
        <w:ind w:firstLine="8"/>
        <w:spacing w:after="0" w:line="233" w:lineRule="auto"/>
        <w:tabs>
          <w:tab w:leader="none" w:pos="365"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Term SOFR for an interest period of one (1) month and (B) zero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1.00% and (d) zero.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therefor), respectively.</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3.16</w:t>
      </w:r>
      <w:r>
        <w:rPr>
          <w:rFonts w:ascii="Arial" w:cs="Arial" w:eastAsia="Arial" w:hAnsi="Arial"/>
          <w:sz w:val="22"/>
          <w:szCs w:val="22"/>
          <w:color w:val="auto"/>
        </w:rPr>
        <w:t>.</w:t>
      </w:r>
    </w:p>
    <w:p>
      <w:pPr>
        <w:spacing w:after="0" w:line="206" w:lineRule="exact"/>
        <w:rPr>
          <w:sz w:val="20"/>
          <w:szCs w:val="20"/>
          <w:color w:val="auto"/>
        </w:rPr>
      </w:pPr>
    </w:p>
    <w:p>
      <w:pPr>
        <w:jc w:val="both"/>
        <w:ind w:right="2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Dollar Percentage</w:t>
      </w:r>
      <w:r>
        <w:rPr>
          <w:rFonts w:ascii="Arial" w:cs="Arial" w:eastAsia="Arial" w:hAnsi="Arial"/>
          <w:sz w:val="22"/>
          <w:szCs w:val="22"/>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the avoidance of doubt, on and after the</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1" w:name="page82"/>
    <w:bookmarkEnd w:id="81"/>
    <w:p>
      <w:pPr>
        <w:jc w:val="both"/>
        <w:spacing w:after="0" w:line="250" w:lineRule="auto"/>
        <w:rPr>
          <w:sz w:val="20"/>
          <w:szCs w:val="20"/>
          <w:color w:val="auto"/>
        </w:rPr>
      </w:pPr>
      <w:r>
        <w:rPr>
          <w:rFonts w:ascii="Arial" w:cs="Arial" w:eastAsia="Arial" w:hAnsi="Arial"/>
          <w:sz w:val="22"/>
          <w:szCs w:val="22"/>
          <w:color w:val="auto"/>
        </w:rPr>
        <w:t>Non-Extended Commitment Termination Date for any Non-Extending Lender, the Applicable Dollar Percentage of such Non-Extending Lender that is a Dollar Lender shall be 0%.</w:t>
      </w:r>
    </w:p>
    <w:p>
      <w:pPr>
        <w:spacing w:after="0" w:line="175"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Financial Statements</w:t>
      </w:r>
      <w:r>
        <w:rPr>
          <w:rFonts w:ascii="Arial" w:cs="Arial" w:eastAsia="Arial" w:hAnsi="Arial"/>
          <w:sz w:val="21"/>
          <w:szCs w:val="21"/>
          <w:color w:val="auto"/>
        </w:rPr>
        <w:t xml:space="preserve">” means, as at any date, the most-recent audited financial statements of the Borrower delivered to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immediately prior to the delivery to the Lenders of new audited financial statements of the Borrower a Material Adverse Change (the “</w:t>
      </w:r>
      <w:r>
        <w:rPr>
          <w:rFonts w:ascii="Arial" w:cs="Arial" w:eastAsia="Arial" w:hAnsi="Arial"/>
          <w:sz w:val="21"/>
          <w:szCs w:val="21"/>
          <w:u w:val="single" w:color="auto"/>
          <w:color w:val="auto"/>
        </w:rPr>
        <w:t>Pre-existing MAC</w:t>
      </w:r>
      <w:r>
        <w:rPr>
          <w:rFonts w:ascii="Arial" w:cs="Arial" w:eastAsia="Arial" w:hAnsi="Arial"/>
          <w:sz w:val="21"/>
          <w:szCs w:val="21"/>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78" w:lineRule="exact"/>
        <w:rPr>
          <w:sz w:val="20"/>
          <w:szCs w:val="20"/>
          <w:color w:val="auto"/>
        </w:rPr>
      </w:pPr>
    </w:p>
    <w:p>
      <w:pPr>
        <w:jc w:val="both"/>
        <w:ind w:right="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means (i) in the case of any Extending Lender, the Extending Lender Applicable Margin and (ii) in the case of any Non-Extending Lender, the Non-Extending Lender Applicable Margin for such Non-Extending Lender.</w:t>
      </w:r>
    </w:p>
    <w:p>
      <w:pPr>
        <w:spacing w:after="0" w:line="105"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Multicurrency Percentage</w:t>
      </w:r>
      <w:r>
        <w:rPr>
          <w:rFonts w:ascii="Arial" w:cs="Arial" w:eastAsia="Arial" w:hAnsi="Arial"/>
          <w:sz w:val="21"/>
          <w:szCs w:val="21"/>
          <w:color w:val="auto"/>
        </w:rPr>
        <w:t xml:space="preserve">” means, with respect to any Multicurrency Lender, the percentage of the total Multicurrency Commitments represented by such Multicurrency Lender’s Multicurrency Commitment. If the Multicurrency Commitments have terminated or expired, the Applicable Multicurrency Percentages shall be determined based upon the Multicurrency Commitments most recently in effect, giving effect to any assignments;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77"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Percentage</w:t>
      </w:r>
      <w:r>
        <w:rPr>
          <w:rFonts w:ascii="Arial" w:cs="Arial" w:eastAsia="Arial" w:hAnsi="Arial"/>
          <w:sz w:val="21"/>
          <w:szCs w:val="21"/>
          <w:color w:val="auto"/>
        </w:rPr>
        <w:t xml:space="preserve">”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on and after the Non-Extended Commitment Termination Date for any Non-Extending Lender, the Applicable Percentage of such Non-Extending Lender shall be 0%.</w:t>
      </w:r>
    </w:p>
    <w:p>
      <w:pPr>
        <w:spacing w:after="0" w:line="178"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Approved Dealer</w:t>
      </w:r>
      <w:r>
        <w:rPr>
          <w:rFonts w:ascii="Arial" w:cs="Arial" w:eastAsia="Arial" w:hAnsi="Arial"/>
          <w:sz w:val="21"/>
          <w:szCs w:val="21"/>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as set forth on </w:t>
      </w:r>
      <w:r>
        <w:rPr>
          <w:rFonts w:ascii="Arial" w:cs="Arial" w:eastAsia="Arial" w:hAnsi="Arial"/>
          <w:sz w:val="21"/>
          <w:szCs w:val="21"/>
          <w:u w:val="single" w:color="auto"/>
          <w:color w:val="auto"/>
        </w:rPr>
        <w:t>Schedule 1.01(a)</w:t>
      </w:r>
      <w:r>
        <w:rPr>
          <w:rFonts w:ascii="Arial" w:cs="Arial" w:eastAsia="Arial" w:hAnsi="Arial"/>
          <w:sz w:val="21"/>
          <w:szCs w:val="21"/>
          <w:color w:val="auto"/>
        </w:rPr>
        <w:t xml:space="preserve"> or any other bank or broker-dealer acceptable to the Administrative Agent in its reasonable determination.</w:t>
      </w:r>
    </w:p>
    <w:p>
      <w:pPr>
        <w:spacing w:after="0" w:line="17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Pricing Service</w:t>
      </w:r>
      <w:r>
        <w:rPr>
          <w:rFonts w:ascii="Arial" w:cs="Arial" w:eastAsia="Arial" w:hAnsi="Arial"/>
          <w:sz w:val="22"/>
          <w:szCs w:val="22"/>
          <w:color w:val="auto"/>
        </w:rPr>
        <w:t xml:space="preserve">” means a pricing or quotation service as set forth in </w:t>
      </w:r>
      <w:r>
        <w:rPr>
          <w:rFonts w:ascii="Arial" w:cs="Arial" w:eastAsia="Arial" w:hAnsi="Arial"/>
          <w:sz w:val="22"/>
          <w:szCs w:val="22"/>
          <w:u w:val="single" w:color="auto"/>
          <w:color w:val="auto"/>
        </w:rPr>
        <w:t>Schedule 1.01(a)</w:t>
      </w:r>
      <w:r>
        <w:rPr>
          <w:rFonts w:ascii="Arial" w:cs="Arial" w:eastAsia="Arial" w:hAnsi="Arial"/>
          <w:sz w:val="22"/>
          <w:szCs w:val="22"/>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2" w:name="page83"/>
    <w:bookmarkEnd w:id="82"/>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Third-Party Appraiser</w:t>
      </w:r>
      <w:r>
        <w:rPr>
          <w:rFonts w:ascii="Arial" w:cs="Arial" w:eastAsia="Arial" w:hAnsi="Arial"/>
          <w:sz w:val="19"/>
          <w:szCs w:val="19"/>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and Valuation Research Corporation are acceptable to the Administrative Agent. As used in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61"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assignee (with the consent of any party whose consent is required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accepted by the Administrative Agent,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(with adjustments thereto to reflect the Classes of Commitments and/or Loans being assigned or outstanding at the time of the respective assignment) or any other form approved by the Administrative Agent.</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Australian Dollars</w:t>
      </w:r>
      <w:r>
        <w:rPr>
          <w:rFonts w:ascii="Arial" w:cs="Arial" w:eastAsia="Arial" w:hAnsi="Arial"/>
          <w:sz w:val="22"/>
          <w:szCs w:val="22"/>
          <w:color w:val="auto"/>
        </w:rPr>
        <w:t>” means the lawful currency of The Commonwealth of Australia.</w:t>
      </w:r>
    </w:p>
    <w:p>
      <w:pPr>
        <w:spacing w:after="0" w:line="20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xml:space="preserve">” means, as of any date of determination and with respect to the then-current Benchmark for any available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21"/>
          <w:szCs w:val="21"/>
          <w:u w:val="single" w:color="auto"/>
          <w:color w:val="auto"/>
        </w:rPr>
        <w:t>Section 2.22(d)</w:t>
      </w:r>
      <w:r>
        <w:rPr>
          <w:rFonts w:ascii="Arial" w:cs="Arial" w:eastAsia="Arial" w:hAnsi="Arial"/>
          <w:sz w:val="21"/>
          <w:szCs w:val="21"/>
          <w:color w:val="auto"/>
        </w:rPr>
        <w:t>.</w:t>
      </w:r>
    </w:p>
    <w:p>
      <w:pPr>
        <w:spacing w:after="0" w:line="184"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w:t>
      </w:r>
    </w:p>
    <w:p>
      <w:pPr>
        <w:spacing w:after="0" w:line="134"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9"/>
          <w:szCs w:val="19"/>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 Term SOFR Determination Day</w:t>
      </w:r>
      <w:r>
        <w:rPr>
          <w:rFonts w:ascii="Arial" w:cs="Arial" w:eastAsia="Arial" w:hAnsi="Arial"/>
          <w:sz w:val="21"/>
          <w:szCs w:val="21"/>
          <w:color w:val="auto"/>
        </w:rPr>
        <w:t>” has the meaning set forth in the definition of “Term SOFR”.</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BBSY</w:t>
      </w:r>
      <w:r>
        <w:rPr>
          <w:rFonts w:ascii="Arial" w:cs="Arial" w:eastAsia="Arial" w:hAnsi="Arial"/>
          <w:sz w:val="21"/>
          <w:szCs w:val="21"/>
          <w:color w:val="auto"/>
        </w:rPr>
        <w:t>” has the meaning assigned to such term in clause (d) of the definition of “Term Benchmark Rate”.</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BBSY Screen Rate</w:t>
      </w:r>
      <w:r>
        <w:rPr>
          <w:rFonts w:ascii="Arial" w:cs="Arial" w:eastAsia="Arial" w:hAnsi="Arial"/>
          <w:sz w:val="19"/>
          <w:szCs w:val="19"/>
          <w:color w:val="auto"/>
        </w:rPr>
        <w:t>” has the meaning assigned to such term in clause (d) of the definition of “Term Benchmark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means, initially, with respect to any Loans denominated in (a) Dollars, the Term SOFR Reference Rate, (b) Sterling or Swiss Francs, the Daily Simple RFR for such Currency, and (c) any other Agreed Foreign Currency, the Adjusted Term Benchmark Rate for such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Benchmark Transition Event and its related Benchmark Replacement Date have occurred with respect to the Term SOFR Reference Rate, the Daily Simple RFR or the Adjusted Term Benchmark Rate for such Currency, as applicable, then “Benchmark” shall mean the applicable Benchmark Replacement for such Currency to the extent that such Benchmark Replacement has replaced such prior benchmark rate pursuant to </w:t>
      </w:r>
      <w:r>
        <w:rPr>
          <w:rFonts w:ascii="Arial" w:cs="Arial" w:eastAsia="Arial" w:hAnsi="Arial"/>
          <w:sz w:val="19"/>
          <w:szCs w:val="19"/>
          <w:u w:val="single" w:color="auto"/>
          <w:color w:val="auto"/>
        </w:rPr>
        <w:t>Section 2.22(a)</w:t>
      </w:r>
      <w:r>
        <w:rPr>
          <w:rFonts w:ascii="Arial" w:cs="Arial" w:eastAsia="Arial" w:hAnsi="Arial"/>
          <w:sz w:val="19"/>
          <w:szCs w:val="19"/>
          <w:color w:val="auto"/>
        </w:rPr>
        <w:t>.</w:t>
      </w:r>
    </w:p>
    <w:p>
      <w:pPr>
        <w:spacing w:after="0" w:line="150"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means, with respect to any Benchmark Transition Event for any then-current Benchmark, the first alternative set forth in the order below that can be determined by the Administrative Agent for the applicable Benchmark Replacement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other than in the case of the Term SOFR Reference Rate, such alternative shall be the alternative set forth in clause (2) below:</w:t>
      </w:r>
    </w:p>
    <w:p>
      <w:pPr>
        <w:spacing w:after="0" w:line="185" w:lineRule="exact"/>
        <w:rPr>
          <w:sz w:val="20"/>
          <w:szCs w:val="20"/>
          <w:color w:val="auto"/>
        </w:rPr>
      </w:pPr>
    </w:p>
    <w:p>
      <w:pPr>
        <w:ind w:left="1940" w:hanging="435"/>
        <w:spacing w:after="0"/>
        <w:tabs>
          <w:tab w:leader="none" w:pos="19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sum of: (a) Daily Simple SOFR and (b) 0.15%; and</w:t>
      </w:r>
    </w:p>
    <w:p>
      <w:pPr>
        <w:spacing w:after="0" w:line="206" w:lineRule="exact"/>
        <w:rPr>
          <w:rFonts w:ascii="Arial" w:cs="Arial" w:eastAsia="Arial" w:hAnsi="Arial"/>
          <w:sz w:val="22"/>
          <w:szCs w:val="22"/>
          <w:color w:val="auto"/>
        </w:rPr>
      </w:pPr>
    </w:p>
    <w:p>
      <w:pPr>
        <w:jc w:val="both"/>
        <w:ind w:firstLine="1505"/>
        <w:spacing w:after="0" w:line="248" w:lineRule="auto"/>
        <w:tabs>
          <w:tab w:leader="none" w:pos="1929" w:val="left"/>
        </w:tabs>
        <w:numPr>
          <w:ilvl w:val="0"/>
          <w:numId w:val="56"/>
        </w:numPr>
        <w:rPr>
          <w:rFonts w:ascii="Arial" w:cs="Arial" w:eastAsia="Arial" w:hAnsi="Arial"/>
          <w:sz w:val="21"/>
          <w:szCs w:val="21"/>
          <w:color w:val="auto"/>
        </w:rPr>
      </w:pPr>
      <w:r>
        <w:rPr>
          <w:rFonts w:ascii="Arial" w:cs="Arial" w:eastAsia="Arial" w:hAnsi="Arial"/>
          <w:sz w:val="21"/>
          <w:szCs w:val="21"/>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4" w:name="page85"/>
    <w:bookmarkEnd w:id="84"/>
    <w:p>
      <w:pPr>
        <w:jc w:val="both"/>
        <w:ind w:right="40"/>
        <w:spacing w:after="0" w:line="328" w:lineRule="auto"/>
        <w:rPr>
          <w:sz w:val="20"/>
          <w:szCs w:val="20"/>
          <w:color w:val="auto"/>
        </w:rPr>
      </w:pPr>
      <w:r>
        <w:rPr>
          <w:rFonts w:ascii="Arial" w:cs="Arial" w:eastAsia="Arial" w:hAnsi="Arial"/>
          <w:sz w:val="19"/>
          <w:szCs w:val="19"/>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05" w:lineRule="exact"/>
        <w:rPr>
          <w:sz w:val="20"/>
          <w:szCs w:val="20"/>
          <w:color w:val="auto"/>
        </w:rPr>
      </w:pPr>
    </w:p>
    <w:p>
      <w:pPr>
        <w:jc w:val="both"/>
        <w:ind w:right="40"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Adjustment</w:t>
      </w:r>
      <w:r>
        <w:rPr>
          <w:rFonts w:ascii="Arial" w:cs="Arial" w:eastAsia="Arial" w:hAnsi="Arial"/>
          <w:sz w:val="19"/>
          <w:szCs w:val="19"/>
          <w:color w:val="auto"/>
        </w:rPr>
        <w:t>” means, with respect to any replacement of the then-current Benchmark for a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61" w:lineRule="exact"/>
        <w:rPr>
          <w:sz w:val="20"/>
          <w:szCs w:val="20"/>
          <w:color w:val="auto"/>
        </w:rPr>
      </w:pPr>
    </w:p>
    <w:p>
      <w:pPr>
        <w:jc w:val="both"/>
        <w:ind w:right="40"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(x) with respect to any Benchmark (other than the Term SOFR Reference Rate), the earliest to occur of the following events with respect to such then-current Benchmark and (y) with respect to the Term SOFR Reference Rate, a date and time determined by the Administrative Agent in its reasonable discretion, which date shall be no later than the earliest to occur of the following events with respect to such then-current Benchmark:</w:t>
      </w:r>
    </w:p>
    <w:p>
      <w:pPr>
        <w:spacing w:after="0" w:line="14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85" w:lineRule="exact"/>
        <w:rPr>
          <w:sz w:val="20"/>
          <w:szCs w:val="20"/>
          <w:color w:val="auto"/>
        </w:rPr>
      </w:pPr>
    </w:p>
    <w:p>
      <w:pPr>
        <w:jc w:val="both"/>
        <w:ind w:right="40" w:firstLine="1505"/>
        <w:spacing w:after="0" w:line="282" w:lineRule="auto"/>
        <w:tabs>
          <w:tab w:leader="none" w:pos="1929"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47" w:lineRule="exact"/>
        <w:rPr>
          <w:sz w:val="20"/>
          <w:szCs w:val="20"/>
          <w:color w:val="auto"/>
        </w:rPr>
      </w:pPr>
    </w:p>
    <w:p>
      <w:pPr>
        <w:jc w:val="both"/>
        <w:ind w:right="40" w:firstLine="1497"/>
        <w:spacing w:after="0" w:line="297" w:lineRule="auto"/>
        <w:rPr>
          <w:sz w:val="20"/>
          <w:szCs w:val="20"/>
          <w:color w:val="auto"/>
        </w:rPr>
      </w:pPr>
      <w:r>
        <w:rPr>
          <w:rFonts w:ascii="Arial" w:cs="Arial" w:eastAsia="Arial" w:hAnsi="Arial"/>
          <w:sz w:val="19"/>
          <w:szCs w:val="19"/>
          <w:color w:val="auto"/>
        </w:rPr>
        <w:t>For the avoidance of doubt,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41" w:lineRule="exact"/>
        <w:rPr>
          <w:sz w:val="20"/>
          <w:szCs w:val="20"/>
          <w:color w:val="auto"/>
        </w:rPr>
      </w:pPr>
    </w:p>
    <w:p>
      <w:pPr>
        <w:ind w:left="4980"/>
        <w:spacing w:after="0"/>
        <w:tabs>
          <w:tab w:leader="none" w:pos="8960" w:val="left"/>
        </w:tabs>
        <w:rPr>
          <w:sz w:val="20"/>
          <w:szCs w:val="20"/>
          <w:color w:val="auto"/>
        </w:rPr>
      </w:pPr>
      <w:r>
        <w:rPr>
          <w:rFonts w:ascii="Arial" w:cs="Arial" w:eastAsia="Arial" w:hAnsi="Arial"/>
          <w:sz w:val="14"/>
          <w:szCs w:val="14"/>
          <w:color w:val="auto"/>
        </w:rPr>
        <w:t>DOCVARIABLE #DNDocID \* MERGEFORMAT 748401849 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ind w:left="9200"/>
        <w:spacing w:after="0"/>
        <w:rPr>
          <w:sz w:val="20"/>
          <w:szCs w:val="20"/>
          <w:color w:val="auto"/>
        </w:rPr>
      </w:pP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1" w:right="299" w:bottom="1440" w:gutter="0" w:footer="0" w:header="0"/>
        </w:sectPr>
      </w:pPr>
    </w:p>
    <w:bookmarkStart w:id="85" w:name="page86"/>
    <w:bookmarkEnd w:id="85"/>
    <w:p>
      <w:pPr>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then-current Benchmark, the occurrence of one or more of the following events with respect to such Benchmark:</w:t>
      </w:r>
    </w:p>
    <w:p>
      <w:pPr>
        <w:spacing w:after="0" w:line="175" w:lineRule="exact"/>
        <w:rPr>
          <w:sz w:val="20"/>
          <w:szCs w:val="20"/>
          <w:color w:val="auto"/>
        </w:rPr>
      </w:pPr>
    </w:p>
    <w:p>
      <w:pPr>
        <w:jc w:val="both"/>
        <w:ind w:firstLine="1505"/>
        <w:spacing w:after="0" w:line="236" w:lineRule="auto"/>
        <w:tabs>
          <w:tab w:leader="none" w:pos="1929"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2"/>
          <w:szCs w:val="22"/>
          <w:color w:val="auto"/>
        </w:rPr>
      </w:pPr>
    </w:p>
    <w:p>
      <w:pPr>
        <w:jc w:val="both"/>
        <w:ind w:firstLine="1505"/>
        <w:spacing w:after="0" w:line="274" w:lineRule="auto"/>
        <w:tabs>
          <w:tab w:leader="none" w:pos="1929" w:val="left"/>
        </w:tabs>
        <w:numPr>
          <w:ilvl w:val="0"/>
          <w:numId w:val="58"/>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including the Board or the Federal Reserve Bank of New York, as applicable, an insolvency official with jurisdiction over the administrator for such Benchmark (or such component thereof), a resolution authority with jurisdiction over the administrator for such Benchmark (or such component thereof) or a court or an entity with similar insolvency or resolution authority over the administrator for such Benchmark (or such component thereof), which states that the administrator of such Benchmark (or such component thereof)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8" w:lineRule="exact"/>
        <w:rPr>
          <w:rFonts w:ascii="Arial" w:cs="Arial" w:eastAsia="Arial" w:hAnsi="Arial"/>
          <w:sz w:val="19"/>
          <w:szCs w:val="19"/>
          <w:color w:val="auto"/>
        </w:rPr>
      </w:pPr>
    </w:p>
    <w:p>
      <w:pPr>
        <w:jc w:val="both"/>
        <w:ind w:firstLine="1505"/>
        <w:spacing w:after="0" w:line="257" w:lineRule="auto"/>
        <w:tabs>
          <w:tab w:leader="none" w:pos="1929" w:val="left"/>
        </w:tabs>
        <w:numPr>
          <w:ilvl w:val="0"/>
          <w:numId w:val="58"/>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69"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means, with respect to any then-current Benchmark, the period (if any) (x) beginning at the time that a Benchmark Replacement Date has occurred if, at such time, no Benchmark Replacement has replaced such then-current Benchmark for all purposes hereunder and under any other Loan Document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and (y) ending at the time that a Benchmark Replacement has replaced such then-current Benchmark for all purposes hereunder and under any other Loan Document in accordance with </w:t>
      </w:r>
      <w:r>
        <w:rPr>
          <w:rFonts w:ascii="Arial" w:cs="Arial" w:eastAsia="Arial" w:hAnsi="Arial"/>
          <w:sz w:val="19"/>
          <w:szCs w:val="19"/>
          <w:u w:val="single" w:color="auto"/>
          <w:color w:val="auto"/>
        </w:rPr>
        <w:t>Section 2.22</w:t>
      </w:r>
      <w:r>
        <w:rPr>
          <w:rFonts w:ascii="Arial" w:cs="Arial" w:eastAsia="Arial" w:hAnsi="Arial"/>
          <w:sz w:val="19"/>
          <w:szCs w:val="19"/>
          <w:color w:val="auto"/>
        </w:rPr>
        <w:t>.</w:t>
      </w:r>
    </w:p>
    <w:p>
      <w:pPr>
        <w:spacing w:after="0" w:line="147" w:lineRule="exact"/>
        <w:rPr>
          <w:sz w:val="20"/>
          <w:szCs w:val="20"/>
          <w:color w:val="auto"/>
        </w:rPr>
      </w:pPr>
    </w:p>
    <w:p>
      <w:pPr>
        <w:jc w:val="both"/>
        <w:ind w:firstLine="155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Governors of the Federal Reserve System of the United States of America (or any successor thereof).</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has the meaning assigned to such term in the preamble to this Agreement.</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6" w:name="page87"/>
    <w:bookmarkEnd w:id="86"/>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xml:space="preserve">” means, as of any date of determination, the ratio, determined on a consolidated basis for the Obligors, without duplication, of (a) Total Assets as of such date </w:t>
      </w:r>
      <w:r>
        <w:rPr>
          <w:rFonts w:ascii="Arial" w:cs="Arial" w:eastAsia="Arial" w:hAnsi="Arial"/>
          <w:sz w:val="22"/>
          <w:szCs w:val="22"/>
          <w:i w:val="1"/>
          <w:iCs w:val="1"/>
          <w:color w:val="auto"/>
        </w:rPr>
        <w:t>minus</w:t>
      </w:r>
      <w:r>
        <w:rPr>
          <w:rFonts w:ascii="Arial" w:cs="Arial" w:eastAsia="Arial" w:hAnsi="Arial"/>
          <w:sz w:val="22"/>
          <w:szCs w:val="22"/>
          <w:color w:val="auto"/>
        </w:rPr>
        <w:t xml:space="preserve"> Total Assets Concentration Limitation as of such date to (b) the sum of (i) Total Secured Debt as of such date </w:t>
      </w:r>
      <w:r>
        <w:rPr>
          <w:rFonts w:ascii="Arial" w:cs="Arial" w:eastAsia="Arial" w:hAnsi="Arial"/>
          <w:sz w:val="22"/>
          <w:szCs w:val="22"/>
          <w:i w:val="1"/>
          <w:iCs w:val="1"/>
          <w:color w:val="auto"/>
        </w:rPr>
        <w:t>plus</w:t>
      </w:r>
      <w:r>
        <w:rPr>
          <w:rFonts w:ascii="Arial" w:cs="Arial" w:eastAsia="Arial" w:hAnsi="Arial"/>
          <w:sz w:val="22"/>
          <w:szCs w:val="22"/>
          <w:color w:val="auto"/>
        </w:rPr>
        <w:t xml:space="preserve"> (ii) any portion of any (x) Unsecured Longer-Term Indebtedness or (y) Unsecured Shorter-Term Indebtedness that, in the case of this </w:t>
      </w:r>
      <w:r>
        <w:rPr>
          <w:rFonts w:ascii="Arial" w:cs="Arial" w:eastAsia="Arial" w:hAnsi="Arial"/>
          <w:sz w:val="22"/>
          <w:szCs w:val="22"/>
          <w:u w:val="single" w:color="auto"/>
          <w:color w:val="auto"/>
        </w:rPr>
        <w:t>clause (x)</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(y)</w:t>
      </w:r>
      <w:r>
        <w:rPr>
          <w:rFonts w:ascii="Arial" w:cs="Arial" w:eastAsia="Arial" w:hAnsi="Arial"/>
          <w:sz w:val="22"/>
          <w:szCs w:val="22"/>
          <w:color w:val="auto"/>
        </w:rPr>
        <w:t xml:space="preserve"> , becomes subject to a contractually scheduled amortization prepayment or payment in full upon its maturity date within 90 days after such date of determination.</w:t>
      </w:r>
    </w:p>
    <w:p>
      <w:pPr>
        <w:spacing w:after="0" w:line="188"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Borrower Net Worth</w:t>
      </w:r>
      <w:r>
        <w:rPr>
          <w:rFonts w:ascii="Arial" w:cs="Arial" w:eastAsia="Arial" w:hAnsi="Arial"/>
          <w:sz w:val="21"/>
          <w:szCs w:val="21"/>
          <w:color w:val="auto"/>
        </w:rPr>
        <w:t xml:space="preserve">” means, as of any date of determination, (a) Total Assets as of such date </w:t>
      </w:r>
      <w:r>
        <w:rPr>
          <w:rFonts w:ascii="Arial" w:cs="Arial" w:eastAsia="Arial" w:hAnsi="Arial"/>
          <w:sz w:val="21"/>
          <w:szCs w:val="21"/>
          <w:i w:val="1"/>
          <w:iCs w:val="1"/>
          <w:color w:val="auto"/>
        </w:rPr>
        <w:t>minus</w:t>
      </w:r>
      <w:r>
        <w:rPr>
          <w:rFonts w:ascii="Arial" w:cs="Arial" w:eastAsia="Arial" w:hAnsi="Arial"/>
          <w:sz w:val="21"/>
          <w:szCs w:val="21"/>
          <w:color w:val="auto"/>
        </w:rPr>
        <w:t xml:space="preserve"> (b) the sum of (i) Total Assets Concentration Limitation as of such date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Total Secured Debt as of such date.</w:t>
      </w:r>
    </w:p>
    <w:p>
      <w:pPr>
        <w:spacing w:after="0" w:line="151"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w:t>
      </w:r>
      <w:r>
        <w:rPr>
          <w:rFonts w:ascii="Arial" w:cs="Arial" w:eastAsia="Arial" w:hAnsi="Arial"/>
          <w:sz w:val="21"/>
          <w:szCs w:val="21"/>
          <w:color w:val="auto"/>
        </w:rPr>
        <w:t>” means (a) all Syndicated ABR Loans of the same Class made, converted or continued on the same date, (b) all Term Benchmark Loans of the same Class denominated in the same Currency that have the same Interest Period, (c) all RFR Loans of the same Class denominated in the same Currency or (d) a Swingline Loan.</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of a Financial Officer of the Borrower,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appropriately completed.</w:t>
      </w:r>
    </w:p>
    <w:p>
      <w:pPr>
        <w:spacing w:after="0" w:line="17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Deficiency</w:t>
      </w:r>
      <w:r>
        <w:rPr>
          <w:rFonts w:ascii="Arial" w:cs="Arial" w:eastAsia="Arial" w:hAnsi="Arial"/>
          <w:sz w:val="22"/>
          <w:szCs w:val="22"/>
          <w:color w:val="auto"/>
        </w:rPr>
        <w:t>” means, at any date on which the same is determined, the amount, if any, that (a) the aggregate Covered Debt Amount as of such date exceeds (b) the Borrowing Base as of such date.</w:t>
      </w:r>
    </w:p>
    <w:p>
      <w:pPr>
        <w:spacing w:after="0" w:line="17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xml:space="preserve">” means a request by the Borrower for a Syndicated Borrowing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2.03</w:t>
      </w:r>
      <w:r>
        <w:rPr>
          <w:rFonts w:ascii="Arial" w:cs="Arial" w:eastAsia="Arial" w:hAnsi="Arial"/>
          <w:sz w:val="22"/>
          <w:szCs w:val="22"/>
          <w:color w:val="auto"/>
        </w:rPr>
        <w:t xml:space="preserve">, which, if in writing, shall be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that is not a Saturday, Sunday or other day on which commercial banks in New York City are authorized or required by law to remain closed;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when used in relation to Term Benchmark Loans or any interest rate settings, fundings, disbursements, settlements or payments of any such Term Benchmark Loan, or any other dealings in the applicable Currency of such Term Benchmark Loan, the term “Business Day” shall also exclude any day that is not a Term Benchmark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an RFR Business Day for such Currency.</w:t>
      </w:r>
    </w:p>
    <w:p>
      <w:pPr>
        <w:spacing w:after="0" w:line="152"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Calculation Amount</w:t>
      </w:r>
      <w:r>
        <w:rPr>
          <w:rFonts w:ascii="Arial" w:cs="Arial" w:eastAsia="Arial" w:hAnsi="Arial"/>
          <w:sz w:val="22"/>
          <w:szCs w:val="22"/>
          <w:color w:val="auto"/>
        </w:rPr>
        <w:t xml:space="preserve">” means, as of the end of any Testing Quarter, an amount equal to the greater of: (a) (i) 125% of the Adjusted Covered Debt Balance (as of the end of such Testing Quarter)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the aggregate Value of all Quoted Investments (including, without duplication, Market Value Investments) included in the Borrowing Base (as of the end of such Testing Quarter) and (b) 10% of the aggregate Value (or as near thereto as reasonably practicable) of all Unquoted Investments included in the Borrowing Base (as of the end of such Testing Quarter);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more than 25% (or, if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applies, 10%) of the</w:t>
      </w:r>
    </w:p>
    <w:p>
      <w:pPr>
        <w:spacing w:after="0" w:line="19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7" w:name="page88"/>
    <w:bookmarkEnd w:id="87"/>
    <w:p>
      <w:pPr>
        <w:jc w:val="both"/>
        <w:spacing w:after="0" w:line="238" w:lineRule="auto"/>
        <w:rPr>
          <w:sz w:val="20"/>
          <w:szCs w:val="20"/>
          <w:color w:val="auto"/>
        </w:rPr>
      </w:pPr>
      <w:r>
        <w:rPr>
          <w:rFonts w:ascii="Arial" w:cs="Arial" w:eastAsia="Arial" w:hAnsi="Arial"/>
          <w:sz w:val="22"/>
          <w:szCs w:val="22"/>
          <w:color w:val="auto"/>
        </w:rPr>
        <w:t xml:space="preserve">aggregate Value (or as near thereto as reasonably practicable) of all Unquoted Investments in the Borrowing Base be subject to testing by the Administrative Agent pursuant to </w:t>
      </w:r>
      <w:r>
        <w:rPr>
          <w:rFonts w:ascii="Arial" w:cs="Arial" w:eastAsia="Arial" w:hAnsi="Arial"/>
          <w:sz w:val="22"/>
          <w:szCs w:val="22"/>
          <w:u w:val="single" w:color="auto"/>
          <w:color w:val="auto"/>
        </w:rPr>
        <w:t>Section 5.12(b)(ii)(E)</w:t>
      </w:r>
      <w:r>
        <w:rPr>
          <w:rFonts w:ascii="Arial" w:cs="Arial" w:eastAsia="Arial" w:hAnsi="Arial"/>
          <w:sz w:val="22"/>
          <w:szCs w:val="22"/>
          <w:color w:val="auto"/>
        </w:rPr>
        <w:t xml:space="preserve"> in respect of any applicable Testing Quarter;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notwithstanding anything to the contrary in this Agreement, Market Value Investments shall be deemed to be Quoted Investments for purposes of this definition.</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w:t>
      </w:r>
      <w:r>
        <w:rPr>
          <w:rFonts w:ascii="Arial" w:cs="Arial" w:eastAsia="Arial" w:hAnsi="Arial"/>
          <w:sz w:val="22"/>
          <w:szCs w:val="22"/>
          <w:color w:val="auto"/>
        </w:rPr>
        <w:t xml:space="preserve">” means the exchange of the Lenders’ interests provided for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 Date</w:t>
      </w:r>
      <w:r>
        <w:rPr>
          <w:rFonts w:ascii="Arial" w:cs="Arial" w:eastAsia="Arial" w:hAnsi="Arial"/>
          <w:sz w:val="22"/>
          <w:szCs w:val="22"/>
          <w:color w:val="auto"/>
        </w:rPr>
        <w:t xml:space="preserve">” means the date on which any Event of Default referred to in </w:t>
      </w:r>
      <w:r>
        <w:rPr>
          <w:rFonts w:ascii="Arial" w:cs="Arial" w:eastAsia="Arial" w:hAnsi="Arial"/>
          <w:sz w:val="22"/>
          <w:szCs w:val="22"/>
          <w:u w:val="single" w:color="auto"/>
          <w:color w:val="auto"/>
        </w:rPr>
        <w:t>clause (j)</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shall occur or the date on which the Borrower receives written notice from the Administrative Agent that any Event of Default referred to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has occurred.</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Percentage</w:t>
      </w:r>
      <w:r>
        <w:rPr>
          <w:rFonts w:ascii="Arial" w:cs="Arial" w:eastAsia="Arial" w:hAnsi="Arial"/>
          <w:sz w:val="22"/>
          <w:szCs w:val="22"/>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means the lawful currency of Canada.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Prime Rate</w:t>
      </w:r>
      <w:r>
        <w:rPr>
          <w:rFonts w:ascii="Arial" w:cs="Arial" w:eastAsia="Arial" w:hAnsi="Arial"/>
          <w:sz w:val="19"/>
          <w:szCs w:val="19"/>
          <w:color w:val="auto"/>
        </w:rPr>
        <w:t>” means, on any day, the rate determined by the Administrative Agent to be the higher of</w:t>
      </w:r>
    </w:p>
    <w:p>
      <w:pPr>
        <w:spacing w:after="0" w:line="43" w:lineRule="exact"/>
        <w:rPr>
          <w:sz w:val="20"/>
          <w:szCs w:val="20"/>
          <w:color w:val="auto"/>
        </w:rPr>
      </w:pPr>
    </w:p>
    <w:p>
      <w:pPr>
        <w:jc w:val="both"/>
        <w:ind w:firstLine="8"/>
        <w:spacing w:after="0" w:line="243" w:lineRule="auto"/>
        <w:tabs>
          <w:tab w:leader="none" w:pos="267"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w:t>
      </w:r>
      <w:r>
        <w:rPr>
          <w:rFonts w:ascii="Arial" w:cs="Arial" w:eastAsia="Arial" w:hAnsi="Arial"/>
          <w:sz w:val="21"/>
          <w:szCs w:val="21"/>
          <w:u w:val="single" w:color="auto"/>
          <w:color w:val="auto"/>
        </w:rPr>
        <w:t>provided</w:t>
      </w:r>
      <w:r>
        <w:rPr>
          <w:rFonts w:ascii="Arial" w:cs="Arial" w:eastAsia="Arial" w:hAnsi="Arial"/>
          <w:sz w:val="21"/>
          <w:szCs w:val="21"/>
          <w:color w:val="auto"/>
        </w:rPr>
        <w:t>, that if any of the above rates shall be less than 0%, such rate shall be deemed to be 0% for purposes of this Agreement. Any change in the Canadian Prime Rate due to a change in the PRIMCAN Index or CDOR shall be effective from and including the effective date of such change in the PRIMCAN Index or CDOR, respectively.</w:t>
      </w:r>
    </w:p>
    <w:p>
      <w:pPr>
        <w:spacing w:after="0" w:line="183"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Lease Obligations</w:t>
      </w:r>
      <w:r>
        <w:rPr>
          <w:rFonts w:ascii="Arial" w:cs="Arial" w:eastAsia="Arial" w:hAnsi="Arial"/>
          <w:sz w:val="19"/>
          <w:szCs w:val="19"/>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8" w:name="page89"/>
    <w:bookmarkEnd w:id="88"/>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means any immediately available funds in Dollars or in any currency other than Dollars (measured in terms of the Dollar Equivalent thereof) which is a freely convertible currency.</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Collateralize</w:t>
      </w:r>
      <w:r>
        <w:rPr>
          <w:rFonts w:ascii="Arial" w:cs="Arial" w:eastAsia="Arial" w:hAnsi="Arial"/>
          <w:sz w:val="22"/>
          <w:szCs w:val="22"/>
          <w:color w:val="auto"/>
        </w:rPr>
        <w:t xml:space="preserve">” means, in respect of a Letter of Credit or any obligation hereunder, to provide and pledge cash collateral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at a location and pursuant to documentation in form and substance reasonably satisfactory to Administrative Agent and the Issuing Bank. “</w:t>
      </w:r>
      <w:r>
        <w:rPr>
          <w:rFonts w:ascii="Arial" w:cs="Arial" w:eastAsia="Arial" w:hAnsi="Arial"/>
          <w:sz w:val="22"/>
          <w:szCs w:val="22"/>
          <w:u w:val="single" w:color="auto"/>
          <w:color w:val="auto"/>
        </w:rPr>
        <w:t>Cash Collateral</w:t>
      </w:r>
      <w:r>
        <w:rPr>
          <w:rFonts w:ascii="Arial" w:cs="Arial" w:eastAsia="Arial" w:hAnsi="Arial"/>
          <w:sz w:val="22"/>
          <w:szCs w:val="22"/>
          <w:color w:val="auto"/>
        </w:rPr>
        <w:t>” shall have a meaning correlative to the foregoing and shall include the proceeds of such cash collateral and other credit support.</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investments (other than Cash) that are one or more of the following obligations:</w:t>
      </w:r>
    </w:p>
    <w:p>
      <w:pPr>
        <w:spacing w:after="0" w:line="206" w:lineRule="exact"/>
        <w:rPr>
          <w:sz w:val="20"/>
          <w:szCs w:val="20"/>
          <w:color w:val="auto"/>
        </w:rPr>
      </w:pPr>
    </w:p>
    <w:p>
      <w:pPr>
        <w:ind w:left="1940" w:hanging="435"/>
        <w:spacing w:after="0"/>
        <w:tabs>
          <w:tab w:leader="none" w:pos="19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U.S. Government Securities, in each case maturing within one year from the date of acquisition thereof;</w:t>
      </w:r>
    </w:p>
    <w:p>
      <w:pPr>
        <w:spacing w:after="0" w:line="240" w:lineRule="exact"/>
        <w:rPr>
          <w:rFonts w:ascii="Arial" w:cs="Arial" w:eastAsia="Arial" w:hAnsi="Arial"/>
          <w:sz w:val="19"/>
          <w:szCs w:val="19"/>
          <w:color w:val="auto"/>
        </w:rPr>
      </w:pPr>
    </w:p>
    <w:p>
      <w:pPr>
        <w:jc w:val="both"/>
        <w:ind w:firstLine="1505"/>
        <w:spacing w:after="0" w:line="254" w:lineRule="exact"/>
        <w:tabs>
          <w:tab w:leader="none" w:pos="1929"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19"/>
          <w:szCs w:val="19"/>
          <w:color w:val="auto"/>
        </w:rPr>
        <w:t>‑</w:t>
      </w:r>
      <w:r>
        <w:rPr>
          <w:rFonts w:ascii="Arial" w:cs="Arial" w:eastAsia="Arial" w:hAnsi="Arial"/>
          <w:sz w:val="19"/>
          <w:szCs w:val="19"/>
          <w:color w:val="auto"/>
        </w:rPr>
        <w:t>1 from S&amp;P and at least P</w:t>
      </w:r>
      <w:r>
        <w:rPr>
          <w:rFonts w:ascii="MS PGothic" w:cs="MS PGothic" w:eastAsia="MS PGothic" w:hAnsi="MS PGothic"/>
          <w:sz w:val="19"/>
          <w:szCs w:val="19"/>
          <w:color w:val="auto"/>
        </w:rPr>
        <w:t>‑</w:t>
      </w:r>
      <w:r>
        <w:rPr>
          <w:rFonts w:ascii="Arial" w:cs="Arial" w:eastAsia="Arial" w:hAnsi="Arial"/>
          <w:sz w:val="19"/>
          <w:szCs w:val="19"/>
          <w:color w:val="auto"/>
        </w:rPr>
        <w:t>1 from Moody’s (or if only one of S&amp;P or Moody’s provides such rating, such investment shall also have an equivalent credit rating from any other rating agency);</w:t>
      </w:r>
    </w:p>
    <w:p>
      <w:pPr>
        <w:spacing w:after="0" w:line="185" w:lineRule="exact"/>
        <w:rPr>
          <w:rFonts w:ascii="Arial" w:cs="Arial" w:eastAsia="Arial" w:hAnsi="Arial"/>
          <w:sz w:val="19"/>
          <w:szCs w:val="19"/>
          <w:color w:val="auto"/>
        </w:rPr>
      </w:pPr>
    </w:p>
    <w:p>
      <w:pPr>
        <w:jc w:val="both"/>
        <w:ind w:firstLine="1505"/>
        <w:spacing w:after="0" w:line="246" w:lineRule="exact"/>
        <w:tabs>
          <w:tab w:leader="none" w:pos="1929"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investments in certificates of deposit,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in which the Principal Financial Center in respect of any Agreed Foreign Currency is located;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21"/>
          <w:szCs w:val="21"/>
          <w:color w:val="auto"/>
        </w:rPr>
        <w:t>‑</w:t>
      </w:r>
      <w:r>
        <w:rPr>
          <w:rFonts w:ascii="Arial" w:cs="Arial" w:eastAsia="Arial" w:hAnsi="Arial"/>
          <w:sz w:val="21"/>
          <w:szCs w:val="21"/>
          <w:color w:val="auto"/>
        </w:rPr>
        <w:t>1 from S&amp;P and at least P</w:t>
      </w:r>
      <w:r>
        <w:rPr>
          <w:rFonts w:ascii="MS PGothic" w:cs="MS PGothic" w:eastAsia="MS PGothic" w:hAnsi="MS PGothic"/>
          <w:sz w:val="21"/>
          <w:szCs w:val="21"/>
          <w:color w:val="auto"/>
        </w:rPr>
        <w:t>‑</w:t>
      </w:r>
      <w:r>
        <w:rPr>
          <w:rFonts w:ascii="Arial" w:cs="Arial" w:eastAsia="Arial" w:hAnsi="Arial"/>
          <w:sz w:val="21"/>
          <w:szCs w:val="21"/>
          <w:color w:val="auto"/>
        </w:rPr>
        <w:t>1 from Moody’s (or if only one of S&amp;P or Moody’s provides such rating, such investment shall also have an equivalent credit rating from any other rating agency);</w:t>
      </w:r>
    </w:p>
    <w:p>
      <w:pPr>
        <w:spacing w:after="0" w:line="193" w:lineRule="exact"/>
        <w:rPr>
          <w:rFonts w:ascii="Arial" w:cs="Arial" w:eastAsia="Arial" w:hAnsi="Arial"/>
          <w:sz w:val="21"/>
          <w:szCs w:val="21"/>
          <w:color w:val="auto"/>
        </w:rPr>
      </w:pPr>
    </w:p>
    <w:p>
      <w:pPr>
        <w:jc w:val="both"/>
        <w:ind w:firstLine="1505"/>
        <w:spacing w:after="0" w:line="249" w:lineRule="exact"/>
        <w:tabs>
          <w:tab w:leader="none" w:pos="1929"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fully collateralized repurchase agreements with a term of not more than 15 days from the date of acquisition thereof for U.S. Government Securities and entered into with (i) a financial institution satisfying the criteria described in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19"/>
          <w:szCs w:val="19"/>
          <w:color w:val="auto"/>
        </w:rPr>
        <w:t>‑</w:t>
      </w:r>
      <w:r>
        <w:rPr>
          <w:rFonts w:ascii="Arial" w:cs="Arial" w:eastAsia="Arial" w:hAnsi="Arial"/>
          <w:sz w:val="19"/>
          <w:szCs w:val="19"/>
          <w:color w:val="auto"/>
        </w:rPr>
        <w:t>2 from S&amp;P and at least P</w:t>
      </w:r>
      <w:r>
        <w:rPr>
          <w:rFonts w:ascii="MS PGothic" w:cs="MS PGothic" w:eastAsia="MS PGothic" w:hAnsi="MS PGothic"/>
          <w:sz w:val="19"/>
          <w:szCs w:val="19"/>
          <w:color w:val="auto"/>
        </w:rPr>
        <w:t>‑</w:t>
      </w:r>
      <w:r>
        <w:rPr>
          <w:rFonts w:ascii="Arial" w:cs="Arial" w:eastAsia="Arial" w:hAnsi="Arial"/>
          <w:sz w:val="19"/>
          <w:szCs w:val="19"/>
          <w:color w:val="auto"/>
        </w:rPr>
        <w:t>2 from Moody’s (or if only one of S&amp;P or Moody’s provides such rating, such Approved Dealer shall also have an equivalent credit rating from any other rating agency); and</w:t>
      </w:r>
    </w:p>
    <w:p>
      <w:pPr>
        <w:spacing w:after="0" w:line="188"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investments in money market funds that invest, and which are restricted by their respective charters to invest, substantially all of their assets in investments of the type described in the immediately preceding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(including as to credit quality and maturity), in each case rated no lower than the then-current rating of the federal government of the United States;</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9" w:name="page90"/>
    <w:bookmarkEnd w:id="89"/>
    <w:p>
      <w:pPr>
        <w:jc w:val="both"/>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w:t>
      </w:r>
    </w:p>
    <w:p>
      <w:pPr>
        <w:spacing w:after="0" w:line="1" w:lineRule="exact"/>
        <w:rPr>
          <w:sz w:val="20"/>
          <w:szCs w:val="20"/>
          <w:color w:val="auto"/>
        </w:rPr>
      </w:pPr>
    </w:p>
    <w:p>
      <w:pPr>
        <w:jc w:val="both"/>
        <w:ind w:firstLine="8"/>
        <w:spacing w:after="0" w:line="233" w:lineRule="auto"/>
        <w:tabs>
          <w:tab w:leader="none" w:pos="3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Cash Equivalents (other than U.S. Government Securities, repurchase agreements or the money market funds described in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CDOR Screen Rate</w:t>
      </w:r>
      <w:r>
        <w:rPr>
          <w:rFonts w:ascii="Arial" w:cs="Arial" w:eastAsia="Arial" w:hAnsi="Arial"/>
          <w:sz w:val="19"/>
          <w:szCs w:val="19"/>
          <w:color w:val="auto"/>
        </w:rPr>
        <w:t>” has the meaning assigned to such term in clause (e) of the definition of “Term Benchmark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188"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Central Bank Rate</w:t>
      </w:r>
      <w:r>
        <w:rPr>
          <w:rFonts w:ascii="Arial" w:cs="Arial" w:eastAsia="Arial" w:hAnsi="Arial"/>
          <w:sz w:val="19"/>
          <w:szCs w:val="19"/>
          <w:color w:val="auto"/>
        </w:rPr>
        <w:t>” means the greater of (A) the sum of (i) for any Loan denominated in (x) Sterling, the Bank of England (or any successor thereto)’s “Bank Rate” as published by the Bank of England (or any successor thereto) from time to time, (y)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or (z) any other Agreed Foreign Currency, a central bank rate as determined by the Administrative Agent in its reasonable discretion; plus (ii) the applicable Central Bank Rate Adjustment and (B) 0%.</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Central Bank Rate Adjustment</w:t>
      </w:r>
      <w:r>
        <w:rPr>
          <w:rFonts w:ascii="Arial" w:cs="Arial" w:eastAsia="Arial" w:hAnsi="Arial"/>
          <w:sz w:val="19"/>
          <w:szCs w:val="19"/>
          <w:color w:val="auto"/>
        </w:rPr>
        <w:t>” means , for any date, for any Loan denominated in (A) Sterling, a rate equal to the difference (which may be a positive or negative value or zero) of (i) the average of the Daily Simple RFR for Sterling for the five most recent RFR Business Days preceding such day for which SONIA was available (excluding, from such averaging, the highest and the lowest SONIA applicable during such period of five RFR Business Days) minus (ii) the Central Bank Rate in respect of Sterling in effect on the last RFR Business Day in such period, (B) Euro, a rate equal to the difference (which may be a positive or negative value or zero) of (i) the average of the Adjusted Term Benchmark Rate for Euros for the five most recent Term Benchmark Banking Days for Euro preceding such day for which the EURIBOR Screen Rate was available (excluding, from such averaging, the highest and the lowest EURIBOR Screen Rate applicable during such period of five Term Benchmark Banking Days for Euro) minus (ii) the Central Bank Rate in respect of Euro in effect on the last Term Benchmark Banking Day for Euro in such period and (C) any other Agreed Foreign Currency, a Central Bank Rate Adjustment as determined by the Administrative Agent in its reasonable discretion. For the purposes of this definition, (x) the term “Central Bank Rate” shall be determined disregarding clause (A)(ii) of the definition of such term and (y) the Adjusted Term Benchmark Rate for Euros on any day shall be based on the EURIBOR Screen Rate, on such day at approximately the time referred to in the definition of such term for deposits in Euro for a maturity of one month.</w:t>
      </w:r>
    </w:p>
    <w:p>
      <w:pPr>
        <w:spacing w:after="0" w:line="200" w:lineRule="exact"/>
        <w:rPr>
          <w:sz w:val="20"/>
          <w:szCs w:val="20"/>
          <w:color w:val="auto"/>
        </w:rPr>
      </w:pPr>
    </w:p>
    <w:p>
      <w:pPr>
        <w:spacing w:after="0" w:line="21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0" w:name="page91"/>
    <w:bookmarkEnd w:id="90"/>
    <w:p>
      <w:pPr>
        <w:jc w:val="both"/>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or (c) the acquisition of direct or indirect Control of the Borrower by any Person or group other than PennantPark Investment Advisers, LLC.</w:t>
      </w:r>
    </w:p>
    <w:p>
      <w:pPr>
        <w:spacing w:after="0" w:line="152"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 adequacy issued (i) by any United States regulatory authority under or in connection with the implementation of the Dodd-Frank Wall Street Reform and Consumer Protection Act and (ii)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200" w:lineRule="exact"/>
        <w:rPr>
          <w:sz w:val="20"/>
          <w:szCs w:val="20"/>
          <w:color w:val="auto"/>
        </w:rPr>
      </w:pPr>
    </w:p>
    <w:p>
      <w:pPr>
        <w:spacing w:after="0" w:line="211"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Class</w:t>
      </w:r>
      <w:r>
        <w:rPr>
          <w:rFonts w:ascii="Arial" w:cs="Arial" w:eastAsia="Arial" w:hAnsi="Arial"/>
          <w:sz w:val="21"/>
          <w:szCs w:val="21"/>
          <w:color w:val="auto"/>
        </w:rPr>
        <w:t>”, when used in reference to any Loan or Borrowing, refers to whether such Loan, or the Loans constituting such Borrowing, are (x) Syndicated Dollar Loans, Syndicated Multicurrency Loans or Swingline Loans and/or (y) Extended Loans or Non-Extended Loans; when used in reference to any Lender, refers to whether such Lender is (x) a Dollar Lender or a Multicurrency Lender and/or (y) an Extending Lender or a Non-Extending Lender; and, when used in reference to any Commitment, refers to whether such Commitment is a Dollar Commitment or a Multicurrency Commitment. The “</w:t>
      </w:r>
      <w:r>
        <w:rPr>
          <w:rFonts w:ascii="Arial" w:cs="Arial" w:eastAsia="Arial" w:hAnsi="Arial"/>
          <w:sz w:val="21"/>
          <w:szCs w:val="21"/>
          <w:u w:val="single" w:color="auto"/>
          <w:color w:val="auto"/>
        </w:rPr>
        <w:t>Class</w:t>
      </w:r>
      <w:r>
        <w:rPr>
          <w:rFonts w:ascii="Arial" w:cs="Arial" w:eastAsia="Arial" w:hAnsi="Arial"/>
          <w:sz w:val="21"/>
          <w:szCs w:val="21"/>
          <w:color w:val="auto"/>
        </w:rPr>
        <w:t xml:space="preserve">” of a Letter of Credit refers to whether such Letter of Credit is a Dollar Letter of Credit or a Multicurrency Letter of Credit. Other than for purposes of </w:t>
      </w:r>
      <w:r>
        <w:rPr>
          <w:rFonts w:ascii="Arial" w:cs="Arial" w:eastAsia="Arial" w:hAnsi="Arial"/>
          <w:sz w:val="21"/>
          <w:szCs w:val="21"/>
          <w:u w:val="single" w:color="auto"/>
          <w:color w:val="auto"/>
        </w:rPr>
        <w:t>Sections 2.08(f)</w:t>
      </w:r>
      <w:r>
        <w:rPr>
          <w:rFonts w:ascii="Arial" w:cs="Arial" w:eastAsia="Arial" w:hAnsi="Arial"/>
          <w:sz w:val="21"/>
          <w:szCs w:val="21"/>
          <w:color w:val="auto"/>
        </w:rPr>
        <w:t xml:space="preserve">, </w:t>
      </w:r>
      <w:r>
        <w:rPr>
          <w:rFonts w:ascii="Arial" w:cs="Arial" w:eastAsia="Arial" w:hAnsi="Arial"/>
          <w:sz w:val="21"/>
          <w:szCs w:val="21"/>
          <w:u w:val="single" w:color="auto"/>
          <w:color w:val="auto"/>
        </w:rPr>
        <w:t>2.09(a)</w:t>
      </w:r>
      <w:r>
        <w:rPr>
          <w:rFonts w:ascii="Arial" w:cs="Arial" w:eastAsia="Arial" w:hAnsi="Arial"/>
          <w:sz w:val="21"/>
          <w:szCs w:val="21"/>
          <w:color w:val="auto"/>
        </w:rPr>
        <w:t xml:space="preserve">, </w:t>
      </w:r>
      <w:r>
        <w:rPr>
          <w:rFonts w:ascii="Arial" w:cs="Arial" w:eastAsia="Arial" w:hAnsi="Arial"/>
          <w:sz w:val="21"/>
          <w:szCs w:val="21"/>
          <w:u w:val="single" w:color="auto"/>
          <w:color w:val="auto"/>
        </w:rPr>
        <w:t>2.10(e)</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2.17(c)</w:t>
      </w:r>
      <w:r>
        <w:rPr>
          <w:rFonts w:ascii="Arial" w:cs="Arial" w:eastAsia="Arial" w:hAnsi="Arial"/>
          <w:sz w:val="21"/>
          <w:szCs w:val="21"/>
          <w:color w:val="auto"/>
        </w:rPr>
        <w:t xml:space="preserve">, </w:t>
      </w:r>
      <w:r>
        <w:rPr>
          <w:rFonts w:ascii="Arial" w:cs="Arial" w:eastAsia="Arial" w:hAnsi="Arial"/>
          <w:sz w:val="21"/>
          <w:szCs w:val="21"/>
          <w:u w:val="single" w:color="auto"/>
          <w:color w:val="auto"/>
        </w:rPr>
        <w:t>2.20</w:t>
      </w:r>
      <w:r>
        <w:rPr>
          <w:rFonts w:ascii="Arial" w:cs="Arial" w:eastAsia="Arial" w:hAnsi="Arial"/>
          <w:sz w:val="21"/>
          <w:szCs w:val="21"/>
          <w:color w:val="auto"/>
        </w:rPr>
        <w:t xml:space="preserve"> and the last paragraph of </w:t>
      </w:r>
      <w:r>
        <w:rPr>
          <w:rFonts w:ascii="Arial" w:cs="Arial" w:eastAsia="Arial" w:hAnsi="Arial"/>
          <w:sz w:val="21"/>
          <w:szCs w:val="21"/>
          <w:u w:val="single" w:color="auto"/>
          <w:color w:val="auto"/>
        </w:rPr>
        <w:t>9.02(b)</w:t>
      </w:r>
      <w:r>
        <w:rPr>
          <w:rFonts w:ascii="Arial" w:cs="Arial" w:eastAsia="Arial" w:hAnsi="Arial"/>
          <w:sz w:val="21"/>
          <w:szCs w:val="21"/>
          <w:color w:val="auto"/>
        </w:rPr>
        <w:t>, Extending Lenders and Non-Extending Lenders shall be treated as the same Class of Lenders and Extended Loans and Non-Extended Loans shall be treated as the same Class of Loans.</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1" w:name="page92"/>
    <w:bookmarkEnd w:id="91"/>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has the meaning assigned to such term in the Guarantee and Security Agreement.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Truist in its capacity as Collateral Agent under the Guarantee and Security Agreement, and includes any successor Collateral Agent thereunder.</w:t>
      </w:r>
    </w:p>
    <w:p>
      <w:pPr>
        <w:spacing w:after="0" w:line="175"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Pool</w:t>
      </w:r>
      <w:r>
        <w:rPr>
          <w:rFonts w:ascii="Arial" w:cs="Arial" w:eastAsia="Arial" w:hAnsi="Arial"/>
          <w:sz w:val="22"/>
          <w:szCs w:val="22"/>
          <w:color w:val="auto"/>
        </w:rPr>
        <w:t xml:space="preserve">” means, at any time, each Portfolio Investment that has been Delivered (as defined in the Guarantee and Security Agreement) to the Collateral Agent and is subject to the Lien of the Guarantee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93"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Combined Debt Amount</w:t>
      </w:r>
      <w:r>
        <w:rPr>
          <w:rFonts w:ascii="Arial" w:cs="Arial" w:eastAsia="Arial" w:hAnsi="Arial"/>
          <w:sz w:val="19"/>
          <w:szCs w:val="19"/>
          <w:color w:val="auto"/>
        </w:rPr>
        <w:t>” means, as of any date, (i) the aggregate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means, collectively, the Dollar Commitments and the Multicurrency Commitments.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Date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the Extended Commitment Termination Date or the relevant Non-Extended Commitment Termination Date, as applicable.</w:t>
      </w:r>
    </w:p>
    <w:p>
      <w:pPr>
        <w:spacing w:after="0" w:line="175"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Conforming Changes</w:t>
      </w:r>
      <w:r>
        <w:rPr>
          <w:rFonts w:ascii="Arial" w:cs="Arial" w:eastAsia="Arial" w:hAnsi="Arial"/>
          <w:sz w:val="21"/>
          <w:szCs w:val="21"/>
          <w:color w:val="auto"/>
        </w:rPr>
        <w:t>” means with respect to either the use or administration of Term SOFR or the use, administration, adoption or implementation of any Benchmark Replacement, any technical, administrative or operational changes (including changes to the definition of “Term Benchmark Rate”, the definition of “Alternate Base Rate”, the definition of “Business Day”, the definition of “Term Benchmark Banking Day”, the definition of “U.S. Government Securities Business Day”, the definition of “Interest Period”, the definition of “Daily Simple RFR”, the definition of “RFR”, the definition of “RFR Business Day”, the definition of “RFR Interest Day”, the definition of “RFR Reference Day”, the definition of or any similar or analogous definition, timing and frequency of determining rates and making payments of interest, timing of borrowing requests or prepayment, conversion or continuation notices, the applicability</w:t>
      </w:r>
    </w:p>
    <w:p>
      <w:pPr>
        <w:spacing w:after="0" w:line="187"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2" w:name="page93"/>
    <w:bookmarkEnd w:id="92"/>
    <w:p>
      <w:pPr>
        <w:jc w:val="both"/>
        <w:spacing w:after="0" w:line="246" w:lineRule="auto"/>
        <w:rPr>
          <w:sz w:val="20"/>
          <w:szCs w:val="20"/>
          <w:color w:val="auto"/>
        </w:rPr>
      </w:pPr>
      <w:r>
        <w:rPr>
          <w:rFonts w:ascii="Arial" w:cs="Arial" w:eastAsia="Arial" w:hAnsi="Arial"/>
          <w:sz w:val="21"/>
          <w:szCs w:val="21"/>
          <w:color w:val="auto"/>
        </w:rPr>
        <w:t xml:space="preserve">and length of lookback periods, the applicability of </w:t>
      </w:r>
      <w:r>
        <w:rPr>
          <w:rFonts w:ascii="Arial" w:cs="Arial" w:eastAsia="Arial" w:hAnsi="Arial"/>
          <w:sz w:val="21"/>
          <w:szCs w:val="21"/>
          <w:u w:val="single" w:color="auto"/>
          <w:color w:val="auto"/>
        </w:rPr>
        <w:t>Section 2.15</w:t>
      </w:r>
      <w:r>
        <w:rPr>
          <w:rFonts w:ascii="Arial" w:cs="Arial" w:eastAsia="Arial" w:hAnsi="Arial"/>
          <w:sz w:val="21"/>
          <w:szCs w:val="21"/>
          <w:color w:val="auto"/>
        </w:rPr>
        <w:t xml:space="preserve"> and other technical, administrative or operational matters) that the Administrative Agent (after consultation with the Borrower) decides in its reasonable discretion may be appropriate or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(after consultation with the Borrower)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0"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Asset Coverage Ratio</w:t>
      </w:r>
      <w:r>
        <w:rPr>
          <w:rFonts w:ascii="Arial" w:cs="Arial" w:eastAsia="Arial" w:hAnsi="Arial"/>
          <w:sz w:val="19"/>
          <w:szCs w:val="19"/>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Group</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1"/>
          <w:szCs w:val="21"/>
          <w:u w:val="single" w:color="auto"/>
          <w:color w:val="auto"/>
        </w:rPr>
        <w:t>Controlling</w:t>
      </w:r>
      <w:r>
        <w:rPr>
          <w:rFonts w:ascii="Arial" w:cs="Arial" w:eastAsia="Arial" w:hAnsi="Arial"/>
          <w:sz w:val="21"/>
          <w:szCs w:val="21"/>
          <w:color w:val="auto"/>
        </w:rPr>
        <w:t>” and “</w:t>
      </w:r>
      <w:r>
        <w:rPr>
          <w:rFonts w:ascii="Arial" w:cs="Arial" w:eastAsia="Arial" w:hAnsi="Arial"/>
          <w:sz w:val="21"/>
          <w:szCs w:val="21"/>
          <w:u w:val="single" w:color="auto"/>
          <w:color w:val="auto"/>
        </w:rPr>
        <w:t>Controlled</w:t>
      </w:r>
      <w:r>
        <w:rPr>
          <w:rFonts w:ascii="Arial" w:cs="Arial" w:eastAsia="Arial" w:hAnsi="Arial"/>
          <w:sz w:val="21"/>
          <w:szCs w:val="21"/>
          <w:color w:val="auto"/>
        </w:rPr>
        <w:t>” have meanings correlative thereto; provided, however, “Control” shall not include “negative” control or “blocking” rights whereby action cannot be taken without the vote or consent of any Person.</w:t>
      </w:r>
    </w:p>
    <w:p>
      <w:pPr>
        <w:spacing w:after="0" w:line="174"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Debt Amount</w:t>
      </w:r>
      <w:r>
        <w:rPr>
          <w:rFonts w:ascii="Arial" w:cs="Arial" w:eastAsia="Arial" w:hAnsi="Arial"/>
          <w:sz w:val="21"/>
          <w:szCs w:val="21"/>
          <w:color w:val="auto"/>
        </w:rPr>
        <w:t xml:space="preserve">” means, on any date, the sum of (x) all of the Revolving Credit Exposures of all Lenders on such date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(y) the aggregate amount of Other Covered Indebtedness on such date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(z) the LC Exposures fully Cash Collateralized on such date pursuant to </w:t>
      </w:r>
      <w:r>
        <w:rPr>
          <w:rFonts w:ascii="Arial" w:cs="Arial" w:eastAsia="Arial" w:hAnsi="Arial"/>
          <w:sz w:val="21"/>
          <w:szCs w:val="21"/>
          <w:u w:val="single" w:color="auto"/>
          <w:color w:val="auto"/>
        </w:rPr>
        <w:t>Section 2.05(k)</w:t>
      </w:r>
      <w:r>
        <w:rPr>
          <w:rFonts w:ascii="Arial" w:cs="Arial" w:eastAsia="Arial" w:hAnsi="Arial"/>
          <w:sz w:val="21"/>
          <w:szCs w:val="21"/>
          <w:color w:val="auto"/>
        </w:rPr>
        <w:t xml:space="preserve"> and the last paragraph of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2026 May Notes, the 2026 November Notes, Permitted Amortizing Unsecured Longer-Term Indebtedness and Special Permitted Indebtedness shall be excluded from the calculation of the Covered Debt Amount until the date that is nine (9) months prior to the scheduled maturity date of such Indebtedness (provided that to the extent, but only to the extent, any portion of any such Indebtedness (including any portion of any Permitted Amortizing Unsecured Longer-Term Indebtedness) is subject to a contractually scheduled amortization payment, other principal payment or redemption (other than any conversion into Permitted Equity Interests) earlier than the scheduled maturity date of such Indebtedness, such portion of such Indebtedness shall be included in the calculation of the Covered Debt Amount beginning upon the date that is the later of (i) 9 months prior to such scheduled amortization payment, other principal payment or redemption and (ii) the date the Borrower becomes aware that such Indebtedness is required to be paid or redeemed). For the avoidance of doubt, for purposes of calculating the Covered Debt Amount, any Indebtedness that is required to be part of the Covered Debt Amount will be included at the then outstanding principal balance thereof.</w:t>
      </w:r>
    </w:p>
    <w:p>
      <w:pPr>
        <w:spacing w:after="0" w:line="18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3" w:name="page94"/>
    <w:bookmarkEnd w:id="93"/>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Currency</w:t>
      </w:r>
      <w:r>
        <w:rPr>
          <w:rFonts w:ascii="Arial" w:cs="Arial" w:eastAsia="Arial" w:hAnsi="Arial"/>
          <w:sz w:val="22"/>
          <w:szCs w:val="22"/>
          <w:color w:val="auto"/>
        </w:rPr>
        <w:t>” means Dollars or any Foreign Currency.</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RFR</w:t>
      </w:r>
      <w:r>
        <w:rPr>
          <w:rFonts w:ascii="Arial" w:cs="Arial" w:eastAsia="Arial" w:hAnsi="Arial"/>
          <w:sz w:val="19"/>
          <w:szCs w:val="19"/>
          <w:color w:val="auto"/>
        </w:rPr>
        <w:t>” means, for any day (an “</w:t>
      </w:r>
      <w:r>
        <w:rPr>
          <w:rFonts w:ascii="Arial" w:cs="Arial" w:eastAsia="Arial" w:hAnsi="Arial"/>
          <w:sz w:val="19"/>
          <w:szCs w:val="19"/>
          <w:u w:val="single" w:color="auto"/>
          <w:color w:val="auto"/>
        </w:rPr>
        <w:t>RFR Interest Day</w:t>
      </w:r>
      <w:r>
        <w:rPr>
          <w:rFonts w:ascii="Arial" w:cs="Arial" w:eastAsia="Arial" w:hAnsi="Arial"/>
          <w:sz w:val="19"/>
          <w:szCs w:val="19"/>
          <w:color w:val="auto"/>
        </w:rPr>
        <w:t>”), an interest rate per annum equal to (a) for any RFR Loan denominated in Sterling, the greater of (i) SONIA for the day (the “</w:t>
      </w:r>
      <w:r>
        <w:rPr>
          <w:rFonts w:ascii="Arial" w:cs="Arial" w:eastAsia="Arial" w:hAnsi="Arial"/>
          <w:sz w:val="19"/>
          <w:szCs w:val="19"/>
          <w:u w:val="single" w:color="auto"/>
          <w:color w:val="auto"/>
        </w:rPr>
        <w:t>RFR Reference Day</w:t>
      </w:r>
      <w:r>
        <w:rPr>
          <w:rFonts w:ascii="Arial" w:cs="Arial" w:eastAsia="Arial" w:hAnsi="Arial"/>
          <w:sz w:val="19"/>
          <w:szCs w:val="19"/>
          <w:color w:val="auto"/>
        </w:rPr>
        <w:t xml:space="preserve">”) that is five RFR Business Days prior to (A) if such RFR Interest Day is an RFR Business Day, such RFR Interest Day or (B) if such RFR Interest Day is not an RFR Business Day, the RFR Business Day immediately preceding such RFR Interest Day, in each case plus the applicable RFR Credit Adjustment Spread for the Interest Period in which such RFR Interest Day occurs, and (ii) 0.00%; and (b) for any RFR Loan denominated in Swiss Francs, the greater of (i) SARON for the RFR Reference Day that is five RFR Business Days prior to (A) if such RFR Interest Day is an RFR Business Day, such RFR Interest Day or (B) if such RFR Interest Day is not an RFR Business Day, the RFR Business Day immediately preceding such RFR Interest Day, in each case plus the applicable RFR Credit Adjustment Spread for the Interest Period in which such RFR Interest Day occurs, and (ii) 0.00%. If by 5:00 p.m. (local time for the applicable RFR), on the second RFR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68"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means, for any day (a “</w:t>
      </w:r>
      <w:r>
        <w:rPr>
          <w:rFonts w:ascii="Arial" w:cs="Arial" w:eastAsia="Arial" w:hAnsi="Arial"/>
          <w:sz w:val="20"/>
          <w:szCs w:val="20"/>
          <w:u w:val="single" w:color="auto"/>
          <w:color w:val="auto"/>
        </w:rPr>
        <w:t>SOFR Rate Day</w:t>
      </w:r>
      <w:r>
        <w:rPr>
          <w:rFonts w:ascii="Arial" w:cs="Arial" w:eastAsia="Arial" w:hAnsi="Arial"/>
          <w:sz w:val="20"/>
          <w:szCs w:val="20"/>
          <w:color w:val="auto"/>
        </w:rPr>
        <w:t>”), a rate per annum equal to SOFR for the day (such day “</w:t>
      </w:r>
      <w:r>
        <w:rPr>
          <w:rFonts w:ascii="Arial" w:cs="Arial" w:eastAsia="Arial" w:hAnsi="Arial"/>
          <w:sz w:val="20"/>
          <w:szCs w:val="20"/>
          <w:u w:val="single" w:color="auto"/>
          <w:color w:val="auto"/>
        </w:rPr>
        <w:t>SOFR Determination Date</w:t>
      </w:r>
      <w:r>
        <w:rPr>
          <w:rFonts w:ascii="Arial" w:cs="Arial" w:eastAsia="Arial" w:hAnsi="Arial"/>
          <w:sz w:val="20"/>
          <w:szCs w:val="20"/>
          <w:color w:val="auto"/>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If by 5:00 p.m. (New York City time) on the second (2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RFR Business Day immediately following any SOFR Determination Date, the SOFR in respect of such SOFR Determination Date has not been published on the SOFR Administrator’s Website and a Benchmark Replacement Date with respect to the Daily Simple SOFR has not occurred, then the SOFR for such SOFR Determination Date will be the SOFR as published in respect of the first preceding RFR Business Day for which such SOFR was published on the SOFR Administrator’s Website;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SOFR determined pursuant to this sentence shall be utilized for purposes of the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xml:space="preserve">” means, subject to </w:t>
      </w:r>
      <w:r>
        <w:rPr>
          <w:rFonts w:ascii="Arial" w:cs="Arial" w:eastAsia="Arial" w:hAnsi="Arial"/>
          <w:sz w:val="22"/>
          <w:szCs w:val="22"/>
          <w:u w:val="single" w:color="auto"/>
          <w:color w:val="auto"/>
        </w:rPr>
        <w:t>Section 2.19(b)</w:t>
      </w:r>
      <w:r>
        <w:rPr>
          <w:rFonts w:ascii="Arial" w:cs="Arial" w:eastAsia="Arial" w:hAnsi="Arial"/>
          <w:sz w:val="22"/>
          <w:szCs w:val="22"/>
          <w:color w:val="auto"/>
        </w:rPr>
        <w:t>, any Lender that, during such Lender’s Availability Period, (a) has failed to (i) fund all or any portion of its Loans or</w:t>
      </w:r>
    </w:p>
    <w:p>
      <w:pPr>
        <w:spacing w:after="0" w:line="182" w:lineRule="exact"/>
        <w:rPr>
          <w:sz w:val="20"/>
          <w:szCs w:val="20"/>
          <w:color w:val="auto"/>
        </w:rPr>
      </w:pPr>
    </w:p>
    <w:p>
      <w:pPr>
        <w:ind w:left="4980"/>
        <w:spacing w:after="0"/>
        <w:tabs>
          <w:tab w:leader="none" w:pos="8960" w:val="left"/>
        </w:tabs>
        <w:rPr>
          <w:sz w:val="20"/>
          <w:szCs w:val="20"/>
          <w:color w:val="auto"/>
        </w:rPr>
      </w:pPr>
      <w:r>
        <w:rPr>
          <w:rFonts w:ascii="Arial" w:cs="Arial" w:eastAsia="Arial" w:hAnsi="Arial"/>
          <w:sz w:val="14"/>
          <w:szCs w:val="14"/>
          <w:color w:val="auto"/>
        </w:rPr>
        <w:t>DOCVARIABLE #DNDocID \* MERGEFORMAT 748401849 16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ind w:left="9200"/>
        <w:spacing w:after="0"/>
        <w:rPr>
          <w:sz w:val="20"/>
          <w:szCs w:val="20"/>
          <w:color w:val="auto"/>
        </w:rPr>
      </w:pPr>
      <w:r>
        <w:rPr>
          <w:rFonts w:ascii="Arial" w:cs="Arial" w:eastAsia="Arial" w:hAnsi="Arial"/>
          <w:sz w:val="16"/>
          <w:szCs w:val="16"/>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4" w:name="page95"/>
    <w:bookmarkEnd w:id="94"/>
    <w:p>
      <w:pPr>
        <w:jc w:val="both"/>
        <w:spacing w:after="0" w:line="270" w:lineRule="auto"/>
        <w:rPr>
          <w:sz w:val="20"/>
          <w:szCs w:val="20"/>
          <w:color w:val="auto"/>
        </w:rPr>
      </w:pPr>
      <w:r>
        <w:rPr>
          <w:rFonts w:ascii="Arial" w:cs="Arial" w:eastAsia="Arial" w:hAnsi="Arial"/>
          <w:sz w:val="19"/>
          <w:szCs w:val="19"/>
          <w:color w:val="auto"/>
        </w:rPr>
        <w:t>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Issuing Bank, Swingline Lender or any other Lender any other amount required to be paid by it hereunder (including in respect of its participation in Letters of Credit or Swingline Loans) within two Business Days of the date when due,</w:t>
      </w:r>
    </w:p>
    <w:p>
      <w:pPr>
        <w:spacing w:after="0" w:line="1" w:lineRule="exact"/>
        <w:rPr>
          <w:sz w:val="20"/>
          <w:szCs w:val="20"/>
          <w:color w:val="auto"/>
        </w:rPr>
      </w:pPr>
    </w:p>
    <w:p>
      <w:pPr>
        <w:jc w:val="both"/>
        <w:ind w:firstLine="8"/>
        <w:spacing w:after="0" w:line="268" w:lineRule="auto"/>
        <w:tabs>
          <w:tab w:leader="none" w:pos="321"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has notified the Borrower, the Administrative Agent, Issuing Bank or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or (d) the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shall be conclusive and binding absent manifest error, and such Lender shall be deemed to be a Defaulting Lender (subject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2.19(b)</w:t>
      </w:r>
      <w:r>
        <w:rPr>
          <w:rFonts w:ascii="Arial" w:cs="Arial" w:eastAsia="Arial" w:hAnsi="Arial"/>
          <w:sz w:val="19"/>
          <w:szCs w:val="19"/>
          <w:color w:val="auto"/>
        </w:rPr>
        <w:t>) upon such determination (and the Administrative Agent shall deliver written notice of such determination to the Borrower, the Issuing Bank and each Lender and the Swingline Lender).</w:t>
      </w:r>
    </w:p>
    <w:p>
      <w:pPr>
        <w:spacing w:after="0" w:line="200" w:lineRule="exact"/>
        <w:rPr>
          <w:sz w:val="20"/>
          <w:szCs w:val="20"/>
          <w:color w:val="auto"/>
        </w:rPr>
      </w:pPr>
    </w:p>
    <w:p>
      <w:pPr>
        <w:spacing w:after="0" w:line="219"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Obligations</w:t>
      </w:r>
      <w:r>
        <w:rPr>
          <w:rFonts w:ascii="Arial" w:cs="Arial" w:eastAsia="Arial" w:hAnsi="Arial"/>
          <w:sz w:val="22"/>
          <w:szCs w:val="22"/>
          <w:color w:val="auto"/>
        </w:rPr>
        <w:t>” means all obligations of the Borrower with respect to (a) principal of and interest on the Loans and (b) accrued and unpaid fees under the Loan Documents.</w:t>
      </w:r>
    </w:p>
    <w:p>
      <w:pPr>
        <w:spacing w:after="0" w:line="175" w:lineRule="exact"/>
        <w:rPr>
          <w:sz w:val="20"/>
          <w:szCs w:val="20"/>
          <w:color w:val="auto"/>
        </w:rPr>
      </w:pPr>
    </w:p>
    <w:p>
      <w:pPr>
        <w:jc w:val="both"/>
        <w:ind w:right="2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Disposition</w:t>
      </w:r>
      <w:r>
        <w:rPr>
          <w:rFonts w:ascii="Arial" w:cs="Arial" w:eastAsia="Arial" w:hAnsi="Arial"/>
          <w:sz w:val="19"/>
          <w:szCs w:val="19"/>
          <w:color w:val="auto"/>
        </w:rPr>
        <w:t>” or “</w:t>
      </w:r>
      <w:r>
        <w:rPr>
          <w:rFonts w:ascii="Arial" w:cs="Arial" w:eastAsia="Arial" w:hAnsi="Arial"/>
          <w:sz w:val="19"/>
          <w:szCs w:val="19"/>
          <w:u w:val="single" w:color="auto"/>
          <w:color w:val="auto"/>
        </w:rPr>
        <w:t>Dispose</w:t>
      </w:r>
      <w:r>
        <w:rPr>
          <w:rFonts w:ascii="Arial" w:cs="Arial" w:eastAsia="Arial" w:hAnsi="Arial"/>
          <w:sz w:val="19"/>
          <w:szCs w:val="19"/>
          <w:color w:val="auto"/>
        </w:rPr>
        <w:t>”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w:t>
      </w:r>
    </w:p>
    <w:p>
      <w:pPr>
        <w:spacing w:after="0" w:line="14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5" w:name="page96"/>
    <w:bookmarkEnd w:id="95"/>
    <w:p>
      <w:pPr>
        <w:jc w:val="both"/>
        <w:spacing w:after="0"/>
        <w:rPr>
          <w:sz w:val="20"/>
          <w:szCs w:val="20"/>
          <w:color w:val="auto"/>
        </w:rPr>
      </w:pPr>
      <w:r>
        <w:rPr>
          <w:rFonts w:ascii="Arial" w:cs="Arial" w:eastAsia="Arial" w:hAnsi="Arial"/>
          <w:sz w:val="22"/>
          <w:szCs w:val="22"/>
          <w:color w:val="auto"/>
        </w:rPr>
        <w:t xml:space="preserve">rights and claims associated therewith;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term “Disposition” or “Dispose” shall not include the disposition of Portfolio Investments originated by the Borrower and immediately transferred to a Financing Subsidiary pursuant to a transaction not prohibited hereunder.</w:t>
      </w:r>
    </w:p>
    <w:p>
      <w:pPr>
        <w:spacing w:after="0" w:line="18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Commitment</w:t>
      </w:r>
      <w:r>
        <w:rPr>
          <w:rFonts w:ascii="Arial" w:cs="Arial" w:eastAsia="Arial" w:hAnsi="Arial"/>
          <w:sz w:val="19"/>
          <w:szCs w:val="19"/>
          <w:color w:val="auto"/>
        </w:rPr>
        <w:t xml:space="preserve">” means, with respect to each Dollar Lender, the commitment of such Dollar Lender to make Syndicated Loans, and to acquire participations in Letters of Credit and Swingline Loans, denominated in Dollars hereunder, during such Lender’s Availability Period,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initial amount of each Lender’s Dollar Commitment is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 or in the Assignment and Assumption pursuant to which such Lender shall have assumed its Dollar Commitment, as applicable. The aggregate amount of the Lenders’ Dollar Commitments as of the Fifth Amendment Effective Date is $85,000,000.</w:t>
      </w:r>
    </w:p>
    <w:p>
      <w:pPr>
        <w:spacing w:after="0" w:line="157"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Equivalent</w:t>
      </w:r>
      <w:r>
        <w:rPr>
          <w:rFonts w:ascii="Arial" w:cs="Arial" w:eastAsia="Arial" w:hAnsi="Arial"/>
          <w:sz w:val="22"/>
          <w:szCs w:val="22"/>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187"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LC Exposure</w:t>
      </w:r>
      <w:r>
        <w:rPr>
          <w:rFonts w:ascii="Arial" w:cs="Arial" w:eastAsia="Arial" w:hAnsi="Arial"/>
          <w:sz w:val="19"/>
          <w:szCs w:val="19"/>
          <w:color w:val="auto"/>
        </w:rPr>
        <w:t xml:space="preserve">” means, at any time, the sum of (a) the aggregate undrawn amount of all outstanding Dollar Letters of Credit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43"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Lender</w:t>
      </w:r>
      <w:r>
        <w:rPr>
          <w:rFonts w:ascii="Arial" w:cs="Arial" w:eastAsia="Arial" w:hAnsi="Arial"/>
          <w:sz w:val="22"/>
          <w:szCs w:val="22"/>
          <w:color w:val="auto"/>
        </w:rPr>
        <w:t xml:space="preserve">” means the Persons listed on </w:t>
      </w:r>
      <w:r>
        <w:rPr>
          <w:rFonts w:ascii="Arial" w:cs="Arial" w:eastAsia="Arial" w:hAnsi="Arial"/>
          <w:sz w:val="22"/>
          <w:szCs w:val="22"/>
          <w:u w:val="single" w:color="auto"/>
          <w:color w:val="auto"/>
        </w:rPr>
        <w:t>Schedule 1.01(b)</w:t>
      </w:r>
      <w:r>
        <w:rPr>
          <w:rFonts w:ascii="Arial" w:cs="Arial" w:eastAsia="Arial" w:hAnsi="Arial"/>
          <w:sz w:val="22"/>
          <w:szCs w:val="22"/>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Letters of Credit</w:t>
      </w:r>
      <w:r>
        <w:rPr>
          <w:rFonts w:ascii="Arial" w:cs="Arial" w:eastAsia="Arial" w:hAnsi="Arial"/>
          <w:sz w:val="22"/>
          <w:szCs w:val="22"/>
          <w:color w:val="auto"/>
        </w:rPr>
        <w:t>” means Letters of Credit that utilize the Dollar Commitments.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 Loan</w:t>
      </w:r>
      <w:r>
        <w:rPr>
          <w:rFonts w:ascii="Arial" w:cs="Arial" w:eastAsia="Arial" w:hAnsi="Arial"/>
          <w:sz w:val="22"/>
          <w:szCs w:val="22"/>
          <w:color w:val="auto"/>
        </w:rPr>
        <w:t>” means a Loan denominated in Dollars.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6" w:name="page97"/>
    <w:bookmarkEnd w:id="96"/>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means the date on which the conditions specified in </w:t>
      </w:r>
      <w:r>
        <w:rPr>
          <w:rFonts w:ascii="Arial" w:cs="Arial" w:eastAsia="Arial" w:hAnsi="Arial"/>
          <w:sz w:val="22"/>
          <w:szCs w:val="22"/>
          <w:u w:val="single" w:color="auto"/>
          <w:color w:val="auto"/>
        </w:rPr>
        <w:t>Section 4.01</w:t>
      </w:r>
      <w:r>
        <w:rPr>
          <w:rFonts w:ascii="Arial" w:cs="Arial" w:eastAsia="Arial" w:hAnsi="Arial"/>
          <w:sz w:val="22"/>
          <w:szCs w:val="22"/>
          <w:color w:val="auto"/>
        </w:rPr>
        <w:t xml:space="preserve"> are satisfied (or waived in accordance with </w:t>
      </w:r>
      <w:r>
        <w:rPr>
          <w:rFonts w:ascii="Arial" w:cs="Arial" w:eastAsia="Arial" w:hAnsi="Arial"/>
          <w:sz w:val="22"/>
          <w:szCs w:val="22"/>
          <w:u w:val="single" w:color="auto"/>
          <w:color w:val="auto"/>
        </w:rPr>
        <w:t>Section 9.02</w:t>
      </w:r>
      <w:r>
        <w:rPr>
          <w:rFonts w:ascii="Arial" w:cs="Arial" w:eastAsia="Arial" w:hAnsi="Arial"/>
          <w:sz w:val="22"/>
          <w:szCs w:val="22"/>
          <w:color w:val="auto"/>
        </w:rPr>
        <w:t>), which date is June 25, 2014.</w:t>
      </w:r>
    </w:p>
    <w:p>
      <w:pPr>
        <w:spacing w:after="0" w:line="175"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Equity Interests</w:t>
      </w:r>
      <w:r>
        <w:rPr>
          <w:rFonts w:ascii="Arial" w:cs="Arial" w:eastAsia="Arial" w:hAnsi="Arial"/>
          <w:sz w:val="21"/>
          <w:szCs w:val="21"/>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Interests” shall not include convertible debt unless and until such debt has been converted to capital stock.</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21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8.09(a)</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Erroneous Payment Deficiency Assignment</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8.09(d)</w:t>
      </w:r>
      <w:r>
        <w:rPr>
          <w:rFonts w:ascii="Arial" w:cs="Arial" w:eastAsia="Arial" w:hAnsi="Arial"/>
          <w:sz w:val="21"/>
          <w:szCs w:val="21"/>
          <w:color w:val="auto"/>
        </w:rPr>
        <w: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8.09(d)</w:t>
      </w:r>
      <w:r>
        <w:rPr>
          <w:rFonts w:ascii="Arial" w:cs="Arial" w:eastAsia="Arial" w:hAnsi="Arial"/>
          <w:sz w:val="22"/>
          <w:szCs w:val="22"/>
          <w:color w:val="auto"/>
        </w:rPr>
        <w:t>.</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19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7" w:name="page98"/>
    <w:bookmarkEnd w:id="97"/>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8.09(d)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Erroneous Payment Subrogation Rights</w:t>
      </w:r>
      <w:r>
        <w:rPr>
          <w:rFonts w:ascii="Arial" w:cs="Arial" w:eastAsia="Arial" w:hAnsi="Arial"/>
          <w:sz w:val="21"/>
          <w:szCs w:val="21"/>
          <w:color w:val="auto"/>
        </w:rPr>
        <w:t xml:space="preserve">” has the meaning assigned to such term in </w:t>
      </w:r>
      <w:r>
        <w:rPr>
          <w:rFonts w:ascii="Arial" w:cs="Arial" w:eastAsia="Arial" w:hAnsi="Arial"/>
          <w:sz w:val="21"/>
          <w:szCs w:val="21"/>
          <w:u w:val="single" w:color="auto"/>
          <w:color w:val="auto"/>
        </w:rPr>
        <w:t>Section 8.09(d)</w:t>
      </w:r>
      <w:r>
        <w:rPr>
          <w:rFonts w:ascii="Arial" w:cs="Arial" w:eastAsia="Arial" w:hAnsi="Arial"/>
          <w:sz w:val="21"/>
          <w:szCs w:val="21"/>
          <w:color w:val="auto"/>
        </w:rPr>
        <w:t>.</w:t>
      </w:r>
    </w:p>
    <w:p>
      <w:pPr>
        <w:spacing w:after="0" w:line="21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EURIBOR Screen Rate</w:t>
      </w:r>
      <w:r>
        <w:rPr>
          <w:rFonts w:ascii="Arial" w:cs="Arial" w:eastAsia="Arial" w:hAnsi="Arial"/>
          <w:sz w:val="22"/>
          <w:szCs w:val="22"/>
          <w:color w:val="auto"/>
        </w:rPr>
        <w:t>” has the meaning assigned to such term in clause (b) of the definition of “Term Benchmark Rate”.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means a single currency of the Participating Member States.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with respect to the Administrative Agent, any Lender, the Issuing Bank or any other recipient of any payment to be made by or on account of any obligation of the Borrower hereunder, (a) income, corporate, franchise or other similar Taxes imposed on (or measured by) its net income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w:t>
      </w:r>
    </w:p>
    <w:p>
      <w:pPr>
        <w:spacing w:after="0" w:line="4" w:lineRule="exact"/>
        <w:rPr>
          <w:sz w:val="20"/>
          <w:szCs w:val="20"/>
          <w:color w:val="auto"/>
        </w:rPr>
      </w:pPr>
    </w:p>
    <w:p>
      <w:pPr>
        <w:jc w:val="both"/>
        <w:ind w:firstLine="8"/>
        <w:spacing w:after="0" w:line="266" w:lineRule="auto"/>
        <w:tabs>
          <w:tab w:leader="none" w:pos="323"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any branch profits Taxes imposed by the United States of America or any similar Tax imposed by any other jurisdiction in which the Borrower is located, (c) in the case of a Lender, any U.S. federal withholding Tax imposed on amounts payable to such Lender (i) at the time such Lender (other than an assignee pursuant to a request by the Borrower under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9"/>
          <w:szCs w:val="19"/>
          <w:u w:val="single" w:color="auto"/>
          <w:color w:val="auto"/>
        </w:rPr>
        <w:t>Section 2.16(f)</w:t>
      </w:r>
      <w:r>
        <w:rPr>
          <w:rFonts w:ascii="Arial" w:cs="Arial" w:eastAsia="Arial" w:hAnsi="Arial"/>
          <w:sz w:val="19"/>
          <w:szCs w:val="19"/>
          <w:color w:val="auto"/>
        </w:rPr>
        <w:t>, (d) any U.S. federal, state or local backup withholding Taxes imposed on payments made under any Loan Document, and (e) any U.S. federal withholding Tax that is imposed pursuant to</w:t>
      </w:r>
    </w:p>
    <w:p>
      <w:pPr>
        <w:spacing w:after="0" w:line="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FATCA.</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Credit Agreement</w:t>
      </w:r>
      <w:r>
        <w:rPr>
          <w:rFonts w:ascii="Arial" w:cs="Arial" w:eastAsia="Arial" w:hAnsi="Arial"/>
          <w:sz w:val="21"/>
          <w:szCs w:val="21"/>
          <w:color w:val="auto"/>
        </w:rPr>
        <w:t xml:space="preserve">” has the meaning assigned to such term in the </w:t>
      </w:r>
      <w:r>
        <w:rPr>
          <w:rFonts w:ascii="Arial" w:cs="Arial" w:eastAsia="Arial" w:hAnsi="Arial"/>
          <w:sz w:val="21"/>
          <w:szCs w:val="21"/>
          <w:u w:val="single" w:color="auto"/>
          <w:color w:val="auto"/>
        </w:rPr>
        <w:t>preamble</w:t>
      </w:r>
      <w:r>
        <w:rPr>
          <w:rFonts w:ascii="Arial" w:cs="Arial" w:eastAsia="Arial" w:hAnsi="Arial"/>
          <w:sz w:val="21"/>
          <w:szCs w:val="21"/>
          <w:color w:val="auto"/>
        </w:rPr>
        <w:t xml:space="preserve"> to this Agreement.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Lenders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Loans</w:t>
      </w:r>
      <w:r>
        <w:rPr>
          <w:rFonts w:ascii="Arial" w:cs="Arial" w:eastAsia="Arial" w:hAnsi="Arial"/>
          <w:sz w:val="22"/>
          <w:szCs w:val="22"/>
          <w:color w:val="auto"/>
        </w:rPr>
        <w:t xml:space="preserve">” has the meaning assigned to such term in the </w:t>
      </w:r>
      <w:r>
        <w:rPr>
          <w:rFonts w:ascii="Arial" w:cs="Arial" w:eastAsia="Arial" w:hAnsi="Arial"/>
          <w:sz w:val="22"/>
          <w:szCs w:val="22"/>
          <w:u w:val="single" w:color="auto"/>
          <w:color w:val="auto"/>
        </w:rPr>
        <w:t>preamble</w:t>
      </w:r>
      <w:r>
        <w:rPr>
          <w:rFonts w:ascii="Arial" w:cs="Arial" w:eastAsia="Arial" w:hAnsi="Arial"/>
          <w:sz w:val="22"/>
          <w:szCs w:val="22"/>
          <w:color w:val="auto"/>
        </w:rPr>
        <w:t xml:space="preserve"> to this Agreement.</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8" w:name="page99"/>
    <w:bookmarkEnd w:id="98"/>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Availability Period</w:t>
      </w:r>
      <w:r>
        <w:rPr>
          <w:rFonts w:ascii="Arial" w:cs="Arial" w:eastAsia="Arial" w:hAnsi="Arial"/>
          <w:sz w:val="22"/>
          <w:szCs w:val="22"/>
          <w:color w:val="auto"/>
        </w:rPr>
        <w:t>” means, with respect to any Extending Lender, the period from and including the Effective Date to but excluding the earlier of the Extended Commitment Termination Date and the date of termination of the Commitments.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 Termination Date</w:t>
      </w:r>
      <w:r>
        <w:rPr>
          <w:rFonts w:ascii="Arial" w:cs="Arial" w:eastAsia="Arial" w:hAnsi="Arial"/>
          <w:sz w:val="19"/>
          <w:szCs w:val="19"/>
          <w:color w:val="auto"/>
        </w:rPr>
        <w:t>” means, with respect to each Extending Lender, July 29, 2026.</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Final Maturity Date</w:t>
      </w:r>
      <w:r>
        <w:rPr>
          <w:rFonts w:ascii="Arial" w:cs="Arial" w:eastAsia="Arial" w:hAnsi="Arial"/>
          <w:sz w:val="22"/>
          <w:szCs w:val="22"/>
          <w:color w:val="auto"/>
        </w:rPr>
        <w:t>” means, with respect to each Extending Lender, July 29, 2027.</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Extended Loans</w:t>
      </w:r>
      <w:r>
        <w:rPr>
          <w:rFonts w:ascii="Arial" w:cs="Arial" w:eastAsia="Arial" w:hAnsi="Arial"/>
          <w:sz w:val="21"/>
          <w:szCs w:val="21"/>
          <w:color w:val="auto"/>
        </w:rPr>
        <w:t>” means Loans or Borrowings of any Extending Lender maturing on the Extended Final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Maturity Date.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means each Lender designated as an “Extending Lender”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Extending Lender Applicable Margin</w:t>
      </w:r>
      <w:r>
        <w:rPr>
          <w:rFonts w:ascii="Arial" w:cs="Arial" w:eastAsia="Arial" w:hAnsi="Arial"/>
          <w:sz w:val="19"/>
          <w:szCs w:val="19"/>
          <w:color w:val="auto"/>
        </w:rPr>
        <w:t>” means (a) if the Borrowing Base (as of the most recently delivered Borrowing Base Certificate) is greater than or equal to the product of 1.60 and the Combined Debt Amount, (i) with respect to any ABR Loan, 1.00% per annum, (ii) with respect to any Term Benchmark Loan, 2.00% per annum and (iii) with respect to any RFR Loan, 2.00% per annum; and (b) if the Borrowing Base (as of the most recently delivered Borrowing Base Certificate) is less than the product of 1.60 and the Combined Debt Amount, (i) with respect to any ABR Loan, 1.25% per annum, (ii) with respect to any Term Benchmark Loan, 2.25% per annum and (iii) with respect to any RFR Loan, 2.25% per annum.</w:t>
      </w:r>
    </w:p>
    <w:p>
      <w:pPr>
        <w:spacing w:after="0" w:line="150"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Receipts</w:t>
      </w:r>
      <w:r>
        <w:rPr>
          <w:rFonts w:ascii="Arial" w:cs="Arial" w:eastAsia="Arial" w:hAnsi="Arial"/>
          <w:sz w:val="19"/>
          <w:szCs w:val="19"/>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Extraordinary Receipts shall not include any (x) amounts that the Borrower receives from the Administrative Agent or any Lender pursuant to </w:t>
      </w:r>
      <w:r>
        <w:rPr>
          <w:rFonts w:ascii="Arial" w:cs="Arial" w:eastAsia="Arial" w:hAnsi="Arial"/>
          <w:sz w:val="19"/>
          <w:szCs w:val="19"/>
          <w:u w:val="single" w:color="auto"/>
          <w:color w:val="auto"/>
        </w:rPr>
        <w:t>Section 2.16(f)</w:t>
      </w:r>
      <w:r>
        <w:rPr>
          <w:rFonts w:ascii="Arial" w:cs="Arial" w:eastAsia="Arial" w:hAnsi="Arial"/>
          <w:sz w:val="19"/>
          <w:szCs w:val="19"/>
          <w:color w:val="auto"/>
        </w:rPr>
        <w:t>, or</w:t>
      </w:r>
    </w:p>
    <w:p>
      <w:pPr>
        <w:spacing w:after="0" w:line="5" w:lineRule="exact"/>
        <w:rPr>
          <w:sz w:val="20"/>
          <w:szCs w:val="20"/>
          <w:color w:val="auto"/>
        </w:rPr>
      </w:pPr>
    </w:p>
    <w:p>
      <w:pPr>
        <w:jc w:val="both"/>
        <w:ind w:firstLine="8"/>
        <w:spacing w:after="0" w:line="233" w:lineRule="auto"/>
        <w:tabs>
          <w:tab w:leader="none" w:pos="3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85"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in connection with the foregoing, and any</w:t>
      </w:r>
    </w:p>
    <w:p>
      <w:pPr>
        <w:spacing w:after="0" w:line="18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legislation or regulations adopted or promulgated pursuant to any such intergovernmental agreement.</w:t>
      </w:r>
    </w:p>
    <w:p>
      <w:pPr>
        <w:spacing w:after="0" w:line="20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means, for any day, the greater of (a) zero and (b) weighted average (rounded upwards, if necessary, to the next 1/100 of 1%) of the rates on overnight Federal funds transactions,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u w:val="single" w:color="auto"/>
          <w:color w:val="auto"/>
        </w:rPr>
        <w:t>“Federal Reserve Bank of New York’s Website</w:t>
      </w:r>
      <w:r>
        <w:rPr>
          <w:rFonts w:ascii="Arial" w:cs="Arial" w:eastAsia="Arial" w:hAnsi="Arial"/>
          <w:sz w:val="22"/>
          <w:szCs w:val="22"/>
          <w:color w:val="auto"/>
        </w:rPr>
        <w:t>” means the website of the Federal Reserve Bank of New York at http://www.newyorkfed.org, or any successor source.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that certain fee letter, dated July 25, 2022, among the Borrower, Truist Bank and Truist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Securities, Inc.</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Fifth Amendment Effective Date</w:t>
      </w:r>
      <w:r>
        <w:rPr>
          <w:rFonts w:ascii="Arial" w:cs="Arial" w:eastAsia="Arial" w:hAnsi="Arial"/>
          <w:sz w:val="22"/>
          <w:szCs w:val="22"/>
          <w:color w:val="auto"/>
        </w:rPr>
        <w:t>” means July 29, 2022.</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Final Maturity Date</w:t>
      </w:r>
      <w:r>
        <w:rPr>
          <w:rFonts w:ascii="Arial" w:cs="Arial" w:eastAsia="Arial" w:hAnsi="Arial"/>
          <w:sz w:val="19"/>
          <w:szCs w:val="19"/>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applicable Non-Extended Final Maturity Date.</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Stability Board</w:t>
      </w:r>
      <w:r>
        <w:rPr>
          <w:rFonts w:ascii="Arial" w:cs="Arial" w:eastAsia="Arial" w:hAnsi="Arial"/>
          <w:sz w:val="22"/>
          <w:szCs w:val="22"/>
          <w:color w:val="auto"/>
        </w:rPr>
        <w:t>” means the Financial Stability Board established after the G20 London summit in April 2009 as a successor to the Financial Stability Forum.</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Subsidiary</w:t>
      </w:r>
      <w:r>
        <w:rPr>
          <w:rFonts w:ascii="Arial" w:cs="Arial" w:eastAsia="Arial" w:hAnsi="Arial"/>
          <w:sz w:val="22"/>
          <w:szCs w:val="22"/>
          <w:color w:val="auto"/>
        </w:rPr>
        <w:t>” means an SPE Subsidiary or an SBIC Subsidiary.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zero percent (0.00%).</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w:t>
      </w:r>
      <w:r>
        <w:rPr>
          <w:rFonts w:ascii="Arial" w:cs="Arial" w:eastAsia="Arial" w:hAnsi="Arial"/>
          <w:sz w:val="22"/>
          <w:szCs w:val="22"/>
          <w:color w:val="auto"/>
        </w:rPr>
        <w:t>” means at any time any Currency other than Dollars.</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Currency Equivalent</w:t>
      </w:r>
      <w:r>
        <w:rPr>
          <w:rFonts w:ascii="Arial" w:cs="Arial" w:eastAsia="Arial" w:hAnsi="Arial"/>
          <w:sz w:val="22"/>
          <w:szCs w:val="22"/>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any Lender that is not a “United States person” as defined under Section 7701(a)(30)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(a) direct or indirect Subsidiary of the Borrower that is resident or organized under the laws of any jurisdiction other than the United States or its states, territories or possessions and that is treated as a corporation for United States federal income tax purposes, (b) direct or indirect Subsidiary of the Borrower which is a “controlled foreign</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0" w:name="page101"/>
    <w:bookmarkEnd w:id="100"/>
    <w:p>
      <w:pPr>
        <w:jc w:val="both"/>
        <w:spacing w:after="0"/>
        <w:rPr>
          <w:sz w:val="20"/>
          <w:szCs w:val="20"/>
          <w:color w:val="auto"/>
        </w:rPr>
      </w:pPr>
      <w:r>
        <w:rPr>
          <w:rFonts w:ascii="Arial" w:cs="Arial" w:eastAsia="Arial" w:hAnsi="Arial"/>
          <w:sz w:val="22"/>
          <w:szCs w:val="22"/>
          <w:color w:val="auto"/>
        </w:rPr>
        <w:t>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8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the Issuing Bank, such Defaulting Lender’s (a) Applicable Dollar Percentage of the outstanding Dollar LC Exposure and (b) Applicable Multicurrency Percentage of the outstanding Multicurrency LC Exposure, in each case with respect to Letters of Credit issued by the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of or by any Person (the “</w:t>
      </w:r>
      <w:r>
        <w:rPr>
          <w:rFonts w:ascii="Arial" w:cs="Arial" w:eastAsia="Arial" w:hAnsi="Arial"/>
          <w:sz w:val="19"/>
          <w:szCs w:val="19"/>
          <w:u w:val="single" w:color="auto"/>
          <w:color w:val="auto"/>
        </w:rPr>
        <w:t>guarantor</w:t>
      </w:r>
      <w:r>
        <w:rPr>
          <w:rFonts w:ascii="Arial" w:cs="Arial" w:eastAsia="Arial" w:hAnsi="Arial"/>
          <w:sz w:val="19"/>
          <w:szCs w:val="19"/>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56"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and Security Agreement</w:t>
      </w:r>
      <w:r>
        <w:rPr>
          <w:rFonts w:ascii="Arial" w:cs="Arial" w:eastAsia="Arial" w:hAnsi="Arial"/>
          <w:sz w:val="21"/>
          <w:szCs w:val="21"/>
          <w:color w:val="auto"/>
        </w:rPr>
        <w:t>” means that certain Second Amended and Restated Guarantee and Security Agreement dated as of the date hereof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modified, restated and supplemented and in effect from time to time.</w:t>
      </w:r>
    </w:p>
    <w:p>
      <w:pPr>
        <w:spacing w:after="0" w:line="18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1" w:name="page102"/>
    <w:bookmarkEnd w:id="101"/>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 Assumption Agreement</w:t>
      </w:r>
      <w:r>
        <w:rPr>
          <w:rFonts w:ascii="Arial" w:cs="Arial" w:eastAsia="Arial" w:hAnsi="Arial"/>
          <w:sz w:val="21"/>
          <w:szCs w:val="21"/>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21"/>
          <w:szCs w:val="21"/>
          <w:u w:val="single" w:color="auto"/>
          <w:color w:val="auto"/>
        </w:rPr>
        <w:t>Section 5.08</w:t>
      </w:r>
      <w:r>
        <w:rPr>
          <w:rFonts w:ascii="Arial" w:cs="Arial" w:eastAsia="Arial" w:hAnsi="Arial"/>
          <w:sz w:val="21"/>
          <w:szCs w:val="21"/>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21"/>
          <w:szCs w:val="21"/>
          <w:u w:val="single" w:color="auto"/>
          <w:color w:val="auto"/>
        </w:rPr>
        <w:t>Section 5.08</w:t>
      </w:r>
      <w:r>
        <w:rPr>
          <w:rFonts w:ascii="Arial" w:cs="Arial" w:eastAsia="Arial" w:hAnsi="Arial"/>
          <w:sz w:val="21"/>
          <w:szCs w:val="21"/>
          <w:color w:val="auto"/>
        </w:rPr>
        <w:t>).</w:t>
      </w:r>
    </w:p>
    <w:p>
      <w:pPr>
        <w:spacing w:after="0" w:line="17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Agreement</w:t>
      </w:r>
      <w:r>
        <w:rPr>
          <w:rFonts w:ascii="Arial" w:cs="Arial" w:eastAsia="Arial" w:hAnsi="Arial"/>
          <w:sz w:val="22"/>
          <w:szCs w:val="22"/>
          <w:color w:val="auto"/>
        </w:rPr>
        <w:t>” means any interest rate protection agreement, foreign currency exchange protection agreement, commodity price protection agreement or other interest or currency exchange rate or commodity price hedging arrangement.</w:t>
      </w:r>
    </w:p>
    <w:p>
      <w:pPr>
        <w:spacing w:after="0" w:line="186"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Subsidiaries</w:t>
      </w:r>
      <w:r>
        <w:rPr>
          <w:rFonts w:ascii="Arial" w:cs="Arial" w:eastAsia="Arial" w:hAnsi="Arial"/>
          <w:sz w:val="21"/>
          <w:szCs w:val="21"/>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21"/>
          <w:szCs w:val="21"/>
          <w:u w:val="single" w:color="auto"/>
          <w:color w:val="auto"/>
        </w:rPr>
        <w:t>Section 5.01</w:t>
      </w:r>
      <w:r>
        <w:rPr>
          <w:rFonts w:ascii="Arial" w:cs="Arial" w:eastAsia="Arial" w:hAnsi="Arial"/>
          <w:sz w:val="21"/>
          <w:szCs w:val="21"/>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2.08(e)</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 but shall include any SBIC Equity Commitment.</w:t>
      </w:r>
    </w:p>
    <w:p>
      <w:pPr>
        <w:spacing w:after="0" w:line="200" w:lineRule="exact"/>
        <w:rPr>
          <w:sz w:val="20"/>
          <w:szCs w:val="20"/>
          <w:color w:val="auto"/>
        </w:rPr>
      </w:pPr>
    </w:p>
    <w:p>
      <w:pPr>
        <w:spacing w:after="0" w:line="22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xml:space="preserve">” means (a) Taxes, other than Excluded Taxes, imposed on or with respect to any payment made by or on account of any obligation of the Borrower or any Obligor under any Loan Document and (b) to the extent not otherwise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Other Taxes.</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w:t>
      </w:r>
      <w:r>
        <w:rPr>
          <w:rFonts w:ascii="Arial" w:cs="Arial" w:eastAsia="Arial" w:hAnsi="Arial"/>
          <w:sz w:val="22"/>
          <w:szCs w:val="22"/>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87"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Industry Classification Group</w:t>
      </w:r>
      <w:r>
        <w:rPr>
          <w:rFonts w:ascii="Arial" w:cs="Arial" w:eastAsia="Arial" w:hAnsi="Arial"/>
          <w:sz w:val="19"/>
          <w:szCs w:val="19"/>
          <w:color w:val="auto"/>
        </w:rPr>
        <w:t xml:space="preserve">” means (a) any of the classification groups set forth in </w:t>
      </w:r>
      <w:r>
        <w:rPr>
          <w:rFonts w:ascii="Arial" w:cs="Arial" w:eastAsia="Arial" w:hAnsi="Arial"/>
          <w:sz w:val="19"/>
          <w:szCs w:val="19"/>
          <w:u w:val="single" w:color="auto"/>
          <w:color w:val="auto"/>
        </w:rPr>
        <w:t>Schedule 1.01(c)</w:t>
      </w:r>
      <w:r>
        <w:rPr>
          <w:rFonts w:ascii="Arial" w:cs="Arial" w:eastAsia="Arial" w:hAnsi="Arial"/>
          <w:sz w:val="19"/>
          <w:szCs w:val="19"/>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w:t>
      </w:r>
    </w:p>
    <w:p>
      <w:pPr>
        <w:spacing w:after="0" w:line="13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xml:space="preserve">” means a request by the Borrower to convert or continue a Syndicated Borrowing in accordance with </w:t>
      </w:r>
      <w:r>
        <w:rPr>
          <w:rFonts w:ascii="Arial" w:cs="Arial" w:eastAsia="Arial" w:hAnsi="Arial"/>
          <w:sz w:val="22"/>
          <w:szCs w:val="22"/>
          <w:u w:val="single" w:color="auto"/>
          <w:color w:val="auto"/>
        </w:rPr>
        <w:t>Section 2.07</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Syndicated ABR Loan or RFR Loan, each Quarterly Date, (b) with respect to any Term Benchmark Loan or RFR Loan, the last day of each Interest Period therefor and, in the case of any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187"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for any Term Benchmark Loan or Borrowing or any RFR Loan or Borrowing, the period commencing on the date of such Loan or Borrowing and ending on the numerically corresponding day in the calendar month that is one month, three months or, except with respect to Term Benchmark Loans and Borrowings denominated in Canadian Dollars and RFR Loans and Borrowings, six months thereafter or, with respect to such portion of any Term Benchmark Loan or Borrowing or any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Term Benchmark Borrowing or RFR Borrowing denominated in a Foreign Currency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Arial" w:cs="Arial" w:eastAsia="Arial" w:hAnsi="Arial"/>
          <w:sz w:val="19"/>
          <w:szCs w:val="19"/>
          <w:u w:val="single" w:color="auto"/>
          <w:color w:val="auto"/>
        </w:rPr>
        <w:t>Section 2.22(d)</w:t>
      </w:r>
      <w:r>
        <w:rPr>
          <w:rFonts w:ascii="Arial" w:cs="Arial" w:eastAsia="Arial" w:hAnsi="Arial"/>
          <w:sz w:val="19"/>
          <w:szCs w:val="19"/>
          <w:color w:val="auto"/>
        </w:rPr>
        <w:t xml:space="preserve"> shall be available for specification in such Borrowing Request or notice of</w:t>
      </w:r>
    </w:p>
    <w:p>
      <w:pPr>
        <w:spacing w:after="0" w:line="200" w:lineRule="exact"/>
        <w:rPr>
          <w:sz w:val="20"/>
          <w:szCs w:val="20"/>
          <w:color w:val="auto"/>
        </w:rPr>
      </w:pPr>
    </w:p>
    <w:p>
      <w:pPr>
        <w:spacing w:after="0" w:line="21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3" w:name="page104"/>
    <w:bookmarkEnd w:id="103"/>
    <w:p>
      <w:pPr>
        <w:jc w:val="both"/>
        <w:spacing w:after="0" w:line="252" w:lineRule="auto"/>
        <w:rPr>
          <w:sz w:val="20"/>
          <w:szCs w:val="20"/>
          <w:color w:val="auto"/>
        </w:rPr>
      </w:pPr>
      <w:r>
        <w:rPr>
          <w:rFonts w:ascii="Arial" w:cs="Arial" w:eastAsia="Arial" w:hAnsi="Arial"/>
          <w:sz w:val="21"/>
          <w:szCs w:val="21"/>
          <w:color w:val="auto"/>
        </w:rPr>
        <w:t xml:space="preserve">conversion or continuation unless or until it is reinstated pursuant to </w:t>
      </w:r>
      <w:r>
        <w:rPr>
          <w:rFonts w:ascii="Arial" w:cs="Arial" w:eastAsia="Arial" w:hAnsi="Arial"/>
          <w:sz w:val="21"/>
          <w:szCs w:val="21"/>
          <w:u w:val="single" w:color="auto"/>
          <w:color w:val="auto"/>
        </w:rPr>
        <w:t>Section 2.22(d)</w:t>
      </w:r>
      <w:r>
        <w:rPr>
          <w:rFonts w:ascii="Arial" w:cs="Arial" w:eastAsia="Arial" w:hAnsi="Arial"/>
          <w:sz w:val="21"/>
          <w:szCs w:val="21"/>
          <w:color w:val="auto"/>
        </w:rPr>
        <w:t>.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74"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w:t>
      </w:r>
      <w:r>
        <w:rPr>
          <w:rFonts w:ascii="Arial" w:cs="Arial" w:eastAsia="Arial" w:hAnsi="Arial"/>
          <w:sz w:val="21"/>
          <w:szCs w:val="21"/>
          <w:color w:val="auto"/>
        </w:rPr>
        <w:t>” means, for any Person: (a) Equity Interests, bonds, notes, debentures or other securities of any other Person or any agreement to acquire any Equity Interests,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 Company Act</w:t>
      </w:r>
      <w:r>
        <w:rPr>
          <w:rFonts w:ascii="Arial" w:cs="Arial" w:eastAsia="Arial" w:hAnsi="Arial"/>
          <w:sz w:val="21"/>
          <w:szCs w:val="21"/>
          <w:color w:val="auto"/>
        </w:rPr>
        <w:t>” means the Investment Company Act of 1940, as amended from time to time.</w:t>
      </w:r>
    </w:p>
    <w:p>
      <w:pPr>
        <w:spacing w:after="0" w:line="21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Policies</w:t>
      </w:r>
      <w:r>
        <w:rPr>
          <w:rFonts w:ascii="Arial" w:cs="Arial" w:eastAsia="Arial" w:hAnsi="Arial"/>
          <w:sz w:val="22"/>
          <w:szCs w:val="22"/>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06"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xml:space="preserve">” means Truist, in its capacity as the issuer of Letters of Credit hereunder, and its successors in such capacity as provided in </w:t>
      </w:r>
      <w:r>
        <w:rPr>
          <w:rFonts w:ascii="Arial" w:cs="Arial" w:eastAsia="Arial" w:hAnsi="Arial"/>
          <w:sz w:val="21"/>
          <w:szCs w:val="21"/>
          <w:u w:val="single" w:color="auto"/>
          <w:color w:val="auto"/>
        </w:rPr>
        <w:t>Section 2.05(j)</w:t>
      </w:r>
      <w:r>
        <w:rPr>
          <w:rFonts w:ascii="Arial" w:cs="Arial" w:eastAsia="Arial" w:hAnsi="Arial"/>
          <w:sz w:val="21"/>
          <w:szCs w:val="21"/>
          <w:color w:val="auto"/>
        </w:rPr>
        <w:t>. In the case of any Letter of Credit to be issued in an Agreed Foreign Currency, Truist may designate any of its affiliates as the “Issuing Bank” for purposes of such Letter of Credit.</w:t>
      </w:r>
    </w:p>
    <w:p>
      <w:pPr>
        <w:spacing w:after="0" w:line="169"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Disbursement</w:t>
      </w:r>
      <w:r>
        <w:rPr>
          <w:rFonts w:ascii="Arial" w:cs="Arial" w:eastAsia="Arial" w:hAnsi="Arial"/>
          <w:sz w:val="22"/>
          <w:szCs w:val="22"/>
          <w:color w:val="auto"/>
        </w:rPr>
        <w:t>” means a payment made by the Issuing Bank pursuant to a Letter of Credit.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the Dollar LC Exposure and the Multicurrency LC Exposure.</w:t>
      </w:r>
    </w:p>
    <w:p>
      <w:pPr>
        <w:spacing w:after="0" w:line="241"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collectively, the Dollar Lenders and the Multicurrency Lenders. Unless the context otherwise requires, the term “Lenders” includes the Swingline Lender.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pursuant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Collateral Account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2.05(k)</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Documents</w:t>
      </w:r>
      <w:r>
        <w:rPr>
          <w:rFonts w:ascii="Arial" w:cs="Arial" w:eastAsia="Arial" w:hAnsi="Arial"/>
          <w:sz w:val="22"/>
          <w:szCs w:val="22"/>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4" w:name="page105"/>
    <w:bookmarkEnd w:id="104"/>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for the avoidance of doubt, in the case of Portfolio Investments that are loans or other debt obligations, customary restrictions on assignments or transfers thereof pursuant to the underlying documentation for such Portfolio Investment shall not be deemed to be a “Lien” and in the case of Investments that are securities, excluding customary drag-along, tag-along, right of first refusal, restrictions on assignments or transfers (so long as such restrictions do not preclude the granting to the Collateral Agent of a Lien on such securities) and other similar rights in favor of the equity holders of the same issuer).</w:t>
      </w:r>
    </w:p>
    <w:p>
      <w:pPr>
        <w:spacing w:after="0" w:line="16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collectively, this Agreement, the Fee Letter, the Letter of Credit Documents and the Security Documents.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within the meaning of Regulations T, U and X.</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Market Value Investments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5.12(b)(ii)(B)(z)</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3.04(b)</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87"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Indebtedness</w:t>
      </w:r>
      <w:r>
        <w:rPr>
          <w:rFonts w:ascii="Arial" w:cs="Arial" w:eastAsia="Arial" w:hAnsi="Arial"/>
          <w:sz w:val="22"/>
          <w:szCs w:val="22"/>
          <w:color w:val="auto"/>
        </w:rPr>
        <w:t>” means (a) Indebtedness (other than the Loans, Letters of Credit and Hedging Agreements), of any one or more of the Borrower and its Subsidiaries in an aggregate principal amount exceeding $15,000,000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$15,000,000.</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Minimum Collateral Amount</w:t>
      </w:r>
      <w:r>
        <w:rPr>
          <w:rFonts w:ascii="Arial" w:cs="Arial" w:eastAsia="Arial" w:hAnsi="Arial"/>
          <w:sz w:val="22"/>
          <w:szCs w:val="22"/>
          <w:color w:val="auto"/>
        </w:rPr>
        <w:t>” means, at any time, with respect to Cash Collateral consisting of Cash or deposit account balances, an amount equal to 100% of the Fronting Exposure of the Issuing Bank with respect to Letters of Credit issued and outstanding at such time.</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5" w:name="page106"/>
    <w:bookmarkEnd w:id="105"/>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successor thereto.</w:t>
      </w:r>
    </w:p>
    <w:p>
      <w:pPr>
        <w:spacing w:after="0" w:line="206"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Multicurrency Commitment</w:t>
      </w:r>
      <w:r>
        <w:rPr>
          <w:rFonts w:ascii="Arial" w:cs="Arial" w:eastAsia="Arial" w:hAnsi="Arial"/>
          <w:sz w:val="19"/>
          <w:szCs w:val="19"/>
          <w:color w:val="auto"/>
        </w:rPr>
        <w:t xml:space="preserve">” means, with respect to each Multicurrency Lender ,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or increased from time to time pursuant to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and (b) reduced or increased from time to time pursuant to assignments by or to such Lender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The initial amount of each Lender’s Multicurrency Commitment is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 or in the Assignment and Assumption pursuant to which such Lender shall have assumed its Multicurrency commitment, as applicable. The aggregate amount of the Lenders’ Multicurrency Commitments as of the Fifth Amendment Effective Date is $415,000,000.</w:t>
      </w:r>
    </w:p>
    <w:p>
      <w:pPr>
        <w:spacing w:after="0" w:line="158"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LC Exposure</w:t>
      </w:r>
      <w:r>
        <w:rPr>
          <w:rFonts w:ascii="Arial" w:cs="Arial" w:eastAsia="Arial" w:hAnsi="Arial"/>
          <w:sz w:val="22"/>
          <w:szCs w:val="22"/>
          <w:color w:val="auto"/>
        </w:rPr>
        <w:t xml:space="preserve">” means, at any time, the sum of (a) the aggregate undrawn amount of all outstanding Multicurrency Letters of Credit at such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87"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Multicurrency Lender</w:t>
      </w:r>
      <w:r>
        <w:rPr>
          <w:rFonts w:ascii="Arial" w:cs="Arial" w:eastAsia="Arial" w:hAnsi="Arial"/>
          <w:sz w:val="21"/>
          <w:szCs w:val="21"/>
          <w:color w:val="auto"/>
        </w:rPr>
        <w:t xml:space="preserve">” means the Persons listed on </w:t>
      </w:r>
      <w:r>
        <w:rPr>
          <w:rFonts w:ascii="Arial" w:cs="Arial" w:eastAsia="Arial" w:hAnsi="Arial"/>
          <w:sz w:val="21"/>
          <w:szCs w:val="21"/>
          <w:u w:val="single" w:color="auto"/>
          <w:color w:val="auto"/>
        </w:rPr>
        <w:t>Schedule 1.01(b)</w:t>
      </w:r>
      <w:r>
        <w:rPr>
          <w:rFonts w:ascii="Arial" w:cs="Arial" w:eastAsia="Arial" w:hAnsi="Arial"/>
          <w:sz w:val="21"/>
          <w:szCs w:val="21"/>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74" w:lineRule="exact"/>
        <w:rPr>
          <w:sz w:val="20"/>
          <w:szCs w:val="20"/>
          <w:color w:val="auto"/>
        </w:rPr>
      </w:pPr>
    </w:p>
    <w:p>
      <w:pPr>
        <w:ind w:left="1500" w:right="820"/>
        <w:spacing w:after="0" w:line="4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Multicurrency Letters of Credit</w:t>
      </w:r>
      <w:r>
        <w:rPr>
          <w:rFonts w:ascii="Arial" w:cs="Arial" w:eastAsia="Arial" w:hAnsi="Arial"/>
          <w:sz w:val="22"/>
          <w:szCs w:val="22"/>
          <w:color w:val="auto"/>
        </w:rPr>
        <w:t>” means Letters of Credit that utilize the Multicurrency Commitments. “</w:t>
      </w:r>
      <w:r>
        <w:rPr>
          <w:rFonts w:ascii="Arial" w:cs="Arial" w:eastAsia="Arial" w:hAnsi="Arial"/>
          <w:sz w:val="22"/>
          <w:szCs w:val="22"/>
          <w:u w:val="single" w:color="auto"/>
          <w:color w:val="auto"/>
        </w:rPr>
        <w:t>Multicurrency Loan</w:t>
      </w:r>
      <w:r>
        <w:rPr>
          <w:rFonts w:ascii="Arial" w:cs="Arial" w:eastAsia="Arial" w:hAnsi="Arial"/>
          <w:sz w:val="22"/>
          <w:szCs w:val="22"/>
          <w:color w:val="auto"/>
        </w:rPr>
        <w:t>” means a Loan denominated in Dollars or an Agreed Foreign Currency. “</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w:t>
      </w:r>
      <w:r>
        <w:rPr>
          <w:rFonts w:ascii="Arial" w:cs="Arial" w:eastAsia="Arial" w:hAnsi="Arial"/>
          <w:sz w:val="22"/>
          <w:szCs w:val="22"/>
          <w:u w:val="single" w:color="auto"/>
          <w:color w:val="auto"/>
        </w:rPr>
        <w:t>National Currency</w:t>
      </w:r>
      <w:r>
        <w:rPr>
          <w:rFonts w:ascii="Arial" w:cs="Arial" w:eastAsia="Arial" w:hAnsi="Arial"/>
          <w:sz w:val="22"/>
          <w:szCs w:val="22"/>
          <w:color w:val="auto"/>
        </w:rPr>
        <w:t>” means the currency, other than the Euro, of a Participating Member State. “</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w:t>
      </w:r>
    </w:p>
    <w:p>
      <w:pPr>
        <w:spacing w:after="0" w:line="2" w:lineRule="exact"/>
        <w:rPr>
          <w:sz w:val="20"/>
          <w:szCs w:val="20"/>
          <w:color w:val="auto"/>
        </w:rPr>
      </w:pPr>
    </w:p>
    <w:p>
      <w:pPr>
        <w:jc w:val="both"/>
        <w:ind w:firstLine="1505"/>
        <w:spacing w:after="0" w:line="249" w:lineRule="auto"/>
        <w:tabs>
          <w:tab w:leader="none" w:pos="1929"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21"/>
          <w:szCs w:val="21"/>
          <w:u w:val="single" w:color="auto"/>
          <w:color w:val="auto"/>
        </w:rPr>
        <w:t>Section 2.10(e)</w:t>
      </w:r>
      <w:r>
        <w:rPr>
          <w:rFonts w:ascii="Arial" w:cs="Arial" w:eastAsia="Arial" w:hAnsi="Arial"/>
          <w:sz w:val="21"/>
          <w:szCs w:val="21"/>
          <w:color w:val="auto"/>
        </w:rPr>
        <w:t>), an amount equal to (a) the sum of cash and Cash Equivalents received in connection with such transaction (including any cash or Cash Equivalents received by way of deferred payment pursuant to, or by monetization of, a note</w:t>
      </w:r>
    </w:p>
    <w:p>
      <w:pPr>
        <w:spacing w:after="0" w:line="18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6" w:name="page107"/>
    <w:bookmarkEnd w:id="106"/>
    <w:p>
      <w:pPr>
        <w:jc w:val="both"/>
        <w:spacing w:after="0" w:line="269" w:lineRule="auto"/>
        <w:rPr>
          <w:sz w:val="20"/>
          <w:szCs w:val="20"/>
          <w:color w:val="auto"/>
        </w:rPr>
      </w:pPr>
      <w:r>
        <w:rPr>
          <w:rFonts w:ascii="Arial" w:cs="Arial" w:eastAsia="Arial" w:hAnsi="Arial"/>
          <w:sz w:val="19"/>
          <w:szCs w:val="19"/>
          <w:color w:val="auto"/>
        </w:rPr>
        <w:t xml:space="preserve">receivable or otherwise, but only as and when so received)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of any estimated taxes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exceeds the amount of taxes actually required to be paid in cash in respect of such Disposition, the aggregate amount of such excess shall constitute Net Cash Proceeds (as of the date the Borrower determines such excess exists),</w:t>
      </w:r>
    </w:p>
    <w:p>
      <w:pPr>
        <w:spacing w:after="0" w:line="5" w:lineRule="exact"/>
        <w:rPr>
          <w:sz w:val="20"/>
          <w:szCs w:val="20"/>
          <w:color w:val="auto"/>
        </w:rPr>
      </w:pPr>
    </w:p>
    <w:p>
      <w:pPr>
        <w:jc w:val="both"/>
        <w:ind w:firstLine="8"/>
        <w:spacing w:after="0" w:line="275" w:lineRule="auto"/>
        <w:tabs>
          <w:tab w:leader="none" w:pos="397"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any reasonable costs, fees, commissions, premiums and expenses incurred by the Borrower or any of its Subsidiaries in connection with such Disposition, and (v) reserves for indemnification, purchase price adjustments or analogous arrangements reasonably estimated by the Borrower or the relevant Subsidiary in connection with such Disposition; provided that, if the amount of any estimated reserves pursuant to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exceeds the amount actually required to be paid in cash in respect of indemnification, purchase price adjustments or analogous arrangements for such Disposition, the aggregate amount of such excess shall constitute Net Cash Proceeds (as of the date the Borrower determines such excess exists); and</w:t>
      </w:r>
    </w:p>
    <w:p>
      <w:pPr>
        <w:spacing w:after="0" w:line="153" w:lineRule="exact"/>
        <w:rPr>
          <w:rFonts w:ascii="Arial" w:cs="Arial" w:eastAsia="Arial" w:hAnsi="Arial"/>
          <w:sz w:val="19"/>
          <w:szCs w:val="19"/>
          <w:color w:val="auto"/>
        </w:rPr>
      </w:pPr>
    </w:p>
    <w:p>
      <w:pPr>
        <w:jc w:val="both"/>
        <w:ind w:firstLine="1505"/>
        <w:spacing w:after="0" w:line="273" w:lineRule="auto"/>
        <w:tabs>
          <w:tab w:leader="none" w:pos="1929"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2.10(e)</w:t>
      </w:r>
      <w:r>
        <w:rPr>
          <w:rFonts w:ascii="Arial" w:cs="Arial" w:eastAsia="Arial" w:hAnsi="Arial"/>
          <w:sz w:val="19"/>
          <w:szCs w:val="19"/>
          <w:color w:val="auto"/>
        </w:rPr>
        <w:t xml:space="preserve">), an amount equal to (i) the sum of the cash and Cash Equivalents received in connection with such transaction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sum of (1) reasonable out-of-pocket fees, costs and expenses, incurred by the Borrower or such Subsidiary in connection therewith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(2) any reasonable costs, fees, commissions, premiums, expenses, or underwriting discounts or commissions incurred by the Borrower or any of its Subsidiaries in connection with such sale or issuance.</w:t>
      </w:r>
    </w:p>
    <w:p>
      <w:pPr>
        <w:spacing w:after="0" w:line="161"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Non-Defaulting Lender</w:t>
      </w:r>
      <w:r>
        <w:rPr>
          <w:rFonts w:ascii="Arial" w:cs="Arial" w:eastAsia="Arial" w:hAnsi="Arial"/>
          <w:sz w:val="22"/>
          <w:szCs w:val="22"/>
          <w:color w:val="auto"/>
        </w:rPr>
        <w:t>” means, at any time, a Lender that is not a Defaulting Lender at such time.</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Availability Period</w:t>
      </w:r>
      <w:r>
        <w:rPr>
          <w:rFonts w:ascii="Arial" w:cs="Arial" w:eastAsia="Arial" w:hAnsi="Arial"/>
          <w:sz w:val="22"/>
          <w:szCs w:val="22"/>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8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Non-Extended Commitment Termination Date</w:t>
      </w:r>
      <w:r>
        <w:rPr>
          <w:rFonts w:ascii="Arial" w:cs="Arial" w:eastAsia="Arial" w:hAnsi="Arial"/>
          <w:sz w:val="19"/>
          <w:szCs w:val="19"/>
          <w:color w:val="auto"/>
        </w:rPr>
        <w:t xml:space="preserve">” means, with respect to each Non-Extending Lender, the “Non-Extended Commitment Termination Date” set forth next to such Non-Extending Lender’s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10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Final Maturity Date</w:t>
      </w:r>
      <w:r>
        <w:rPr>
          <w:rFonts w:ascii="Arial" w:cs="Arial" w:eastAsia="Arial" w:hAnsi="Arial"/>
          <w:sz w:val="22"/>
          <w:szCs w:val="22"/>
          <w:color w:val="auto"/>
        </w:rPr>
        <w:t xml:space="preserve">” means, with respect to each Non-Extending Lender, the “Non-Extended Final Maturity Date” set forth next to such Non-Extending Lender’s name on </w:t>
      </w:r>
      <w:r>
        <w:rPr>
          <w:rFonts w:ascii="Arial" w:cs="Arial" w:eastAsia="Arial" w:hAnsi="Arial"/>
          <w:sz w:val="22"/>
          <w:szCs w:val="22"/>
          <w:u w:val="single" w:color="auto"/>
          <w:color w:val="auto"/>
        </w:rPr>
        <w:t>Schedule 1.01(b)</w:t>
      </w:r>
      <w:r>
        <w:rPr>
          <w:rFonts w:ascii="Arial" w:cs="Arial" w:eastAsia="Arial" w:hAnsi="Arial"/>
          <w:sz w:val="22"/>
          <w:szCs w:val="22"/>
          <w:color w:val="auto"/>
        </w:rPr>
        <w:t>.</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29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7" w:name="page108"/>
    <w:bookmarkEnd w:id="107"/>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Non-Extended Loans</w:t>
      </w:r>
      <w:r>
        <w:rPr>
          <w:rFonts w:ascii="Arial" w:cs="Arial" w:eastAsia="Arial" w:hAnsi="Arial"/>
          <w:sz w:val="22"/>
          <w:szCs w:val="22"/>
          <w:color w:val="auto"/>
        </w:rPr>
        <w:t>” means Loans or Borrowings of any Non-Extending Lender maturing on the Non-Extended Final Maturity Date for such Non-Extending Lender.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Non-Extending Lender</w:t>
      </w:r>
      <w:r>
        <w:rPr>
          <w:rFonts w:ascii="Arial" w:cs="Arial" w:eastAsia="Arial" w:hAnsi="Arial"/>
          <w:sz w:val="19"/>
          <w:szCs w:val="19"/>
          <w:color w:val="auto"/>
        </w:rPr>
        <w:t xml:space="preserve">” means each Lender designated as a “Non-Extending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w:t>
      </w:r>
    </w:p>
    <w:p>
      <w:pPr>
        <w:spacing w:after="0" w:line="241"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Non-Extending Lender Applicable Margin</w:t>
      </w:r>
      <w:r>
        <w:rPr>
          <w:rFonts w:ascii="Arial" w:cs="Arial" w:eastAsia="Arial" w:hAnsi="Arial"/>
          <w:sz w:val="21"/>
          <w:szCs w:val="21"/>
          <w:color w:val="auto"/>
        </w:rPr>
        <w:t xml:space="preserve">” means, with respect to each Non-Extending Lender, the “Non-Extending Lender Applicable Margin” set forth next to such Non-Extending Lender’s name on </w:t>
      </w:r>
      <w:r>
        <w:rPr>
          <w:rFonts w:ascii="Arial" w:cs="Arial" w:eastAsia="Arial" w:hAnsi="Arial"/>
          <w:sz w:val="21"/>
          <w:szCs w:val="21"/>
          <w:u w:val="single" w:color="auto"/>
          <w:color w:val="auto"/>
        </w:rPr>
        <w:t>Schedule 1.01(b)</w:t>
      </w:r>
      <w:r>
        <w:rPr>
          <w:rFonts w:ascii="Arial" w:cs="Arial" w:eastAsia="Arial" w:hAnsi="Arial"/>
          <w:sz w:val="21"/>
          <w:szCs w:val="21"/>
          <w:color w:val="auto"/>
        </w:rPr>
        <w:t>.</w:t>
      </w:r>
    </w:p>
    <w:p>
      <w:pPr>
        <w:spacing w:after="0" w:line="15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means material non-public information (within the meaning of United States federal, state or other applicable securities laws) with respect to Borrower or its Affiliates or their Securities.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Obligor</w:t>
      </w:r>
      <w:r>
        <w:rPr>
          <w:rFonts w:ascii="Arial" w:cs="Arial" w:eastAsia="Arial" w:hAnsi="Arial"/>
          <w:sz w:val="22"/>
          <w:szCs w:val="22"/>
          <w:color w:val="auto"/>
        </w:rPr>
        <w:t>” means, collectively, the Borrower and the Subsidiary Guarantors.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Original Currency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Covered Indebtedness</w:t>
      </w:r>
      <w:r>
        <w:rPr>
          <w:rFonts w:ascii="Arial" w:cs="Arial" w:eastAsia="Arial" w:hAnsi="Arial"/>
          <w:sz w:val="22"/>
          <w:szCs w:val="22"/>
          <w:color w:val="auto"/>
        </w:rPr>
        <w:t>” means, collectively, Secured Longer-Term Indebtedness, Secured Shorter-Term Indebtedness, Unsecured Shorter-Term Indebtedness, Special Permitted Indebtedness, the 2026 May Notes, the 2026 November Notes and Permitted Amortizing Unsecured Longer-Term Indebtedness.</w:t>
      </w:r>
    </w:p>
    <w:p>
      <w:pPr>
        <w:spacing w:after="0" w:line="186"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Permitted Indebtedness</w:t>
      </w:r>
      <w:r>
        <w:rPr>
          <w:rFonts w:ascii="Arial" w:cs="Arial" w:eastAsia="Arial" w:hAnsi="Arial"/>
          <w:sz w:val="21"/>
          <w:szCs w:val="21"/>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purchasing of securities, loans,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21"/>
          <w:szCs w:val="21"/>
          <w:u w:val="single" w:color="auto"/>
          <w:color w:val="auto"/>
        </w:rPr>
        <w:t>clause (l)</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Article VII</w:t>
      </w:r>
      <w:r>
        <w:rPr>
          <w:rFonts w:ascii="Arial" w:cs="Arial" w:eastAsia="Arial" w:hAnsi="Arial"/>
          <w:sz w:val="21"/>
          <w:szCs w:val="21"/>
          <w:color w:val="auto"/>
        </w:rPr>
        <w:t>.</w:t>
      </w:r>
    </w:p>
    <w:p>
      <w:pPr>
        <w:spacing w:after="0" w:line="181"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means any and all present or future stamp, court or documentary, intangible, recording, filing or similar Taxes, arising from any payment made under any Loan Document or from the execution, delivery, performance, enforcement or registration of, from the receipt or perfection of a security interest under, or otherwise with respect to, any Loan Document, excluding any such Taxes, resulting from an assignment by any Lender in accordance with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hereof (unless such assignment is made pursuant to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8" w:name="page109"/>
    <w:bookmarkEnd w:id="108"/>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w:t>
      </w:r>
      <w:r>
        <w:rPr>
          <w:rFonts w:ascii="Arial" w:cs="Arial" w:eastAsia="Arial" w:hAnsi="Arial"/>
          <w:sz w:val="22"/>
          <w:szCs w:val="22"/>
          <w:color w:val="auto"/>
        </w:rPr>
        <w:t>” means any member state of the European Community that adopts or has adopted the Euro as its lawful currency in accordance with the legislation of the European Union relating to the European Monetary Union.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8.09(a)</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Amortizing Unsecured Longer-Term Indebtedness</w:t>
      </w:r>
      <w:r>
        <w:rPr>
          <w:rFonts w:ascii="Arial" w:cs="Arial" w:eastAsia="Arial" w:hAnsi="Arial"/>
          <w:sz w:val="19"/>
          <w:szCs w:val="19"/>
          <w:color w:val="auto"/>
        </w:rPr>
        <w:t xml:space="preserve">” means Indebtedness of any Obligor (which may be Guaranteed by any other Obligor) incurred after the Effective Date which (a) has a final maturity date not earlier than six months after the Extended Final Maturity Date and pursuant to which an aggregate principal amount of up to, but not exceeding, 30% of the original principal amount of such Indebtedness may amortize prior to the Extended Final Maturity Date and (b) satisfies all of the criteria specified in the definition of “Unsecured Longer-Term Indebtedness” other than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thereof.</w:t>
      </w:r>
    </w:p>
    <w:p>
      <w:pPr>
        <w:spacing w:after="0" w:line="14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Convertible Indebtedness</w:t>
      </w:r>
      <w:r>
        <w:rPr>
          <w:rFonts w:ascii="Arial" w:cs="Arial" w:eastAsia="Arial" w:hAnsi="Arial"/>
          <w:sz w:val="22"/>
          <w:szCs w:val="22"/>
          <w:color w:val="auto"/>
        </w:rPr>
        <w:t>” means Indebtedness incurred by an Obligor that is convertible solely into Permitted Equity Interests of the Borrower.</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Equity Interests</w:t>
      </w:r>
      <w:r>
        <w:rPr>
          <w:rFonts w:ascii="Arial" w:cs="Arial" w:eastAsia="Arial" w:hAnsi="Arial"/>
          <w:sz w:val="22"/>
          <w:szCs w:val="22"/>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86"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 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 (d) 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w:t>
      </w:r>
    </w:p>
    <w:p>
      <w:pPr>
        <w:spacing w:after="0" w:line="200" w:lineRule="exact"/>
        <w:rPr>
          <w:sz w:val="20"/>
          <w:szCs w:val="20"/>
          <w:color w:val="auto"/>
        </w:rPr>
      </w:pPr>
    </w:p>
    <w:p>
      <w:pPr>
        <w:spacing w:after="0" w:line="21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9" w:name="page110"/>
    <w:bookmarkEnd w:id="109"/>
    <w:p>
      <w:pPr>
        <w:jc w:val="both"/>
        <w:spacing w:after="0" w:line="274" w:lineRule="auto"/>
        <w:rPr>
          <w:sz w:val="20"/>
          <w:szCs w:val="20"/>
          <w:color w:val="auto"/>
        </w:rPr>
      </w:pPr>
      <w:r>
        <w:rPr>
          <w:rFonts w:ascii="Arial" w:cs="Arial" w:eastAsia="Arial" w:hAnsi="Arial"/>
          <w:sz w:val="19"/>
          <w:szCs w:val="19"/>
          <w:color w:val="auto"/>
        </w:rPr>
        <w:t xml:space="preserve">such judgments or awards do not constitute an Event of Default under </w:t>
      </w:r>
      <w:r>
        <w:rPr>
          <w:rFonts w:ascii="Arial" w:cs="Arial" w:eastAsia="Arial" w:hAnsi="Arial"/>
          <w:sz w:val="19"/>
          <w:szCs w:val="19"/>
          <w:u w:val="single" w:color="auto"/>
          <w:color w:val="auto"/>
        </w:rPr>
        <w:t>clause (l)</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Article VII</w:t>
      </w:r>
      <w:r>
        <w:rPr>
          <w:rFonts w:ascii="Arial" w:cs="Arial" w:eastAsia="Arial" w:hAnsi="Arial"/>
          <w:sz w:val="19"/>
          <w:szCs w:val="19"/>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or in respect of assets sold or otherwise disposed of to a non-Obligor in a transaction permitted by this Agreement; and (i) deposits of money securing leases to which Borrower is a party as lessee made in the ordinary course of business.</w:t>
      </w:r>
    </w:p>
    <w:p>
      <w:pPr>
        <w:spacing w:after="0" w:line="158"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Policy Amendment</w:t>
      </w:r>
      <w:r>
        <w:rPr>
          <w:rFonts w:ascii="Arial" w:cs="Arial" w:eastAsia="Arial" w:hAnsi="Arial"/>
          <w:sz w:val="19"/>
          <w:szCs w:val="19"/>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 investment size proportionately increases as the size of the Borrower’s capital base changes or (ii) the Borrower and its Subsidiaries, taken as a whole, invest up to 30% of their assets in non-U.S. companies).</w:t>
      </w:r>
    </w:p>
    <w:p>
      <w:pPr>
        <w:spacing w:after="0" w:line="152"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SBIC Guarantee</w:t>
      </w:r>
      <w:r>
        <w:rPr>
          <w:rFonts w:ascii="Arial" w:cs="Arial" w:eastAsia="Arial" w:hAnsi="Arial"/>
          <w:sz w:val="22"/>
          <w:szCs w:val="22"/>
          <w:color w:val="auto"/>
        </w:rPr>
        <w:t>”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clause (s) of Article VII, it shall be an Event of Default hereunder if any such event or condition giving rise to such recourse occurs).</w:t>
      </w:r>
    </w:p>
    <w:p>
      <w:pPr>
        <w:spacing w:after="0" w:line="187"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5.01(i)</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Portfolio Investment</w:t>
      </w:r>
      <w:r>
        <w:rPr>
          <w:rFonts w:ascii="Arial" w:cs="Arial" w:eastAsia="Arial" w:hAnsi="Arial"/>
          <w:sz w:val="22"/>
          <w:szCs w:val="22"/>
          <w:color w:val="auto"/>
        </w:rPr>
        <w:t>” means any Investment held by the Obligors in their asset portfolio (and solely for purposes of determining the Borrowing Base, Cash).</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means the rate which is quoted as the “prime rate” in the print edition of </w:t>
      </w:r>
      <w:r>
        <w:rPr>
          <w:rFonts w:ascii="Arial" w:cs="Arial" w:eastAsia="Arial" w:hAnsi="Arial"/>
          <w:sz w:val="22"/>
          <w:szCs w:val="22"/>
          <w:i w:val="1"/>
          <w:iCs w:val="1"/>
          <w:color w:val="auto"/>
        </w:rPr>
        <w:t>The Wall Street Journal</w:t>
      </w:r>
      <w:r>
        <w:rPr>
          <w:rFonts w:ascii="Arial" w:cs="Arial" w:eastAsia="Arial" w:hAnsi="Arial"/>
          <w:sz w:val="22"/>
          <w:szCs w:val="22"/>
          <w:color w:val="auto"/>
        </w:rPr>
        <w:t>, Money Rates Section.</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Financial Center</w:t>
      </w:r>
      <w:r>
        <w:rPr>
          <w:rFonts w:ascii="Arial" w:cs="Arial" w:eastAsia="Arial" w:hAnsi="Arial"/>
          <w:sz w:val="22"/>
          <w:szCs w:val="22"/>
          <w:color w:val="auto"/>
        </w:rPr>
        <w:t>” means, in the case of any Currency, the principal financial center where such Currency is cleared and settled, as determined by the Administrative Agent.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Prohibited Assignees and Participants Side Letter</w:t>
      </w:r>
      <w:r>
        <w:rPr>
          <w:rFonts w:ascii="Arial" w:cs="Arial" w:eastAsia="Arial" w:hAnsi="Arial"/>
          <w:sz w:val="22"/>
          <w:szCs w:val="22"/>
          <w:color w:val="auto"/>
        </w:rPr>
        <w:t>” means that certain Side Letter, dated as of the date hereof, between the Borrower and the Administrative Agent (as amended, restated, modified or otherwise supplemented from time to time with the consent of the Administrative Agent and each Lender).</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means Lenders that do not wish to receive Non-Public Information with respect to the Borrower or any of its Subsidiaries or their Securities.</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Dates</w:t>
      </w:r>
      <w:r>
        <w:rPr>
          <w:rFonts w:ascii="Arial" w:cs="Arial" w:eastAsia="Arial" w:hAnsi="Arial"/>
          <w:sz w:val="22"/>
          <w:szCs w:val="22"/>
          <w:color w:val="auto"/>
        </w:rPr>
        <w:t>” means the last Business Day of March, June, September and December in each year, commencing on June 30, 2014.</w:t>
      </w:r>
    </w:p>
    <w:p>
      <w:pPr>
        <w:spacing w:after="0" w:line="17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Quoted Investment</w:t>
      </w:r>
      <w:r>
        <w:rPr>
          <w:rFonts w:ascii="Arial" w:cs="Arial" w:eastAsia="Arial" w:hAnsi="Arial"/>
          <w:sz w:val="22"/>
          <w:szCs w:val="22"/>
          <w:color w:val="auto"/>
        </w:rPr>
        <w:t xml:space="preserve">” means a Portfolio Investment with a value that may be assigned by the Borrower pursuant to </w:t>
      </w:r>
      <w:r>
        <w:rPr>
          <w:rFonts w:ascii="Arial" w:cs="Arial" w:eastAsia="Arial" w:hAnsi="Arial"/>
          <w:sz w:val="22"/>
          <w:szCs w:val="22"/>
          <w:u w:val="single" w:color="auto"/>
          <w:color w:val="auto"/>
        </w:rPr>
        <w:t>Section 5.12(b)(ii)(A)</w:t>
      </w:r>
      <w:r>
        <w:rPr>
          <w:rFonts w:ascii="Arial" w:cs="Arial" w:eastAsia="Arial" w:hAnsi="Arial"/>
          <w:sz w:val="22"/>
          <w:szCs w:val="22"/>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9.04</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Registration Statement</w:t>
      </w:r>
      <w:r>
        <w:rPr>
          <w:rFonts w:ascii="Arial" w:cs="Arial" w:eastAsia="Arial" w:hAnsi="Arial"/>
          <w:sz w:val="22"/>
          <w:szCs w:val="22"/>
          <w:color w:val="auto"/>
        </w:rPr>
        <w:t>” means the Registration Statement filed by the Borrower with the Securities and Exchange Commission on April 19, 2007.</w:t>
      </w:r>
    </w:p>
    <w:p>
      <w:pPr>
        <w:spacing w:after="0" w:line="17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Regulations D, T, U and X</w:t>
      </w:r>
      <w:r>
        <w:rPr>
          <w:rFonts w:ascii="Arial" w:cs="Arial" w:eastAsia="Arial" w:hAnsi="Arial"/>
          <w:sz w:val="22"/>
          <w:szCs w:val="22"/>
          <w:color w:val="auto"/>
        </w:rPr>
        <w:t>” means, respectively, Regulations D, T, U and X of the Board, as the same may be modified and supplemented and in effect from time to time.</w:t>
      </w:r>
    </w:p>
    <w:p>
      <w:pPr>
        <w:spacing w:after="0" w:line="175" w:lineRule="exact"/>
        <w:rPr>
          <w:sz w:val="20"/>
          <w:szCs w:val="20"/>
          <w:color w:val="auto"/>
        </w:rPr>
      </w:pPr>
    </w:p>
    <w:p>
      <w:pPr>
        <w:jc w:val="both"/>
        <w:ind w:right="2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Related Parties</w:t>
      </w:r>
      <w:r>
        <w:rPr>
          <w:rFonts w:ascii="Arial" w:cs="Arial" w:eastAsia="Arial" w:hAnsi="Arial"/>
          <w:sz w:val="21"/>
          <w:szCs w:val="21"/>
          <w:color w:val="auto"/>
        </w:rPr>
        <w:t>” means, with respect to any specified Person, such Person’s Affiliates and the respective partners, directors, officers, employees, agents and advisors of such Person and such Person’s Affiliates.</w:t>
      </w:r>
    </w:p>
    <w:p>
      <w:pPr>
        <w:spacing w:after="0" w:line="151"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Governmental Body</w:t>
      </w:r>
      <w:r>
        <w:rPr>
          <w:rFonts w:ascii="Arial" w:cs="Arial" w:eastAsia="Arial" w:hAnsi="Arial"/>
          <w:sz w:val="19"/>
          <w:szCs w:val="19"/>
          <w:color w:val="auto"/>
        </w:rPr>
        <w:t>” means (a) with respect to a Benchmark Replacement in respect of obligations, interest, fees, commissions or other amounts owing hereunder denominated in, or calculated with respect to, Dollars, the Board and/or the Federal Reserve Bank of New York, or a committee officially endorsed or convened by the Board and/or the Federal Reserve Bank of New York or, in each case, any successor thereto, (b) with respect to a Benchmark Replacement in respect of obligations, interest, fees, commissions or other amounts owing hereunder denominated in, or calculated with respect to, Sterling, the Bank of England, or a committee officially endorsed or convened by the Bank of England or, in each case, any successor thereto, (c) with respect to a Benchmark Replacement in respect of obligations, interest, fees, commissions or other amounts owing hereunder denominated in, or calculated with respect to, Euro, the European Central Bank, or a committee officially endorsed or convened by the European Central Bank or, in each case, any successor thereto, and (d) with respect to a Benchmark Replacement in respect of obligations, interest, fees, commissions or other amounts owing hereunder denominated in, or calculated with respect to, any Currency (other than Dollars, Sterling or Euro),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w:t>
      </w:r>
    </w:p>
    <w:p>
      <w:pPr>
        <w:spacing w:after="0" w:line="17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1" w:name="page112"/>
    <w:bookmarkEnd w:id="111"/>
    <w:p>
      <w:pPr>
        <w:jc w:val="both"/>
        <w:spacing w:after="0" w:line="287" w:lineRule="auto"/>
        <w:rPr>
          <w:sz w:val="20"/>
          <w:szCs w:val="20"/>
          <w:color w:val="auto"/>
        </w:rPr>
      </w:pPr>
      <w:r>
        <w:rPr>
          <w:rFonts w:ascii="Arial" w:cs="Arial" w:eastAsia="Arial" w:hAnsi="Arial"/>
          <w:sz w:val="19"/>
          <w:szCs w:val="19"/>
          <w:color w:val="auto"/>
        </w:rPr>
        <w:t>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43"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Lenders</w:t>
      </w:r>
      <w:r>
        <w:rPr>
          <w:rFonts w:ascii="Arial" w:cs="Arial" w:eastAsia="Arial" w:hAnsi="Arial"/>
          <w:sz w:val="19"/>
          <w:szCs w:val="19"/>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at any time, Lenders having Revolving Credit Exposures and unused Commitments of such Class representing more than 50% of the sum of the total Revolving Credit Exposures and unused Commitments of such Class at such time; provided that the Revolving Credit Exposures and unused Commitments of any Defaulting Lenders shall be disregarded in the determination of the Required Lenders of a Class.</w:t>
      </w:r>
    </w:p>
    <w:p>
      <w:pPr>
        <w:spacing w:after="0" w:line="15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means the chief executive officer, president, chief financial officer, treasurer, assistant treasurer or controller of an Obligor. Any document delivered hereunder that is signed by a Responsible Officer of an Obligor shall be conclusively presumed to have been authorized by all necessary corporate, partnership and/or other action on the part of such Obligor and such Responsible Officer shall be conclusively presumed to have acted on behalf of such Obligor.</w:t>
      </w:r>
    </w:p>
    <w:p>
      <w:pPr>
        <w:spacing w:after="0" w:line="143"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Payment</w:t>
      </w:r>
      <w:r>
        <w:rPr>
          <w:rFonts w:ascii="Arial" w:cs="Arial" w:eastAsia="Arial" w:hAnsi="Arial"/>
          <w:sz w:val="21"/>
          <w:szCs w:val="21"/>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 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84"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 of Capital</w:t>
      </w:r>
      <w:r>
        <w:rPr>
          <w:rFonts w:ascii="Arial" w:cs="Arial" w:eastAsia="Arial" w:hAnsi="Arial"/>
          <w:sz w:val="19"/>
          <w:szCs w:val="19"/>
          <w:color w:val="auto"/>
        </w:rPr>
        <w:t xml:space="preserve">” means (a) any cash amount (and net cash proceeds of any noncash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9"/>
          <w:szCs w:val="19"/>
          <w:u w:val="single" w:color="auto"/>
          <w:color w:val="auto"/>
        </w:rPr>
        <w:t>clause (a)</w:t>
      </w:r>
      <w:r>
        <w:rPr>
          <w:rFonts w:ascii="Arial" w:cs="Arial" w:eastAsia="Arial" w:hAnsi="Arial"/>
          <w:sz w:val="19"/>
          <w:szCs w:val="19"/>
          <w:color w:val="auto"/>
        </w:rPr>
        <w:t>, any net cash proceeds (including net cash proceeds of any noncash consideration) received by any Obligor from the sale of any property or assets pledged as collateral in respect of any Portfolio Investment to the extent such net cash proceeds are less than or equal to the outstanding principal balance of such Portfolio Investment, (c) any net cash amount (and net cash proceeds of any noncash amount) received by any Obligor in respect of any Portfolio Investment that is an Equity Interest (x) upon the liquidation or dissolution of the issuer of such</w:t>
      </w:r>
    </w:p>
    <w:p>
      <w:pPr>
        <w:spacing w:after="0" w:line="159"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2" w:name="page113"/>
    <w:bookmarkEnd w:id="112"/>
    <w:p>
      <w:pPr>
        <w:jc w:val="both"/>
        <w:spacing w:after="0" w:line="252" w:lineRule="auto"/>
        <w:rPr>
          <w:sz w:val="20"/>
          <w:szCs w:val="20"/>
          <w:color w:val="auto"/>
        </w:rPr>
      </w:pPr>
      <w:r>
        <w:rPr>
          <w:rFonts w:ascii="Arial" w:cs="Arial" w:eastAsia="Arial" w:hAnsi="Arial"/>
          <w:sz w:val="21"/>
          <w:szCs w:val="21"/>
          <w:color w:val="auto"/>
        </w:rPr>
        <w:t>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(net of any fees, costs and expenses) received by any Obligor in cash (and net cash proceeds of any noncash amount) in respect of any Portfolio Investment.</w:t>
      </w:r>
    </w:p>
    <w:p>
      <w:pPr>
        <w:spacing w:after="0" w:line="174"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with respect to any Lender at any time, the sum of the outstanding principal amount of such Lender’s Revolving Dollar Credit Exposure and Revolving Multicurrency Credit Exposure at such time.</w:t>
      </w:r>
    </w:p>
    <w:p>
      <w:pPr>
        <w:spacing w:after="0" w:line="10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Dollar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Multicurrency Credit Exposure</w:t>
      </w:r>
      <w:r>
        <w:rPr>
          <w:rFonts w:ascii="Arial" w:cs="Arial" w:eastAsia="Arial" w:hAnsi="Arial"/>
          <w:sz w:val="22"/>
          <w:szCs w:val="22"/>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86" w:lineRule="exact"/>
        <w:rPr>
          <w:sz w:val="20"/>
          <w:szCs w:val="20"/>
          <w:color w:val="auto"/>
        </w:rPr>
      </w:pPr>
    </w:p>
    <w:p>
      <w:pPr>
        <w:jc w:val="both"/>
        <w:ind w:right="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Percentage</w:t>
      </w:r>
      <w:r>
        <w:rPr>
          <w:rFonts w:ascii="Arial" w:cs="Arial" w:eastAsia="Arial" w:hAnsi="Arial"/>
          <w:sz w:val="19"/>
          <w:szCs w:val="19"/>
          <w:color w:val="auto"/>
        </w:rPr>
        <w:t>” means, as of any date of determination, the result, expressed as a percentage, of the Revolving Credit Exposure on such date divided by the aggregate outstanding Covered Debt Amount on such date.</w:t>
      </w:r>
    </w:p>
    <w:p>
      <w:pPr>
        <w:spacing w:after="0" w:line="10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w:t>
      </w:r>
      <w:r>
        <w:rPr>
          <w:rFonts w:ascii="Arial" w:cs="Arial" w:eastAsia="Arial" w:hAnsi="Arial"/>
          <w:sz w:val="22"/>
          <w:szCs w:val="22"/>
          <w:color w:val="auto"/>
        </w:rPr>
        <w:t>”, when used in reference to any Loan or Borrowing, refers to whether such Loan is, or the Loans constituting such Borrowing are, bearing interest at a rate determined by reference to Daily Simple RFR for the applicable Currency.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Administrator</w:t>
      </w:r>
      <w:r>
        <w:rPr>
          <w:rFonts w:ascii="Arial" w:cs="Arial" w:eastAsia="Arial" w:hAnsi="Arial"/>
          <w:sz w:val="22"/>
          <w:szCs w:val="22"/>
          <w:color w:val="auto"/>
        </w:rPr>
        <w:t>” means the SONIA Administrator or the SARON Administrator, as applicable.</w:t>
      </w:r>
    </w:p>
    <w:p>
      <w:pPr>
        <w:spacing w:after="0" w:line="206"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Business Day</w:t>
      </w:r>
      <w:r>
        <w:rPr>
          <w:rFonts w:ascii="Arial" w:cs="Arial" w:eastAsia="Arial" w:hAnsi="Arial"/>
          <w:sz w:val="22"/>
          <w:szCs w:val="22"/>
          <w:color w:val="auto"/>
        </w:rPr>
        <w:t>” means, for any Loans, Borrowings, interest, fees, commissions or other amounts denominated in, or calculated with respect to,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91"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Credit Adjustment Spread</w:t>
      </w:r>
      <w:r>
        <w:rPr>
          <w:rFonts w:ascii="Arial" w:cs="Arial" w:eastAsia="Arial" w:hAnsi="Arial"/>
          <w:sz w:val="22"/>
          <w:szCs w:val="22"/>
          <w:color w:val="auto"/>
        </w:rPr>
        <w:t>” means (a) with respect to RFR Loans denominated in Sterling, 0.1193% and (b) with respect to RFR Loans denominated in Swiss Francs, 0.0031%.</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Interest Day</w:t>
      </w:r>
      <w:r>
        <w:rPr>
          <w:rFonts w:ascii="Arial" w:cs="Arial" w:eastAsia="Arial" w:hAnsi="Arial"/>
          <w:sz w:val="22"/>
          <w:szCs w:val="22"/>
          <w:color w:val="auto"/>
        </w:rPr>
        <w:t>” has the meaning specified in the definition of “Daily Simple RFR”.</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3" w:name="page114"/>
    <w:bookmarkEnd w:id="113"/>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Rate</w:t>
      </w:r>
      <w:r>
        <w:rPr>
          <w:rFonts w:ascii="Arial" w:cs="Arial" w:eastAsia="Arial" w:hAnsi="Arial"/>
          <w:sz w:val="22"/>
          <w:szCs w:val="22"/>
          <w:color w:val="auto"/>
        </w:rPr>
        <w:t>” means, for any Loans, Borrowings, interest, fees, commissions or other amounts denominated in, or calculated with respect to (a) Sterling, SONIA, and (b) Swiss Francs, SARON.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RFR Reference Day</w:t>
      </w:r>
      <w:r>
        <w:rPr>
          <w:rFonts w:ascii="Arial" w:cs="Arial" w:eastAsia="Arial" w:hAnsi="Arial"/>
          <w:sz w:val="22"/>
          <w:szCs w:val="22"/>
          <w:color w:val="auto"/>
        </w:rPr>
        <w:t>” has the meaning specified in the definition of “Daily Simple RFR”.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RIC</w:t>
      </w:r>
      <w:r>
        <w:rPr>
          <w:rFonts w:ascii="Arial" w:cs="Arial" w:eastAsia="Arial" w:hAnsi="Arial"/>
          <w:sz w:val="19"/>
          <w:szCs w:val="19"/>
          <w:color w:val="auto"/>
        </w:rPr>
        <w:t>” means a person qualifying for treatment as a “regulated investment company,” as defined in Section 851</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the Code.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S&amp;P Global Ratings or any successor thereto.</w:t>
      </w:r>
    </w:p>
    <w:p>
      <w:pPr>
        <w:spacing w:after="0" w:line="206"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territory or region that is the subject or the target of country-wide or territory-wide Sanctions broadly prohibiting dealings with such country, territory or region (currently, Cuba, Crimea, Iran, North Korea and Syria).</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3.15</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w:t>
      </w:r>
      <w:r>
        <w:rPr>
          <w:rFonts w:ascii="Arial" w:cs="Arial" w:eastAsia="Arial" w:hAnsi="Arial"/>
          <w:sz w:val="22"/>
          <w:szCs w:val="22"/>
          <w:color w:val="auto"/>
        </w:rPr>
        <w:t>” means a rate equal to the Swiss Average Rate Overnight as administered by the SARON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w:t>
      </w:r>
      <w:r>
        <w:rPr>
          <w:rFonts w:ascii="Arial" w:cs="Arial" w:eastAsia="Arial" w:hAnsi="Arial"/>
          <w:sz w:val="22"/>
          <w:szCs w:val="22"/>
          <w:color w:val="auto"/>
        </w:rPr>
        <w:t>” means the SIX Swiss Exchange AG (or any successor administrator of the Swiss Average Rate Overnight).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SARON Administrator’s Website</w:t>
      </w:r>
      <w:r>
        <w:rPr>
          <w:rFonts w:ascii="Arial" w:cs="Arial" w:eastAsia="Arial" w:hAnsi="Arial"/>
          <w:sz w:val="22"/>
          <w:szCs w:val="22"/>
          <w:color w:val="auto"/>
        </w:rPr>
        <w:t>” means SIX Swiss Exchange AG’s website, currently at https://www.six-group.com, or any successor source for the Swiss Average Rate Overnight identified as such by the SARON Administrator from time to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SBA</w:t>
      </w:r>
      <w:r>
        <w:rPr>
          <w:rFonts w:ascii="Arial" w:cs="Arial" w:eastAsia="Arial" w:hAnsi="Arial"/>
          <w:sz w:val="22"/>
          <w:szCs w:val="22"/>
          <w:color w:val="auto"/>
        </w:rPr>
        <w:t>” means the United States Small Business Administration.</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SBIC Equity Commitment</w:t>
      </w:r>
      <w:r>
        <w:rPr>
          <w:rFonts w:ascii="Arial" w:cs="Arial" w:eastAsia="Arial" w:hAnsi="Arial"/>
          <w:sz w:val="22"/>
          <w:szCs w:val="22"/>
          <w:color w:val="auto"/>
        </w:rPr>
        <w:t>” means a commitment by the Borrower to make one or more capital contributions to an SBIC Subsidiary.</w:t>
      </w:r>
    </w:p>
    <w:p>
      <w:pPr>
        <w:spacing w:after="0" w:line="175"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SBIC Subsidiary</w:t>
      </w:r>
      <w:r>
        <w:rPr>
          <w:rFonts w:ascii="Arial" w:cs="Arial" w:eastAsia="Arial" w:hAnsi="Arial"/>
          <w:sz w:val="19"/>
          <w:szCs w:val="19"/>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or analogous commitment), (ii) is recourse to or obligates any Obligor in any way (other than in respect of any SBIC Equity Commitment, Permitted SBIC Guarantee or analogous commitment),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(other than in respect of any SBIC Equity</w:t>
      </w:r>
    </w:p>
    <w:p>
      <w:pPr>
        <w:spacing w:after="0" w:line="200" w:lineRule="exact"/>
        <w:rPr>
          <w:sz w:val="20"/>
          <w:szCs w:val="20"/>
          <w:color w:val="auto"/>
        </w:rPr>
      </w:pPr>
    </w:p>
    <w:p>
      <w:pPr>
        <w:spacing w:after="0" w:line="21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4" w:name="page115"/>
    <w:bookmarkEnd w:id="114"/>
    <w:p>
      <w:pPr>
        <w:jc w:val="both"/>
        <w:spacing w:after="0" w:line="297" w:lineRule="auto"/>
        <w:rPr>
          <w:sz w:val="20"/>
          <w:szCs w:val="20"/>
          <w:color w:val="auto"/>
        </w:rPr>
      </w:pPr>
      <w:r>
        <w:rPr>
          <w:rFonts w:ascii="Arial" w:cs="Arial" w:eastAsia="Arial" w:hAnsi="Arial"/>
          <w:sz w:val="19"/>
          <w:szCs w:val="19"/>
          <w:color w:val="auto"/>
        </w:rPr>
        <w:t>Commitment, Permitted SBIC Guarantee or analogous commitment).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3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Screen Rate</w:t>
      </w:r>
      <w:r>
        <w:rPr>
          <w:rFonts w:ascii="Arial" w:cs="Arial" w:eastAsia="Arial" w:hAnsi="Arial"/>
          <w:sz w:val="22"/>
          <w:szCs w:val="22"/>
          <w:color w:val="auto"/>
        </w:rPr>
        <w:t>” means each of the Term SOFR Screen Rate, the EURIBOR Screen Rate, the CDOR Screen Rate, the BBSY Screen Rate and the STIBOR Screen Rate.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means September 4, 2019.</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Debt Amount</w:t>
      </w:r>
      <w:r>
        <w:rPr>
          <w:rFonts w:ascii="Arial" w:cs="Arial" w:eastAsia="Arial" w:hAnsi="Arial"/>
          <w:sz w:val="22"/>
          <w:szCs w:val="22"/>
          <w:color w:val="auto"/>
        </w:rPr>
        <w:t>” means, on any date, the aggregate amount of all Secured Longer-Term Indebtedness and Secured Shorter-Term Indebtedness on such date (other than the obligations owed under the Loan Documents, including the Revolving Credit Exposure).</w:t>
      </w:r>
    </w:p>
    <w:p>
      <w:pPr>
        <w:spacing w:after="0" w:line="186"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Longer-Term Indebtedness</w:t>
      </w:r>
      <w:r>
        <w:rPr>
          <w:rFonts w:ascii="Arial" w:cs="Arial" w:eastAsia="Arial" w:hAnsi="Arial"/>
          <w:sz w:val="19"/>
          <w:szCs w:val="19"/>
          <w:color w:val="auto"/>
        </w:rPr>
        <w:t xml:space="preserve">” means, as at any date, Indebtedness (other than Indebtedness hereunder) of any Obligor (which may be Guaranteed by any other Obligor) that (a) has no scheduled amortization (other than for amortization in an amount not greater than 1% of the aggregate initial principal amount of such Indebtedness per annum, provided that amortization in excess of 1% per annum shall be permitted so long as the amount of such amortization in excess of 1% is permitted to be incurred pursuant to </w:t>
      </w:r>
      <w:r>
        <w:rPr>
          <w:rFonts w:ascii="Arial" w:cs="Arial" w:eastAsia="Arial" w:hAnsi="Arial"/>
          <w:sz w:val="19"/>
          <w:szCs w:val="19"/>
          <w:u w:val="single" w:color="auto"/>
          <w:color w:val="auto"/>
        </w:rPr>
        <w:t>Section 6.01(g)</w:t>
      </w:r>
      <w:r>
        <w:rPr>
          <w:rFonts w:ascii="Arial" w:cs="Arial" w:eastAsia="Arial" w:hAnsi="Arial"/>
          <w:sz w:val="19"/>
          <w:szCs w:val="19"/>
          <w:color w:val="auto"/>
        </w:rPr>
        <w:t xml:space="preserve">) prior to, and a final maturity date not earlier than, six months after the Extended Final Maturity Date (it being understood that none of: (w) the conversion features under convertible notes; (x) the triggering and/or settlement thereof; or (y) any cash payment made in respect thereof, shall constitute “amortization” for purposes of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is incurred pursuant to documentation containing (i) financial covenants, covenants governing the borrowing base, if any, portfolio valuations and events of default (other than events of default customary in indentures or similar instruments that have no analogous provisions in this Agreement or credit agreements generally) that are no more restrictive upon the Borrower and its Subsidiaries than those set forth in this Agreement and (ii) other terms (other than interest) that are no more restrictive in any material respect upon the Borrower and its Subsidiaries, prior to the Termination Date, than those set forth in this Agreement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an Event of Default under this Agreement shall not be deemed to be more restrictive for purposes of this definition));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Borrower’s written request in connection with the incurrence of any Secured Longer-Term Indebtedness that otherwise would not meet the requirements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 solely to the extent necessary such that the financial covenants, covenants governing the borrowing base, if any, portfolio valuations, events of default (other than events of default customary in indentures or similar instruments that have no analogous provisions in this Agreement or credit agreements generally) or other terms, as applicable, in this Agreement shall be as restrictive as such covenants in the Secured Longer-Term Indebtedness, and (c) is not secured by any assets of any Obligor other than pursuant to this Agreement or the Security Documents and the holders of which (or an authorized agent,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5" w:name="page116"/>
    <w:bookmarkEnd w:id="115"/>
    <w:p>
      <w:pPr>
        <w:jc w:val="both"/>
        <w:spacing w:after="0" w:line="282" w:lineRule="auto"/>
        <w:rPr>
          <w:sz w:val="20"/>
          <w:szCs w:val="20"/>
          <w:color w:val="auto"/>
        </w:rPr>
      </w:pPr>
      <w:r>
        <w:rPr>
          <w:rFonts w:ascii="Arial" w:cs="Arial" w:eastAsia="Arial" w:hAnsi="Arial"/>
          <w:sz w:val="19"/>
          <w:szCs w:val="19"/>
          <w:color w:val="auto"/>
        </w:rPr>
        <w:t>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47"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Shorter-Term Indebtedness</w:t>
      </w:r>
      <w:r>
        <w:rPr>
          <w:rFonts w:ascii="Arial" w:cs="Arial" w:eastAsia="Arial" w:hAnsi="Arial"/>
          <w:sz w:val="19"/>
          <w:szCs w:val="19"/>
          <w:color w:val="auto"/>
        </w:rPr>
        <w:t xml:space="preserve">” means, collectively, (a) any Indebtedness of the Borrower or any Subsidiary (other than a Financing Subsidiary) that is (x) secured by any assets of any Obligor and that does not constitute Secured Longer-Term Indebtedness and (y)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(b) any Indebtedness that is designated as “Secured Shorter-Term Indebtedness” pursuant to </w:t>
      </w:r>
      <w:r>
        <w:rPr>
          <w:rFonts w:ascii="Arial" w:cs="Arial" w:eastAsia="Arial" w:hAnsi="Arial"/>
          <w:sz w:val="19"/>
          <w:szCs w:val="19"/>
          <w:u w:val="single" w:color="auto"/>
          <w:color w:val="auto"/>
        </w:rPr>
        <w:t>Section 6.11(a)</w:t>
      </w:r>
      <w:r>
        <w:rPr>
          <w:rFonts w:ascii="Arial" w:cs="Arial" w:eastAsia="Arial" w:hAnsi="Arial"/>
          <w:sz w:val="19"/>
          <w:szCs w:val="19"/>
          <w:color w:val="auto"/>
        </w:rPr>
        <w:t>.</w:t>
      </w:r>
    </w:p>
    <w:p>
      <w:pPr>
        <w:spacing w:after="0" w:line="161"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77"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Shareholders’ Equity</w:t>
      </w:r>
      <w:r>
        <w:rPr>
          <w:rFonts w:ascii="Arial" w:cs="Arial" w:eastAsia="Arial" w:hAnsi="Arial"/>
          <w:sz w:val="22"/>
          <w:szCs w:val="22"/>
          <w:color w:val="auto"/>
        </w:rPr>
        <w:t>” means, at any date, the amount determined on a consolidated basis, without duplication, in accordance with GAAP, of shareholders equity for the Borrower and its Subsidiaries at such date.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w:t>
      </w:r>
      <w:r>
        <w:rPr>
          <w:rFonts w:ascii="Arial" w:cs="Arial" w:eastAsia="Arial" w:hAnsi="Arial"/>
          <w:sz w:val="19"/>
          <w:szCs w:val="19"/>
          <w:color w:val="auto"/>
        </w:rPr>
        <w:t>” means a rate per annum equal to the secured overnight financing rate as administered by the SOFR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88"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Determination Date</w:t>
      </w:r>
      <w:r>
        <w:rPr>
          <w:rFonts w:ascii="Arial" w:cs="Arial" w:eastAsia="Arial" w:hAnsi="Arial"/>
          <w:sz w:val="19"/>
          <w:szCs w:val="19"/>
          <w:color w:val="auto"/>
        </w:rPr>
        <w:t>” has the meaning assigned to such term in the definition of “Daily Simple SOFR”.</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Rate Day</w:t>
      </w:r>
      <w:r>
        <w:rPr>
          <w:rFonts w:ascii="Arial" w:cs="Arial" w:eastAsia="Arial" w:hAnsi="Arial"/>
          <w:sz w:val="22"/>
          <w:szCs w:val="22"/>
          <w:color w:val="auto"/>
        </w:rPr>
        <w:t>” has the meaning assigned to such term in the definition of “Daily Simple SOFR”.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w:t>
      </w:r>
      <w:r>
        <w:rPr>
          <w:rFonts w:ascii="Arial" w:cs="Arial" w:eastAsia="Arial" w:hAnsi="Arial"/>
          <w:sz w:val="22"/>
          <w:szCs w:val="22"/>
          <w:color w:val="auto"/>
        </w:rPr>
        <w:t>” means a rate equal to the Sterling Overnight Index Average as administered by the SONIA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Administrator.</w:t>
      </w:r>
    </w:p>
    <w:p>
      <w:pPr>
        <w:spacing w:after="0" w:line="19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6" w:name="page117"/>
    <w:bookmarkEnd w:id="116"/>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Index Average).</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 Subsidiary</w:t>
      </w:r>
      <w:r>
        <w:rPr>
          <w:rFonts w:ascii="Arial" w:cs="Arial" w:eastAsia="Arial" w:hAnsi="Arial"/>
          <w:sz w:val="22"/>
          <w:szCs w:val="22"/>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85" w:lineRule="exact"/>
        <w:rPr>
          <w:sz w:val="20"/>
          <w:szCs w:val="20"/>
          <w:color w:val="auto"/>
        </w:rPr>
      </w:pPr>
    </w:p>
    <w:p>
      <w:pPr>
        <w:jc w:val="both"/>
        <w:ind w:firstLine="1505"/>
        <w:spacing w:after="0" w:line="236"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8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67"/>
        </w:numPr>
        <w:rPr>
          <w:rFonts w:ascii="Arial" w:cs="Arial" w:eastAsia="Arial" w:hAnsi="Arial"/>
          <w:sz w:val="22"/>
          <w:szCs w:val="22"/>
          <w:color w:val="auto"/>
        </w:rPr>
      </w:pPr>
      <w:r>
        <w:rPr>
          <w:rFonts w:ascii="Arial" w:cs="Arial" w:eastAsia="Arial" w:hAnsi="Arial"/>
          <w:sz w:val="22"/>
          <w:szCs w:val="22"/>
          <w:color w:val="auto"/>
        </w:rPr>
        <w:t>to which no Obligor has any obligation to maintain or preserve such entity’s financial condition or cause such entity to achieve certain levels of operating results.</w:t>
      </w:r>
    </w:p>
    <w:p>
      <w:pPr>
        <w:spacing w:after="0" w:line="175"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74"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Equity Interest</w:t>
      </w:r>
      <w:r>
        <w:rPr>
          <w:rFonts w:ascii="Arial" w:cs="Arial" w:eastAsia="Arial" w:hAnsi="Arial"/>
          <w:sz w:val="21"/>
          <w:szCs w:val="21"/>
          <w:color w:val="auto"/>
        </w:rPr>
        <w:t xml:space="preserve">” means any Equity Interest that is subject to a Lien in favor of creditors of the issuer of such Equity Interest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such Lien was created to secure Indebtedness owing by such issuer to such creditors, (b) such Indebtedness was (i) in existence at the time the Obligors acquired such Equity Interest, (ii) 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77"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Permitted Indebtedness</w:t>
      </w:r>
      <w:r>
        <w:rPr>
          <w:rFonts w:ascii="Arial" w:cs="Arial" w:eastAsia="Arial" w:hAnsi="Arial"/>
          <w:sz w:val="19"/>
          <w:szCs w:val="19"/>
          <w:color w:val="auto"/>
        </w:rPr>
        <w:t xml:space="preserve">” means Indebtedness of any Obligor (which may be Guaranteed by any other Obligor) incurred after the Effective Date which (a) has a final maturity date not earlier than five years after the incurrence thereof and (b) satisfies all of the criteria specified in the definition of “Unsecured Longer-Term Indebtedness” other than </w:t>
      </w:r>
      <w:r>
        <w:rPr>
          <w:rFonts w:ascii="Arial" w:cs="Arial" w:eastAsia="Arial" w:hAnsi="Arial"/>
          <w:sz w:val="19"/>
          <w:szCs w:val="19"/>
          <w:u w:val="single" w:color="auto"/>
          <w:color w:val="auto"/>
        </w:rPr>
        <w:t>clause</w:t>
      </w:r>
    </w:p>
    <w:p>
      <w:pPr>
        <w:spacing w:after="0" w:line="1" w:lineRule="exact"/>
        <w:rPr>
          <w:sz w:val="20"/>
          <w:szCs w:val="20"/>
          <w:color w:val="auto"/>
        </w:rPr>
      </w:pPr>
    </w:p>
    <w:p>
      <w:pPr>
        <w:ind w:left="300" w:hanging="292"/>
        <w:spacing w:after="0"/>
        <w:tabs>
          <w:tab w:leader="none" w:pos="300" w:val="left"/>
        </w:tabs>
        <w:numPr>
          <w:ilvl w:val="0"/>
          <w:numId w:val="68"/>
        </w:numPr>
        <w:rPr>
          <w:rFonts w:ascii="Arial" w:cs="Arial" w:eastAsia="Arial" w:hAnsi="Arial"/>
          <w:sz w:val="22"/>
          <w:szCs w:val="22"/>
          <w:u w:val="single" w:color="auto"/>
          <w:color w:val="auto"/>
        </w:rPr>
      </w:pPr>
      <w:r>
        <w:rPr>
          <w:rFonts w:ascii="Arial" w:cs="Arial" w:eastAsia="Arial" w:hAnsi="Arial"/>
          <w:sz w:val="22"/>
          <w:szCs w:val="22"/>
          <w:color w:val="auto"/>
        </w:rPr>
        <w:t>thereof.</w:t>
      </w:r>
    </w:p>
    <w:p>
      <w:pPr>
        <w:spacing w:after="0" w:line="19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39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7" w:name="page118"/>
    <w:bookmarkEnd w:id="117"/>
    <w:p>
      <w:pPr>
        <w:jc w:val="both"/>
        <w:ind w:right="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Countries</w:t>
      </w:r>
      <w:r>
        <w:rPr>
          <w:rFonts w:ascii="Arial" w:cs="Arial" w:eastAsia="Arial" w:hAnsi="Arial"/>
          <w:sz w:val="22"/>
          <w:szCs w:val="22"/>
          <w:color w:val="auto"/>
        </w:rPr>
        <w:t>” means the United States and U.S. Territories, Canada, Australia, the United Kingdom, Ireland, Germany, Spain, France, Belgium, the Netherlands, Luxembourg, Switzerland, Denmark, Finland, Norway, Sweden, Austria, Iceland and Lichtenstein.</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Tax Jurisdictions</w:t>
      </w:r>
      <w:r>
        <w:rPr>
          <w:rFonts w:ascii="Arial" w:cs="Arial" w:eastAsia="Arial" w:hAnsi="Arial"/>
          <w:sz w:val="22"/>
          <w:szCs w:val="22"/>
          <w:color w:val="auto"/>
        </w:rPr>
        <w:t>” shall mean Bermuda, the British Virgin Islands, the Cayman Islands, the Channel Islands, the Isle of Man and the Netherlands Antilles.</w:t>
      </w:r>
    </w:p>
    <w:p>
      <w:pPr>
        <w:spacing w:after="0" w:line="175"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18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Statutory Reserve Rate</w:t>
      </w:r>
      <w:r>
        <w:rPr>
          <w:rFonts w:ascii="Arial" w:cs="Arial" w:eastAsia="Arial" w:hAnsi="Arial"/>
          <w:sz w:val="21"/>
          <w:szCs w:val="21"/>
          <w:color w:val="auto"/>
        </w:rPr>
        <w:t xml:space="preserve">” means, for any applicable Interest Period for any Term Benchmark Borrowing, a fraction (expressed as a decimal), the numerator of which is the number one and the denominator of which is the number one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arithmetic mean, taken over each day in such Interest Period, of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Such reserve percentages shall include those imposed pursuant to Regulation D. Term Benchmark Loans denominated in Euros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Sterling</w:t>
      </w:r>
      <w:r>
        <w:rPr>
          <w:rFonts w:ascii="Arial" w:cs="Arial" w:eastAsia="Arial" w:hAnsi="Arial"/>
          <w:sz w:val="22"/>
          <w:szCs w:val="22"/>
          <w:color w:val="auto"/>
        </w:rPr>
        <w:t>” means the lawful currency of the United Kingdom.</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STIBOR</w:t>
      </w:r>
      <w:r>
        <w:rPr>
          <w:rFonts w:ascii="Arial" w:cs="Arial" w:eastAsia="Arial" w:hAnsi="Arial"/>
          <w:sz w:val="19"/>
          <w:szCs w:val="19"/>
          <w:color w:val="auto"/>
        </w:rPr>
        <w:t>” has the meaning assigned to such term in clause (e) of the definition of “Term Benchmark Rate”.</w:t>
      </w:r>
    </w:p>
    <w:p>
      <w:pPr>
        <w:spacing w:after="0" w:line="24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STIBOR Screen Rate</w:t>
      </w:r>
      <w:r>
        <w:rPr>
          <w:rFonts w:ascii="Arial" w:cs="Arial" w:eastAsia="Arial" w:hAnsi="Arial"/>
          <w:sz w:val="22"/>
          <w:szCs w:val="22"/>
          <w:color w:val="auto"/>
        </w:rPr>
        <w:t>” has the meaning assigned to such term in clause (e) of the definition of “Term Benchmark Rate”.</w:t>
      </w:r>
    </w:p>
    <w:p>
      <w:pPr>
        <w:spacing w:after="0" w:line="175"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w:t>
      </w:r>
    </w:p>
    <w:p>
      <w:pPr>
        <w:spacing w:after="0" w:line="16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jc w:val="both"/>
        <w:spacing w:after="0"/>
        <w:rPr>
          <w:sz w:val="20"/>
          <w:szCs w:val="20"/>
          <w:color w:val="auto"/>
        </w:rPr>
      </w:pPr>
      <w:r>
        <w:rPr>
          <w:rFonts w:ascii="Arial" w:cs="Arial" w:eastAsia="Arial" w:hAnsi="Arial"/>
          <w:sz w:val="22"/>
          <w:szCs w:val="22"/>
          <w:color w:val="auto"/>
        </w:rPr>
        <w:t>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8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a Guarantor under the Guarantee and Security Agreement. It is understood and agreed that no Financing Subsidiary or Foreign Subsidiary shall be a Subsidiary Guarantor. As of the Fifth Amendment Effective Date, the Subsidiary Guarantors are PNNT CI (GALLS) Prime Investment Holdings, LLC and PNNT Investment Holdings, LLC.</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Swedish Krona</w:t>
      </w:r>
      <w:r>
        <w:rPr>
          <w:rFonts w:ascii="Arial" w:cs="Arial" w:eastAsia="Arial" w:hAnsi="Arial"/>
          <w:sz w:val="22"/>
          <w:szCs w:val="22"/>
          <w:color w:val="auto"/>
        </w:rPr>
        <w:t>” means the lawful currency of Sweden.</w:t>
      </w:r>
    </w:p>
    <w:p>
      <w:pPr>
        <w:spacing w:after="0" w:line="206"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Exposure</w:t>
      </w:r>
      <w:r>
        <w:rPr>
          <w:rFonts w:ascii="Arial" w:cs="Arial" w:eastAsia="Arial" w:hAnsi="Arial"/>
          <w:sz w:val="21"/>
          <w:szCs w:val="21"/>
          <w:color w:val="auto"/>
        </w:rPr>
        <w:t>” means, at any time, the aggregate principal amount of all Swingline Loans outstanding at such time. The Swingline Exposure of any Lender at any time shall be the sum of (i) its Applicable Dollar Percentage of the total Swingline Exposure at such time incurred under the Dollar Commitments and (ii) its Applicable Multicurrency Percentage of the total Swingline Exposure at such time incurred under the Multicurrency Commitments.</w:t>
      </w:r>
    </w:p>
    <w:p>
      <w:pPr>
        <w:spacing w:after="0" w:line="174"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xml:space="preserve">” means Truist, in its capacity as lender of Swingline Loans hereunder, and its successors in such capacity as provided in </w:t>
      </w:r>
      <w:r>
        <w:rPr>
          <w:rFonts w:ascii="Arial" w:cs="Arial" w:eastAsia="Arial" w:hAnsi="Arial"/>
          <w:sz w:val="22"/>
          <w:szCs w:val="22"/>
          <w:u w:val="single" w:color="auto"/>
          <w:color w:val="auto"/>
        </w:rPr>
        <w:t>Section 2.04(d)</w:t>
      </w:r>
      <w:r>
        <w:rPr>
          <w:rFonts w:ascii="Arial" w:cs="Arial" w:eastAsia="Arial" w:hAnsi="Arial"/>
          <w:sz w:val="22"/>
          <w:szCs w:val="22"/>
          <w:color w:val="auto"/>
        </w:rPr>
        <w: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2.04</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Swiss Franc</w:t>
      </w:r>
      <w:r>
        <w:rPr>
          <w:rFonts w:ascii="Arial" w:cs="Arial" w:eastAsia="Arial" w:hAnsi="Arial"/>
          <w:sz w:val="22"/>
          <w:szCs w:val="22"/>
          <w:color w:val="auto"/>
        </w:rPr>
        <w:t>” means the lawful currency of Switzerland.</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Syndicated</w:t>
      </w:r>
      <w:r>
        <w:rPr>
          <w:rFonts w:ascii="Arial" w:cs="Arial" w:eastAsia="Arial" w:hAnsi="Arial"/>
          <w:sz w:val="22"/>
          <w:szCs w:val="22"/>
          <w:color w:val="auto"/>
        </w:rPr>
        <w:t xml:space="preserve">”, when used in reference to any Loan or Borrowing, refers to whether such Loan is, or the Loans constituting such Borrowing are, made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Day</w:t>
      </w:r>
      <w:r>
        <w:rPr>
          <w:rFonts w:ascii="Arial" w:cs="Arial" w:eastAsia="Arial" w:hAnsi="Arial"/>
          <w:sz w:val="22"/>
          <w:szCs w:val="22"/>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Benchmark</w:t>
      </w:r>
      <w:r>
        <w:rPr>
          <w:rFonts w:ascii="Arial" w:cs="Arial" w:eastAsia="Arial" w:hAnsi="Arial"/>
          <w:sz w:val="19"/>
          <w:szCs w:val="19"/>
          <w:color w:val="auto"/>
        </w:rPr>
        <w:t>”, when used in reference to any Loan or Borrowing, refers to whether such Loan is, or the Loans constituting such Borrowing are, bearing interest at a rate determined by reference to the Adjusted Term Benchmark Rate.</w:t>
      </w:r>
    </w:p>
    <w:p>
      <w:pPr>
        <w:spacing w:after="0" w:line="105" w:lineRule="exact"/>
        <w:rPr>
          <w:sz w:val="20"/>
          <w:szCs w:val="20"/>
          <w:color w:val="auto"/>
        </w:rPr>
      </w:pPr>
    </w:p>
    <w:p>
      <w:pPr>
        <w:jc w:val="both"/>
        <w:ind w:right="2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Benchmark Banking Day</w:t>
      </w:r>
      <w:r>
        <w:rPr>
          <w:rFonts w:ascii="Arial" w:cs="Arial" w:eastAsia="Arial" w:hAnsi="Arial"/>
          <w:sz w:val="21"/>
          <w:szCs w:val="21"/>
          <w:color w:val="auto"/>
        </w:rPr>
        <w:t>” means for any Term Benchmark Loan or Loans or Term Benchmark Borrowings, interest, fees, commissions or other amounts denominated in, or calculated with respect to:</w:t>
      </w:r>
    </w:p>
    <w:p>
      <w:pPr>
        <w:spacing w:after="0" w:line="151" w:lineRule="exact"/>
        <w:rPr>
          <w:sz w:val="20"/>
          <w:szCs w:val="20"/>
          <w:color w:val="auto"/>
        </w:rPr>
      </w:pPr>
    </w:p>
    <w:p>
      <w:pPr>
        <w:ind w:left="760"/>
        <w:spacing w:after="0"/>
        <w:tabs>
          <w:tab w:leader="none" w:pos="11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Dollars, a U.S. Government Securities Business Day;</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9" w:name="page120"/>
    <w:bookmarkEnd w:id="119"/>
    <w:p>
      <w:pPr>
        <w:ind w:left="1180" w:hanging="423"/>
        <w:spacing w:after="0"/>
        <w:tabs>
          <w:tab w:leader="none" w:pos="11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Euros, a TARGET Day;</w:t>
      </w:r>
    </w:p>
    <w:p>
      <w:pPr>
        <w:spacing w:after="0" w:line="206" w:lineRule="exact"/>
        <w:rPr>
          <w:rFonts w:ascii="Arial" w:cs="Arial" w:eastAsia="Arial" w:hAnsi="Arial"/>
          <w:sz w:val="22"/>
          <w:szCs w:val="22"/>
          <w:color w:val="auto"/>
        </w:rPr>
      </w:pPr>
    </w:p>
    <w:p>
      <w:pPr>
        <w:ind w:left="1180" w:hanging="423"/>
        <w:spacing w:after="0"/>
        <w:tabs>
          <w:tab w:leader="none" w:pos="11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Canadian Dollars, any day (other than a Saturday or Sunday) on which banks are open for business in Toronto,</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Canada;</w:t>
      </w:r>
    </w:p>
    <w:p>
      <w:pPr>
        <w:spacing w:after="0" w:line="188" w:lineRule="exact"/>
        <w:rPr>
          <w:sz w:val="20"/>
          <w:szCs w:val="20"/>
          <w:color w:val="auto"/>
        </w:rPr>
      </w:pPr>
    </w:p>
    <w:p>
      <w:pPr>
        <w:ind w:right="20" w:firstLine="757"/>
        <w:spacing w:after="0" w:line="250" w:lineRule="auto"/>
        <w:tabs>
          <w:tab w:leader="none" w:pos="1181" w:val="left"/>
        </w:tabs>
        <w:numPr>
          <w:ilvl w:val="0"/>
          <w:numId w:val="70"/>
        </w:numPr>
        <w:rPr>
          <w:rFonts w:ascii="Arial" w:cs="Arial" w:eastAsia="Arial" w:hAnsi="Arial"/>
          <w:sz w:val="22"/>
          <w:szCs w:val="22"/>
          <w:color w:val="auto"/>
        </w:rPr>
      </w:pPr>
      <w:r>
        <w:rPr>
          <w:rFonts w:ascii="Arial" w:cs="Arial" w:eastAsia="Arial" w:hAnsi="Arial"/>
          <w:sz w:val="22"/>
          <w:szCs w:val="22"/>
          <w:color w:val="auto"/>
        </w:rPr>
        <w:t>Australian Dollars, any day (other than a Saturday or Sunday) on which banks are open for business in Melbourne, Australia; and</w:t>
      </w:r>
    </w:p>
    <w:p>
      <w:pPr>
        <w:spacing w:after="0" w:line="174" w:lineRule="exact"/>
        <w:rPr>
          <w:rFonts w:ascii="Arial" w:cs="Arial" w:eastAsia="Arial" w:hAnsi="Arial"/>
          <w:sz w:val="22"/>
          <w:szCs w:val="22"/>
          <w:color w:val="auto"/>
        </w:rPr>
      </w:pPr>
    </w:p>
    <w:p>
      <w:pPr>
        <w:ind w:left="1180" w:hanging="423"/>
        <w:spacing w:after="0"/>
        <w:tabs>
          <w:tab w:leader="none" w:pos="11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Swedish Krona, any day (other than a Saturday or Sunday) on which banks are open for business in Stockholm,</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Sweden.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Benchmark Rate</w:t>
      </w:r>
      <w:r>
        <w:rPr>
          <w:rFonts w:ascii="Arial" w:cs="Arial" w:eastAsia="Arial" w:hAnsi="Arial"/>
          <w:sz w:val="22"/>
          <w:szCs w:val="22"/>
          <w:color w:val="auto"/>
        </w:rPr>
        <w:t>” means, for any Interest Period:</w:t>
      </w:r>
    </w:p>
    <w:p>
      <w:pPr>
        <w:spacing w:after="0" w:line="206" w:lineRule="exact"/>
        <w:rPr>
          <w:sz w:val="20"/>
          <w:szCs w:val="20"/>
          <w:color w:val="auto"/>
        </w:rPr>
      </w:pPr>
    </w:p>
    <w:p>
      <w:pPr>
        <w:ind w:left="1180" w:hanging="423"/>
        <w:spacing w:after="0"/>
        <w:tabs>
          <w:tab w:leader="none" w:pos="11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in the case of Term Benchmark Borrowings denominated in Dollars, Term SOFR for such Interest Period;</w:t>
      </w:r>
    </w:p>
    <w:p>
      <w:pPr>
        <w:spacing w:after="0" w:line="217" w:lineRule="exact"/>
        <w:rPr>
          <w:rFonts w:ascii="Arial" w:cs="Arial" w:eastAsia="Arial" w:hAnsi="Arial"/>
          <w:sz w:val="21"/>
          <w:szCs w:val="21"/>
          <w:color w:val="auto"/>
        </w:rPr>
      </w:pPr>
    </w:p>
    <w:p>
      <w:pPr>
        <w:jc w:val="both"/>
        <w:ind w:firstLine="757"/>
        <w:spacing w:after="0" w:line="279" w:lineRule="auto"/>
        <w:tabs>
          <w:tab w:leader="none" w:pos="1181"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in its reasonable discretion; in each case, the “</w:t>
      </w:r>
      <w:r>
        <w:rPr>
          <w:rFonts w:ascii="Arial" w:cs="Arial" w:eastAsia="Arial" w:hAnsi="Arial"/>
          <w:sz w:val="19"/>
          <w:szCs w:val="19"/>
          <w:u w:val="single" w:color="auto"/>
          <w:color w:val="auto"/>
        </w:rPr>
        <w:t>EURIBOR Screen Rate</w:t>
      </w:r>
      <w:r>
        <w:rPr>
          <w:rFonts w:ascii="Arial" w:cs="Arial" w:eastAsia="Arial" w:hAnsi="Arial"/>
          <w:sz w:val="19"/>
          <w:szCs w:val="19"/>
          <w:color w:val="auto"/>
        </w:rPr>
        <w:t>”) at approximately 11:00 a.m. (Brussels time) two Term Benchmark Banking Days for Euros prior to the first day of such Interest Period;</w:t>
      </w:r>
    </w:p>
    <w:p>
      <w:pPr>
        <w:spacing w:after="0" w:line="150" w:lineRule="exact"/>
        <w:rPr>
          <w:rFonts w:ascii="Arial" w:cs="Arial" w:eastAsia="Arial" w:hAnsi="Arial"/>
          <w:sz w:val="19"/>
          <w:szCs w:val="19"/>
          <w:color w:val="auto"/>
        </w:rPr>
      </w:pPr>
    </w:p>
    <w:p>
      <w:pPr>
        <w:jc w:val="both"/>
        <w:ind w:firstLine="757"/>
        <w:spacing w:after="0" w:line="275" w:lineRule="auto"/>
        <w:tabs>
          <w:tab w:leader="none" w:pos="1181"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the case of Term Benchmark Borrowings denominated in Canadian Dollars, the rate per annum equal to the average of the annual yield rates applicable to Canadian Dollar bankers’ acceptances at or about 10:00 a.m. (Toronto, Ontario time) on the first day of such Interest Period (or if such day is not a Term Benchmark Banking Day, then on the immediately preceding Term Benchmark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 (the “</w:t>
      </w:r>
      <w:r>
        <w:rPr>
          <w:rFonts w:ascii="Arial" w:cs="Arial" w:eastAsia="Arial" w:hAnsi="Arial"/>
          <w:sz w:val="19"/>
          <w:szCs w:val="19"/>
          <w:u w:val="single" w:color="auto"/>
          <w:color w:val="auto"/>
        </w:rPr>
        <w:t>CDOR Screen Rate</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firstLine="757"/>
        <w:spacing w:after="0" w:line="246" w:lineRule="auto"/>
        <w:tabs>
          <w:tab w:leader="none" w:pos="1181" w:val="left"/>
        </w:tabs>
        <w:numPr>
          <w:ilvl w:val="0"/>
          <w:numId w:val="71"/>
        </w:numPr>
        <w:rPr>
          <w:rFonts w:ascii="Arial" w:cs="Arial" w:eastAsia="Arial" w:hAnsi="Arial"/>
          <w:sz w:val="21"/>
          <w:szCs w:val="21"/>
          <w:color w:val="auto"/>
        </w:rPr>
      </w:pPr>
      <w:r>
        <w:rPr>
          <w:rFonts w:ascii="Arial" w:cs="Arial" w:eastAsia="Arial" w:hAnsi="Arial"/>
          <w:sz w:val="21"/>
          <w:szCs w:val="21"/>
          <w:color w:val="auto"/>
        </w:rPr>
        <w:t>in the case of Term Benchmark Borrowings denominated in Australian Dollars, the rate per annum equal to the Bank Bill Swap Reference Bid rate or a successor thereto approved by the Administrative Agent (“</w:t>
      </w:r>
      <w:r>
        <w:rPr>
          <w:rFonts w:ascii="Arial" w:cs="Arial" w:eastAsia="Arial" w:hAnsi="Arial"/>
          <w:sz w:val="21"/>
          <w:szCs w:val="21"/>
          <w:u w:val="single" w:color="auto"/>
          <w:color w:val="auto"/>
        </w:rPr>
        <w:t>BBSY</w:t>
      </w:r>
      <w:r>
        <w:rPr>
          <w:rFonts w:ascii="Arial" w:cs="Arial" w:eastAsia="Arial" w:hAnsi="Arial"/>
          <w:sz w:val="21"/>
          <w:szCs w:val="21"/>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Period (or if such day is not an Term Benchmark Banking Day for Australian Dollars, then on the immediately preceding Term Benchmark Banking Day for Australian Dollars) with a term equivalent to such Interest Period (the “</w:t>
      </w:r>
      <w:r>
        <w:rPr>
          <w:rFonts w:ascii="Arial" w:cs="Arial" w:eastAsia="Arial" w:hAnsi="Arial"/>
          <w:sz w:val="21"/>
          <w:szCs w:val="21"/>
          <w:u w:val="single" w:color="auto"/>
          <w:color w:val="auto"/>
        </w:rPr>
        <w:t>BBSY Screen Rate</w:t>
      </w:r>
      <w:r>
        <w:rPr>
          <w:rFonts w:ascii="Arial" w:cs="Arial" w:eastAsia="Arial" w:hAnsi="Arial"/>
          <w:sz w:val="21"/>
          <w:szCs w:val="21"/>
          <w:color w:val="auto"/>
        </w:rPr>
        <w:t>”); and</w:t>
      </w:r>
    </w:p>
    <w:p>
      <w:pPr>
        <w:spacing w:after="0" w:line="184" w:lineRule="exact"/>
        <w:rPr>
          <w:rFonts w:ascii="Arial" w:cs="Arial" w:eastAsia="Arial" w:hAnsi="Arial"/>
          <w:sz w:val="21"/>
          <w:szCs w:val="21"/>
          <w:color w:val="auto"/>
        </w:rPr>
      </w:pPr>
    </w:p>
    <w:p>
      <w:pPr>
        <w:ind w:right="40" w:firstLine="757"/>
        <w:spacing w:after="0" w:line="250" w:lineRule="auto"/>
        <w:tabs>
          <w:tab w:leader="none" w:pos="1181"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 the case of Term Benchmark Borrowings denominated in Swedish Krona, the rate per annum equal to the Stockholm Interbank Offered Rate or a successor thereto approved by</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0" w:name="page121"/>
    <w:bookmarkEnd w:id="120"/>
    <w:p>
      <w:pPr>
        <w:jc w:val="both"/>
        <w:spacing w:after="0" w:line="282" w:lineRule="auto"/>
        <w:rPr>
          <w:sz w:val="20"/>
          <w:szCs w:val="20"/>
          <w:color w:val="auto"/>
        </w:rPr>
      </w:pPr>
      <w:r>
        <w:rPr>
          <w:rFonts w:ascii="Arial" w:cs="Arial" w:eastAsia="Arial" w:hAnsi="Arial"/>
          <w:sz w:val="19"/>
          <w:szCs w:val="19"/>
          <w:color w:val="auto"/>
        </w:rPr>
        <w:t>the Administrative Agent (“</w:t>
      </w:r>
      <w:r>
        <w:rPr>
          <w:rFonts w:ascii="Arial" w:cs="Arial" w:eastAsia="Arial" w:hAnsi="Arial"/>
          <w:sz w:val="19"/>
          <w:szCs w:val="19"/>
          <w:u w:val="single" w:color="auto"/>
          <w:color w:val="auto"/>
        </w:rPr>
        <w:t>STIBOR</w:t>
      </w:r>
      <w:r>
        <w:rPr>
          <w:rFonts w:ascii="Arial" w:cs="Arial" w:eastAsia="Arial" w:hAnsi="Arial"/>
          <w:sz w:val="19"/>
          <w:szCs w:val="19"/>
          <w:color w:val="auto"/>
        </w:rPr>
        <w:t>”) as published by Reuters (or such other page or commercially available source providing STIBOR quotations as may be designated by the Administrative Agent from time to time) at or about 11:00 a.m. (Stockholm, Sweden time) on the day that is two Term Benchmark Banking Days for Swedish Krona prior to the first day of the Interest Period (or if such day is not an Term Benchmark Banking Day for Swedish Krona, then on the immediately preceding Term Benchmark Banking Day for Swedish Krona) with a term equivalent to such Interest Period (the “</w:t>
      </w:r>
      <w:r>
        <w:rPr>
          <w:rFonts w:ascii="Arial" w:cs="Arial" w:eastAsia="Arial" w:hAnsi="Arial"/>
          <w:sz w:val="19"/>
          <w:szCs w:val="19"/>
          <w:u w:val="single" w:color="auto"/>
          <w:color w:val="auto"/>
        </w:rPr>
        <w:t>STIBOR Screen Rate</w:t>
      </w:r>
      <w:r>
        <w:rPr>
          <w:rFonts w:ascii="Arial" w:cs="Arial" w:eastAsia="Arial" w:hAnsi="Arial"/>
          <w:sz w:val="19"/>
          <w:szCs w:val="19"/>
          <w:color w:val="auto"/>
        </w:rPr>
        <w:t>”);</w:t>
      </w:r>
    </w:p>
    <w:p>
      <w:pPr>
        <w:spacing w:after="0" w:line="14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if such rate for any Currency is less than zero, such rate shall be deemed to be zero for purposes of this Agreement.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w:t>
      </w:r>
      <w:r>
        <w:rPr>
          <w:rFonts w:ascii="Arial" w:cs="Arial" w:eastAsia="Arial" w:hAnsi="Arial"/>
          <w:sz w:val="22"/>
          <w:szCs w:val="22"/>
          <w:color w:val="auto"/>
        </w:rPr>
        <w:t>” means,</w:t>
      </w:r>
    </w:p>
    <w:p>
      <w:pPr>
        <w:spacing w:after="0" w:line="206" w:lineRule="exact"/>
        <w:rPr>
          <w:sz w:val="20"/>
          <w:szCs w:val="20"/>
          <w:color w:val="auto"/>
        </w:rPr>
      </w:pPr>
    </w:p>
    <w:p>
      <w:pPr>
        <w:jc w:val="both"/>
        <w:ind w:firstLine="1505"/>
        <w:spacing w:after="0" w:line="244" w:lineRule="auto"/>
        <w:tabs>
          <w:tab w:leader="none" w:pos="1929" w:val="left"/>
        </w:tabs>
        <w:numPr>
          <w:ilvl w:val="0"/>
          <w:numId w:val="72"/>
        </w:numPr>
        <w:rPr>
          <w:rFonts w:ascii="Arial" w:cs="Arial" w:eastAsia="Arial" w:hAnsi="Arial"/>
          <w:sz w:val="21"/>
          <w:szCs w:val="21"/>
          <w:color w:val="auto"/>
        </w:rPr>
      </w:pPr>
      <w:r>
        <w:rPr>
          <w:rFonts w:ascii="Arial" w:cs="Arial" w:eastAsia="Arial" w:hAnsi="Arial"/>
          <w:sz w:val="21"/>
          <w:szCs w:val="21"/>
          <w:color w:val="auto"/>
        </w:rPr>
        <w:t>for any calculation with respect to a Term Benchmark Loan for any Interest Period, the sum of (i) the applicable Term SOFR Credit Adjustment Spread for Term Benchmark Loans for such Interest Period and (ii) the Term SOFR Reference Rate for a tenor comparable to the applicable Interest Period on the day (such day, the “</w:t>
      </w:r>
      <w:r>
        <w:rPr>
          <w:rFonts w:ascii="Arial" w:cs="Arial" w:eastAsia="Arial" w:hAnsi="Arial"/>
          <w:sz w:val="21"/>
          <w:szCs w:val="21"/>
          <w:u w:val="single" w:color="auto"/>
          <w:color w:val="auto"/>
        </w:rPr>
        <w:t>Periodic Term SOFR</w:t>
      </w:r>
      <w:r>
        <w:rPr>
          <w:rFonts w:ascii="Arial" w:cs="Arial" w:eastAsia="Arial" w:hAnsi="Arial"/>
          <w:sz w:val="21"/>
          <w:szCs w:val="21"/>
          <w:color w:val="auto"/>
        </w:rPr>
        <w:t xml:space="preserve"> </w:t>
      </w:r>
      <w:r>
        <w:rPr>
          <w:rFonts w:ascii="Arial" w:cs="Arial" w:eastAsia="Arial" w:hAnsi="Arial"/>
          <w:sz w:val="21"/>
          <w:szCs w:val="21"/>
          <w:u w:val="single" w:color="auto"/>
          <w:color w:val="auto"/>
        </w:rPr>
        <w:t>Determination Day</w:t>
      </w:r>
      <w:r>
        <w:rPr>
          <w:rFonts w:ascii="Arial" w:cs="Arial" w:eastAsia="Arial" w:hAnsi="Arial"/>
          <w:sz w:val="21"/>
          <w:szCs w:val="21"/>
          <w:color w:val="auto"/>
        </w:rPr>
        <w:t>”) that is two (2) U.S. Government Securities Business Days prior to the first day of such Interest Period, as such rate is published by the Term SOFR Administrator (the “</w:t>
      </w:r>
      <w:r>
        <w:rPr>
          <w:rFonts w:ascii="Arial" w:cs="Arial" w:eastAsia="Arial" w:hAnsi="Arial"/>
          <w:sz w:val="21"/>
          <w:szCs w:val="21"/>
          <w:u w:val="single" w:color="auto"/>
          <w:color w:val="auto"/>
        </w:rPr>
        <w:t>Term SOFR Screen Rate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5" w:lineRule="exact"/>
        <w:rPr>
          <w:rFonts w:ascii="Arial" w:cs="Arial" w:eastAsia="Arial" w:hAnsi="Arial"/>
          <w:sz w:val="21"/>
          <w:szCs w:val="21"/>
          <w:color w:val="auto"/>
        </w:rPr>
      </w:pPr>
    </w:p>
    <w:p>
      <w:pPr>
        <w:jc w:val="both"/>
        <w:ind w:firstLine="1505"/>
        <w:spacing w:after="0" w:line="244" w:lineRule="auto"/>
        <w:tabs>
          <w:tab w:leader="none" w:pos="1929" w:val="left"/>
        </w:tabs>
        <w:numPr>
          <w:ilvl w:val="0"/>
          <w:numId w:val="72"/>
        </w:numPr>
        <w:rPr>
          <w:rFonts w:ascii="Arial" w:cs="Arial" w:eastAsia="Arial" w:hAnsi="Arial"/>
          <w:sz w:val="21"/>
          <w:szCs w:val="21"/>
          <w:color w:val="auto"/>
        </w:rPr>
      </w:pPr>
      <w:r>
        <w:rPr>
          <w:rFonts w:ascii="Arial" w:cs="Arial" w:eastAsia="Arial" w:hAnsi="Arial"/>
          <w:sz w:val="21"/>
          <w:szCs w:val="21"/>
          <w:color w:val="auto"/>
        </w:rPr>
        <w:t>for any calculation with respect to an ABR Loan on any day, the sum of (i) the applicable Term SOFR Credit Adjustment Spread for Term Benchmark Loans for an Interest Period of one month and (ii) the Term SOFR Reference Rate for a tenor of one month on the day (such day, the “</w:t>
      </w:r>
      <w:r>
        <w:rPr>
          <w:rFonts w:ascii="Arial" w:cs="Arial" w:eastAsia="Arial" w:hAnsi="Arial"/>
          <w:sz w:val="21"/>
          <w:szCs w:val="21"/>
          <w:u w:val="single" w:color="auto"/>
          <w:color w:val="auto"/>
        </w:rPr>
        <w:t>Base Rate Term SOFR Determination Day</w:t>
      </w:r>
      <w:r>
        <w:rPr>
          <w:rFonts w:ascii="Arial" w:cs="Arial" w:eastAsia="Arial" w:hAnsi="Arial"/>
          <w:sz w:val="21"/>
          <w:szCs w:val="21"/>
          <w:color w:val="auto"/>
        </w:rPr>
        <w:t xml:space="preserve">”) that is two (2) U.S. Government Securities Business Days prior to such day, as such rate is published by the Term SOFR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8"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Administrator</w:t>
      </w:r>
      <w:r>
        <w:rPr>
          <w:rFonts w:ascii="Arial" w:cs="Arial" w:eastAsia="Arial" w:hAnsi="Arial"/>
          <w:sz w:val="19"/>
          <w:szCs w:val="19"/>
          <w:color w:val="auto"/>
        </w:rPr>
        <w:t>” means the CME Group Benchmark Administration Limited (CBA) (or a successor administrator of the Term SOFR Reference Rate selected by the Administrative Agent in its reasonable discretion).</w:t>
      </w:r>
    </w:p>
    <w:p>
      <w:pPr>
        <w:spacing w:after="0" w:line="11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1" w:name="page122"/>
    <w:bookmarkEnd w:id="121"/>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Credit Adjustment Spread</w:t>
      </w:r>
      <w:r>
        <w:rPr>
          <w:rFonts w:ascii="Arial" w:cs="Arial" w:eastAsia="Arial" w:hAnsi="Arial"/>
          <w:sz w:val="22"/>
          <w:szCs w:val="22"/>
          <w:color w:val="auto"/>
        </w:rPr>
        <w:t>” means, with respect to Term Benchmark Loans denominated in Dollars, (i) with an Interest Period of one month, 0.10%, (ii) with an Interest Period of three months, 0.15% and (iii) with an Interest Period of six months, 0.25%.</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Reference Rate</w:t>
      </w:r>
      <w:r>
        <w:rPr>
          <w:rFonts w:ascii="Arial" w:cs="Arial" w:eastAsia="Arial" w:hAnsi="Arial"/>
          <w:sz w:val="22"/>
          <w:szCs w:val="22"/>
          <w:color w:val="auto"/>
        </w:rPr>
        <w:t>” means the forward-looking term rate based on SOFR.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Screen Rate</w:t>
      </w:r>
      <w:r>
        <w:rPr>
          <w:rFonts w:ascii="Arial" w:cs="Arial" w:eastAsia="Arial" w:hAnsi="Arial"/>
          <w:sz w:val="21"/>
          <w:szCs w:val="21"/>
          <w:color w:val="auto"/>
        </w:rPr>
        <w:t>” has the meaning assigned to such term in the definition of “Term SOFR”.</w:t>
      </w:r>
    </w:p>
    <w:p>
      <w:pPr>
        <w:spacing w:after="0" w:line="21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means the earliest to occur of (i) the Extended Final Maturity Date, (ii) the date of the termination of the Commitments in full pursuant to Section 2.08(c), or (iii) the date on which the Commitments are terminated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Testing Quarter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5.12(b)(ii)(E)(x)</w:t>
      </w:r>
      <w:r>
        <w:rPr>
          <w:rFonts w:ascii="Arial" w:cs="Arial" w:eastAsia="Arial" w:hAnsi="Arial"/>
          <w:sz w:val="22"/>
          <w:szCs w:val="22"/>
          <w:color w:val="auto"/>
        </w:rPr>
        <w:t>.</w:t>
      </w:r>
    </w:p>
    <w:p>
      <w:pPr>
        <w:spacing w:after="0" w:line="206" w:lineRule="exact"/>
        <w:rPr>
          <w:sz w:val="20"/>
          <w:szCs w:val="20"/>
          <w:color w:val="auto"/>
        </w:rPr>
      </w:pPr>
    </w:p>
    <w:p>
      <w:pPr>
        <w:ind w:right="6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w:t>
      </w:r>
      <w:r>
        <w:rPr>
          <w:rFonts w:ascii="Arial" w:cs="Arial" w:eastAsia="Arial" w:hAnsi="Arial"/>
          <w:sz w:val="22"/>
          <w:szCs w:val="22"/>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86" w:lineRule="exact"/>
        <w:rPr>
          <w:sz w:val="20"/>
          <w:szCs w:val="20"/>
          <w:color w:val="auto"/>
        </w:rPr>
      </w:pPr>
    </w:p>
    <w:p>
      <w:pPr>
        <w:jc w:val="both"/>
        <w:ind w:right="5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Assets Concentration Limitation</w:t>
      </w:r>
      <w:r>
        <w:rPr>
          <w:rFonts w:ascii="Arial" w:cs="Arial" w:eastAsia="Arial" w:hAnsi="Arial"/>
          <w:sz w:val="22"/>
          <w:szCs w:val="22"/>
          <w:color w:val="auto"/>
        </w:rPr>
        <w:t>” means, as of any date of determination, the amount by which the aggregate value of Equity Interests in Financing Subsidiaries held by the Obligors as of such date of determination exceeds 12.5% of the Total Assets as of such date of determination.</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Secured Debt</w:t>
      </w:r>
      <w:r>
        <w:rPr>
          <w:rFonts w:ascii="Arial" w:cs="Arial" w:eastAsia="Arial" w:hAnsi="Arial"/>
          <w:sz w:val="22"/>
          <w:szCs w:val="22"/>
          <w:color w:val="auto"/>
        </w:rPr>
        <w:t>” means, as of any date of determination, the aggregate amount of senior securities representing secured indebtedness of the Obligors as of such date of determination.</w:t>
      </w:r>
    </w:p>
    <w:p>
      <w:pPr>
        <w:spacing w:after="0" w:line="175" w:lineRule="exact"/>
        <w:rPr>
          <w:sz w:val="20"/>
          <w:szCs w:val="20"/>
          <w:color w:val="auto"/>
        </w:rPr>
      </w:pPr>
    </w:p>
    <w:p>
      <w:pPr>
        <w:jc w:val="both"/>
        <w:ind w:right="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the other Loan Documents, the borrowing of Loans, the use of the proceeds thereof and the issuance of Letters of Credit hereunder.</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6.03(h)</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Truist</w:t>
      </w:r>
      <w:r>
        <w:rPr>
          <w:rFonts w:ascii="Arial" w:cs="Arial" w:eastAsia="Arial" w:hAnsi="Arial"/>
          <w:sz w:val="22"/>
          <w:szCs w:val="22"/>
          <w:color w:val="auto"/>
        </w:rPr>
        <w:t>” means Truist Bank (as successor by merger to SunTrust Bank).</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whether the rate of interest on such Loan, or on the Loans constituting such Borrowing, is determined by reference to the Adjusted Term Benchmark Rate, Daily Simple RFR or the Alternate Base Rate.</w:t>
      </w:r>
    </w:p>
    <w:p>
      <w:pPr>
        <w:spacing w:after="0" w:line="18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2" w:name="page123"/>
    <w:bookmarkEnd w:id="122"/>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Undisclosed Administration</w:t>
      </w:r>
      <w:r>
        <w:rPr>
          <w:rFonts w:ascii="Arial" w:cs="Arial" w:eastAsia="Arial" w:hAnsi="Arial"/>
          <w:sz w:val="22"/>
          <w:szCs w:val="22"/>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Uniform Commercial Code</w:t>
      </w:r>
      <w:r>
        <w:rPr>
          <w:rFonts w:ascii="Arial" w:cs="Arial" w:eastAsia="Arial" w:hAnsi="Arial"/>
          <w:sz w:val="19"/>
          <w:szCs w:val="19"/>
          <w:color w:val="auto"/>
        </w:rPr>
        <w:t>” means the Uniform Commercial Code as in effect from time to time in the State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of New York.</w:t>
      </w:r>
    </w:p>
    <w:p>
      <w:pPr>
        <w:spacing w:after="0" w:line="188"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Unquoted Investment</w:t>
      </w:r>
      <w:r>
        <w:rPr>
          <w:rFonts w:ascii="Arial" w:cs="Arial" w:eastAsia="Arial" w:hAnsi="Arial"/>
          <w:sz w:val="22"/>
          <w:szCs w:val="22"/>
          <w:color w:val="auto"/>
        </w:rPr>
        <w:t xml:space="preserve">” means a Portfolio Investment with a value that may be assigned by the Borrower pursuant to </w:t>
      </w:r>
      <w:r>
        <w:rPr>
          <w:rFonts w:ascii="Arial" w:cs="Arial" w:eastAsia="Arial" w:hAnsi="Arial"/>
          <w:sz w:val="22"/>
          <w:szCs w:val="22"/>
          <w:u w:val="single" w:color="auto"/>
          <w:color w:val="auto"/>
        </w:rPr>
        <w:t>Section 5.12(b)(ii)(B)</w:t>
      </w:r>
      <w:r>
        <w:rPr>
          <w:rFonts w:ascii="Arial" w:cs="Arial" w:eastAsia="Arial" w:hAnsi="Arial"/>
          <w:sz w:val="22"/>
          <w:szCs w:val="22"/>
          <w:color w:val="auto"/>
        </w:rPr>
        <w:t>.</w:t>
      </w:r>
    </w:p>
    <w:p>
      <w:pPr>
        <w:spacing w:after="0" w:line="175"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Unsecured Longer-Term Indebtedness</w:t>
      </w:r>
      <w:r>
        <w:rPr>
          <w:rFonts w:ascii="Arial" w:cs="Arial" w:eastAsia="Arial" w:hAnsi="Arial"/>
          <w:sz w:val="19"/>
          <w:szCs w:val="19"/>
          <w:color w:val="auto"/>
        </w:rPr>
        <w:t xml:space="preserve">” means Indebtedness of any Obligor (which may be Guaranteed by any other Obligor) that (a) has no amortization prior to, and a final maturity date not earlier than, six months after the Extended Final Maturity Date (it being understood that (A) none of: (w) the conversion features under convertible notes; (x) the triggering and/or settlement thereof; and (y) any cash payment made in respect thereof shall constitute “amortization” for the purposes of this definition); (B) any mandatory amortization that is contingent upon the happening of an event that is not certain to occur (including, without limitation, a change of control or bankruptcy) shall not in and of itself be deemed to disqualify such Indebtedness under this clause (a); and (C) any mandatory amortization under any Permitted Amortizing Unsecured Longer-Term Indebtedness shall not in and of itself be deemed to disqualify such Indebtedness under this clause (a); provided, with respect to clause (a)(B) and clause (a)(C), the Borrower acknowledges that any payment prior to the Extended Final Maturity Date in respect of any such obligation or right shall only be made to the extent permitted by this Agreement and immediately upon such contingent event occurring the amount of such mandatory amortization shall be included in the Covered Debt Amount), (b) is incurred pursuant to terms that are substantially comparable to market terms for substantially similar debt of other similarly situated borrowers as reasonably determined in good faith by the Borrower or, if such transaction is not one in which there are market terms for substantially similar debt of other similarly situated borrowers, on terms that are negotiated in good faith on an arm’s length basis (except, in each case, other than financial covenants and events of default (other than events of default customary in indentures or similar instruments that have no analogous provisions in this Agreement or credit agreements generally), which shall be no more restrictive upon the Borrower and its Subsidiaries, while any Loans or the Commitments are outstanding, than those set forth in the Loan Documents; provided that, upon the Borrower’s written request in connection with the incurrence of any Unsecured Longer-Term Indebtedness that otherwise would not meet the requirements set forth in this parenthetical of this clause (b), this Agreement will be deemed automatically amended (and, upon the request of the Administrative Agent or the Required Lenders, the Borrower shall promptly enter into a written amendment evidencing such amendment), </w:t>
      </w:r>
      <w:r>
        <w:rPr>
          <w:rFonts w:ascii="Arial" w:cs="Arial" w:eastAsia="Arial" w:hAnsi="Arial"/>
          <w:sz w:val="19"/>
          <w:szCs w:val="19"/>
          <w:i w:val="1"/>
          <w:iCs w:val="1"/>
          <w:color w:val="auto"/>
        </w:rPr>
        <w:t>mutatis mutandis</w:t>
      </w:r>
      <w:r>
        <w:rPr>
          <w:rFonts w:ascii="Arial" w:cs="Arial" w:eastAsia="Arial" w:hAnsi="Arial"/>
          <w:sz w:val="19"/>
          <w:szCs w:val="19"/>
          <w:color w:val="auto"/>
        </w:rPr>
        <w:t>, solely to the extent necessary such that the financial covenants and events of default, as applicable, in</w:t>
      </w:r>
    </w:p>
    <w:p>
      <w:pPr>
        <w:spacing w:after="0" w:line="200" w:lineRule="exact"/>
        <w:rPr>
          <w:sz w:val="20"/>
          <w:szCs w:val="20"/>
          <w:color w:val="auto"/>
        </w:rPr>
      </w:pPr>
    </w:p>
    <w:p>
      <w:pPr>
        <w:spacing w:after="0" w:line="22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3" w:name="page124"/>
    <w:bookmarkEnd w:id="123"/>
    <w:p>
      <w:pPr>
        <w:jc w:val="both"/>
        <w:spacing w:after="0" w:line="245" w:lineRule="auto"/>
        <w:rPr>
          <w:sz w:val="20"/>
          <w:szCs w:val="20"/>
          <w:color w:val="auto"/>
        </w:rPr>
      </w:pPr>
      <w:r>
        <w:rPr>
          <w:rFonts w:ascii="Arial" w:cs="Arial" w:eastAsia="Arial" w:hAnsi="Arial"/>
          <w:sz w:val="21"/>
          <w:szCs w:val="21"/>
          <w:color w:val="auto"/>
        </w:rPr>
        <w:t xml:space="preserve">this Agreement shall be as restrictive as such provisions in the Unsecured Longer-Term Indebtedness) (it being understood that put rights or repurchase or redemption obligations (x) in the case of convertible securities, in connection with the suspension or delisting of the capital stock of the Borrower or the failure of the Borrower to satisfy a continued listing rule with respect to its capital stock or (y) arising out of circumstances that would constitute a “fundamental change” (as such term is customarily defined in convertible note offerings) or be Events of Default under this Agreement shall not be deemed to be more restrictive for purposes of this definition) and (c) is not secured by any assets of any Obligor. For the avoidance of doubt, the conversion of all or any portion of any Permitted Convertible Indebtedness constituting Unsecured Longer-Term Indebtedness into Permitted Equity Interests in accordance with </w:t>
      </w:r>
      <w:r>
        <w:rPr>
          <w:rFonts w:ascii="Arial" w:cs="Arial" w:eastAsia="Arial" w:hAnsi="Arial"/>
          <w:sz w:val="21"/>
          <w:szCs w:val="21"/>
          <w:u w:val="single" w:color="auto"/>
          <w:color w:val="auto"/>
        </w:rPr>
        <w:t>Section 6.12(a)</w:t>
      </w:r>
      <w:r>
        <w:rPr>
          <w:rFonts w:ascii="Arial" w:cs="Arial" w:eastAsia="Arial" w:hAnsi="Arial"/>
          <w:sz w:val="21"/>
          <w:szCs w:val="21"/>
          <w:color w:val="auto"/>
        </w:rPr>
        <w:t>, shall not cause such Indebtedness to be designated as Unsecured Shorter-Term Indebtedness hereunder.</w:t>
      </w:r>
    </w:p>
    <w:p>
      <w:pPr>
        <w:spacing w:after="0" w:line="184"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Notwithstanding the foregoing, each of the 2026 May Notes and the 2026 November Notes shall be deemed Unsecured Longer-Term Indebtedness in all respects despite the fact that the maturity dates of the 2026 May Notes and the 2026 November Notes are prior to the Final Maturity Date so long as the 2026 May Notes and the 2026 November Notes continue to comply with all other requirements of the above definition; provided that (x) from and after the date that is 9 months prior to the scheduled maturity date of the 2026 May Notes, the 2026 May Notes shall be included in the Covered Debt Amount and (y) from and after the date that is 9 months prior to the scheduled maturity date of the 2026 November Notes, the 2026 November Notes shall be included in the Covered Debt Amount.</w:t>
      </w:r>
    </w:p>
    <w:p>
      <w:pPr>
        <w:spacing w:after="0" w:line="184"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Unsecured Shorter-Term Indebtedness</w:t>
      </w:r>
      <w:r>
        <w:rPr>
          <w:rFonts w:ascii="Arial" w:cs="Arial" w:eastAsia="Arial" w:hAnsi="Arial"/>
          <w:sz w:val="22"/>
          <w:szCs w:val="22"/>
          <w:color w:val="auto"/>
        </w:rPr>
        <w:t xml:space="preserve">” means, collectively, (a) any Indebtedness of the Borrower or any Subsidiary (other than a Financing Subsidiary)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22"/>
          <w:szCs w:val="22"/>
          <w:u w:val="single" w:color="auto"/>
          <w:color w:val="auto"/>
        </w:rPr>
        <w:t>Section 6.11(a)</w:t>
      </w:r>
      <w:r>
        <w:rPr>
          <w:rFonts w:ascii="Arial" w:cs="Arial" w:eastAsia="Arial" w:hAnsi="Arial"/>
          <w:sz w:val="22"/>
          <w:szCs w:val="22"/>
          <w:color w:val="auto"/>
        </w:rPr>
        <w:t>. For clarity, Special Permitted Indebtedness and Permitted Amortizing Unsecured Longer-Term Indebtedness shall not be Unsecured Shorter-Term Indebtedness so long as the final maturity date thereof is after the Extended Final Maturity Date.</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85"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Government Securities Business Day</w:t>
      </w:r>
      <w:r>
        <w:rPr>
          <w:rFonts w:ascii="Arial" w:cs="Arial" w:eastAsia="Arial" w:hAnsi="Arial"/>
          <w:sz w:val="21"/>
          <w:szCs w:val="21"/>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 Code.</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5.13</w:t>
      </w:r>
      <w:r>
        <w:rPr>
          <w:rFonts w:ascii="Arial" w:cs="Arial" w:eastAsia="Arial" w:hAnsi="Arial"/>
          <w:sz w:val="22"/>
          <w:szCs w:val="22"/>
          <w:color w:val="auto"/>
        </w:rPr>
        <w:t>.</w:t>
      </w:r>
    </w:p>
    <w:p>
      <w:pPr>
        <w:spacing w:after="0" w:line="21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4" w:name="page125"/>
    <w:bookmarkEnd w:id="124"/>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jc w:val="both"/>
        <w:ind w:firstLine="1497"/>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3"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For purposes of this Agreement, Loans may be classified and referred to by Class (e.g., a “Syndicated Dollar Loan” or “Syndicated Multicurrency Loan”), by Type (e.g., an “ABR Loan”) or by Class and Type (e.g., a “Syndicated Multicurrency Term Benchmark Loan”). Borrowings also may be classified and referred to by Class (e.g., a “Dollar Borrowing”, “Multicurrency Borrowing” or “Syndicated Borrowing”), by Type (e.g., an “ABR Borrowing”) or by Class and Type (e.g., a “Syndicated ABR Borrowing” or “Syndicated Multicurrency Term Benchmark Borrowing”). Loans and Borrowings may also be identified by Currency.</w:t>
      </w:r>
    </w:p>
    <w:p>
      <w:pPr>
        <w:spacing w:after="0" w:line="17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w:t>
      </w:r>
    </w:p>
    <w:p>
      <w:pPr>
        <w:spacing w:after="0" w:line="1" w:lineRule="exact"/>
        <w:rPr>
          <w:sz w:val="20"/>
          <w:szCs w:val="20"/>
          <w:color w:val="auto"/>
        </w:rPr>
      </w:pPr>
    </w:p>
    <w:p>
      <w:pPr>
        <w:jc w:val="both"/>
        <w:ind w:firstLine="8"/>
        <w:spacing w:after="0" w:line="233" w:lineRule="auto"/>
        <w:tabs>
          <w:tab w:leader="none" w:pos="315"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8"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if the Borrower notifies the Administrative Agent that the Borrower requests an amendment to any provision hereof to</w:t>
      </w:r>
    </w:p>
    <w:p>
      <w:pPr>
        <w:spacing w:after="0" w:line="14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5" w:name="page126"/>
    <w:bookmarkEnd w:id="125"/>
    <w:p>
      <w:pPr>
        <w:jc w:val="both"/>
        <w:spacing w:after="0" w:line="271" w:lineRule="auto"/>
        <w:rPr>
          <w:sz w:val="20"/>
          <w:szCs w:val="20"/>
          <w:color w:val="auto"/>
        </w:rPr>
      </w:pPr>
      <w:r>
        <w:rPr>
          <w:rFonts w:ascii="Arial" w:cs="Arial" w:eastAsia="Arial" w:hAnsi="Arial"/>
          <w:sz w:val="19"/>
          <w:szCs w:val="19"/>
          <w:color w:val="auto"/>
        </w:rPr>
        <w:t>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would be treated as operating leases for purposes of GAAP on the date hereof shall continue to be accounted for as operating leases for purposes of all financial definitions and calculations hereunder regardless of any change to GAAP following the date hereof that would otherwise require such leases to be treated as Capital Lease Obligations. The Borrower covenants and agrees with the Lenders that whether or not the Borrower may at any time adopt Financial Accounting Standards Board (“</w:t>
      </w:r>
      <w:r>
        <w:rPr>
          <w:rFonts w:ascii="Arial" w:cs="Arial" w:eastAsia="Arial" w:hAnsi="Arial"/>
          <w:sz w:val="19"/>
          <w:szCs w:val="19"/>
          <w:u w:val="single" w:color="auto"/>
          <w:color w:val="auto"/>
        </w:rPr>
        <w:t>FASB</w:t>
      </w:r>
      <w:r>
        <w:rPr>
          <w:rFonts w:ascii="Arial" w:cs="Arial" w:eastAsia="Arial" w:hAnsi="Arial"/>
          <w:sz w:val="19"/>
          <w:szCs w:val="19"/>
          <w:color w:val="auto"/>
        </w:rPr>
        <w:t>”) Statement of Financial Accounting Standard No. 159 (or successor standard solely as it relates to fair valuing liabilities) or accounts for liabilities acquired in an acquisition on a fair value basis pursuant to FASB Statement of Financial Accounting Standard No. 141(R) (or successor standard solely as it relates to fair valuing liabilities), all determinations of compliance with the terms and conditions of this Agreement shall be made on the basis that the Borrower has not adopted FASB Statement of Financial Accounting Standard No. 159 (or such successor standard solely as it relates to fair valuing liabilities) or, in the case of liabilities acquired in an acquisition, FASB Statement of Financial Accounting Standard No. 141(R) (or such successor standard solely as it relates to fair valuing liabilities).</w:t>
      </w:r>
    </w:p>
    <w:p>
      <w:pPr>
        <w:spacing w:after="0" w:line="200" w:lineRule="exact"/>
        <w:rPr>
          <w:sz w:val="20"/>
          <w:szCs w:val="20"/>
          <w:color w:val="auto"/>
        </w:rPr>
      </w:pPr>
    </w:p>
    <w:p>
      <w:pPr>
        <w:spacing w:after="0" w:line="20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1.05. </w:t>
      </w:r>
      <w:r>
        <w:rPr>
          <w:rFonts w:ascii="Arial" w:cs="Arial" w:eastAsia="Arial" w:hAnsi="Arial"/>
          <w:sz w:val="22"/>
          <w:szCs w:val="22"/>
          <w:u w:val="single" w:color="auto"/>
          <w:color w:val="auto"/>
        </w:rPr>
        <w:t>Currencies; Currency Equivalents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69" w:lineRule="auto"/>
        <w:tabs>
          <w:tab w:leader="none" w:pos="1929"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Currencies Generally</w:t>
      </w:r>
      <w:r>
        <w:rPr>
          <w:rFonts w:ascii="Arial" w:cs="Arial" w:eastAsia="Arial" w:hAnsi="Arial"/>
          <w:sz w:val="19"/>
          <w:szCs w:val="19"/>
          <w:color w:val="auto"/>
        </w:rPr>
        <w:t xml:space="preserve">. At any time, any reference in the definition of the term “Agreed Foreign Currency” or in any other provision 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2.10(b)</w:t>
      </w:r>
      <w:r>
        <w:rPr>
          <w:rFonts w:ascii="Arial" w:cs="Arial" w:eastAsia="Arial" w:hAnsi="Arial"/>
          <w:sz w:val="19"/>
          <w:szCs w:val="19"/>
          <w:color w:val="auto"/>
        </w:rPr>
        <w:t xml:space="preserve"> and the last sentence of </w:t>
      </w:r>
      <w:r>
        <w:rPr>
          <w:rFonts w:ascii="Arial" w:cs="Arial" w:eastAsia="Arial" w:hAnsi="Arial"/>
          <w:sz w:val="19"/>
          <w:szCs w:val="19"/>
          <w:u w:val="single" w:color="auto"/>
          <w:color w:val="auto"/>
        </w:rPr>
        <w:t>Section 2.17(a)</w:t>
      </w:r>
      <w:r>
        <w:rPr>
          <w:rFonts w:ascii="Arial" w:cs="Arial" w:eastAsia="Arial" w:hAnsi="Arial"/>
          <w:sz w:val="19"/>
          <w:szCs w:val="19"/>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w:t>
      </w:r>
    </w:p>
    <w:p>
      <w:pPr>
        <w:spacing w:after="0" w:line="4" w:lineRule="exact"/>
        <w:rPr>
          <w:rFonts w:ascii="Arial" w:cs="Arial" w:eastAsia="Arial" w:hAnsi="Arial"/>
          <w:sz w:val="19"/>
          <w:szCs w:val="19"/>
          <w:color w:val="auto"/>
        </w:rPr>
      </w:pPr>
    </w:p>
    <w:p>
      <w:pPr>
        <w:jc w:val="both"/>
        <w:ind w:firstLine="8"/>
        <w:spacing w:after="0" w:line="271" w:lineRule="auto"/>
        <w:tabs>
          <w:tab w:leader="none" w:pos="389"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 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Without limiting the generality of the foregoing, for purposes of determining compliance with any basket in Sections 6.03(g) and</w:t>
      </w:r>
    </w:p>
    <w:p>
      <w:pPr>
        <w:spacing w:after="0" w:line="200" w:lineRule="exact"/>
        <w:rPr>
          <w:sz w:val="20"/>
          <w:szCs w:val="20"/>
          <w:color w:val="auto"/>
        </w:rPr>
      </w:pPr>
    </w:p>
    <w:p>
      <w:pPr>
        <w:spacing w:after="0" w:line="21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6" w:name="page127"/>
    <w:bookmarkEnd w:id="126"/>
    <w:p>
      <w:pPr>
        <w:spacing w:after="0" w:line="250" w:lineRule="auto"/>
        <w:rPr>
          <w:sz w:val="20"/>
          <w:szCs w:val="20"/>
          <w:color w:val="auto"/>
        </w:rPr>
      </w:pPr>
      <w:r>
        <w:rPr>
          <w:rFonts w:ascii="Arial" w:cs="Arial" w:eastAsia="Arial" w:hAnsi="Arial"/>
          <w:sz w:val="22"/>
          <w:szCs w:val="22"/>
          <w:color w:val="auto"/>
        </w:rPr>
        <w:t>6.04(f), in no event shall the Borrower or any of its Subsidiaries be deemed to not be in compliance with any such basket solely as a result of a change in exchange rates.</w:t>
      </w:r>
    </w:p>
    <w:p>
      <w:pPr>
        <w:spacing w:after="0" w:line="175" w:lineRule="exact"/>
        <w:rPr>
          <w:sz w:val="20"/>
          <w:szCs w:val="20"/>
          <w:color w:val="auto"/>
        </w:rPr>
      </w:pPr>
    </w:p>
    <w:p>
      <w:pPr>
        <w:jc w:val="both"/>
        <w:ind w:firstLine="1505"/>
        <w:spacing w:after="0" w:line="272" w:lineRule="auto"/>
        <w:tabs>
          <w:tab w:leader="none" w:pos="192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Special Provisions Relating to Euro</w:t>
      </w:r>
      <w:r>
        <w:rPr>
          <w:rFonts w:ascii="Arial" w:cs="Arial" w:eastAsia="Arial" w:hAnsi="Arial"/>
          <w:sz w:val="19"/>
          <w:szCs w:val="19"/>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Borrowing denominated in such currency that is outstanding immediately prior to such date, such replacement shall take effect at the end of the Interest Period therefor.</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84"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SECTION 1.06.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Rates</w:t>
      </w:r>
      <w:r>
        <w:rPr>
          <w:rFonts w:ascii="Arial" w:cs="Arial" w:eastAsia="Arial" w:hAnsi="Arial"/>
          <w:sz w:val="22"/>
          <w:szCs w:val="22"/>
          <w:color w:val="auto"/>
        </w:rPr>
        <w:t>. The Administrative Agent does not warrant or accept responsibility for, and shall not have any liability with respect to (a) the continuation of, administration of, submission of, calculation of or any other matter related to the Alternate Base Rate, the Daily Simple RFR, or Term Benchmark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w:t>
      </w:r>
    </w:p>
    <w:p>
      <w:pPr>
        <w:spacing w:after="0" w:line="19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49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7" w:name="page128"/>
    <w:bookmarkEnd w:id="127"/>
    <w:p>
      <w:pPr>
        <w:jc w:val="both"/>
        <w:spacing w:after="0" w:line="244" w:lineRule="auto"/>
        <w:rPr>
          <w:sz w:val="20"/>
          <w:szCs w:val="20"/>
          <w:color w:val="auto"/>
        </w:rPr>
      </w:pPr>
      <w:r>
        <w:rPr>
          <w:rFonts w:ascii="Arial" w:cs="Arial" w:eastAsia="Arial" w:hAnsi="Arial"/>
          <w:sz w:val="21"/>
          <w:szCs w:val="21"/>
          <w:color w:val="auto"/>
        </w:rPr>
        <w:t>liquidity as, the Alternate Base Rate, the Daily Simple RFR, Term Benchmark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Term Benchmark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Term Benchmark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by any such information source or 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The Commitments</w:t>
      </w:r>
      <w:r>
        <w:rPr>
          <w:rFonts w:ascii="Arial" w:cs="Arial" w:eastAsia="Arial" w:hAnsi="Arial"/>
          <w:sz w:val="22"/>
          <w:szCs w:val="22"/>
          <w:color w:val="auto"/>
        </w:rPr>
        <w:t>. Subject to the terms and conditions set forth herein:</w:t>
      </w:r>
    </w:p>
    <w:p>
      <w:pPr>
        <w:spacing w:after="0" w:line="206" w:lineRule="exact"/>
        <w:rPr>
          <w:sz w:val="20"/>
          <w:szCs w:val="20"/>
          <w:color w:val="auto"/>
        </w:rPr>
      </w:pPr>
    </w:p>
    <w:p>
      <w:pPr>
        <w:jc w:val="both"/>
        <w:ind w:firstLine="1505"/>
        <w:spacing w:after="0" w:line="282" w:lineRule="auto"/>
        <w:tabs>
          <w:tab w:leader="none" w:pos="19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each Dollar Lender severally agrees to make Syndicated Loans in Dollars to the Borrower from time to time during such Dollar Lender’s Availability Period in an aggregate principal amount that will not result in (i) such Lender’s Revolving Dollar Credit Exposure exceeding such Lender’s Dollar Commitment, (ii) the aggregate Revolving Dollar Credit Exposure of all of the Dollar Lenders with Dollar Commitments then in effect exceeding the aggregate Dollar Commitments at such time or (iii) the total Covered Debt Amount exceeding the Borrowing Base then in effect; and</w:t>
      </w:r>
    </w:p>
    <w:p>
      <w:pPr>
        <w:spacing w:after="0" w:line="147" w:lineRule="exact"/>
        <w:rPr>
          <w:rFonts w:ascii="Arial" w:cs="Arial" w:eastAsia="Arial" w:hAnsi="Arial"/>
          <w:sz w:val="19"/>
          <w:szCs w:val="19"/>
          <w:color w:val="auto"/>
        </w:rPr>
      </w:pPr>
    </w:p>
    <w:p>
      <w:pPr>
        <w:jc w:val="both"/>
        <w:ind w:firstLine="1505"/>
        <w:spacing w:after="0" w:line="248" w:lineRule="auto"/>
        <w:tabs>
          <w:tab w:leader="none" w:pos="1929" w:val="left"/>
        </w:tabs>
        <w:numPr>
          <w:ilvl w:val="0"/>
          <w:numId w:val="77"/>
        </w:numPr>
        <w:rPr>
          <w:rFonts w:ascii="Arial" w:cs="Arial" w:eastAsia="Arial" w:hAnsi="Arial"/>
          <w:sz w:val="21"/>
          <w:szCs w:val="21"/>
          <w:color w:val="auto"/>
        </w:rPr>
      </w:pPr>
      <w:r>
        <w:rPr>
          <w:rFonts w:ascii="Arial" w:cs="Arial" w:eastAsia="Arial" w:hAnsi="Arial"/>
          <w:sz w:val="21"/>
          <w:szCs w:val="21"/>
          <w:color w:val="auto"/>
        </w:rPr>
        <w:t>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77"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Within the foregoing limits and subject to the terms and conditions set forth herein, the Borrower may borrow, prepay and reborrow Syndicated Loans.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Loans and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Obligations of Lenders</w:t>
      </w:r>
      <w:r>
        <w:rPr>
          <w:rFonts w:ascii="Arial" w:cs="Arial" w:eastAsia="Arial" w:hAnsi="Arial"/>
          <w:sz w:val="22"/>
          <w:szCs w:val="22"/>
          <w:color w:val="auto"/>
        </w:rPr>
        <w:t xml:space="preserve">. Each Syndicated Loan shall be made as part of a Borrowing consisting of Loans of the same Class (other than with respect to any Syndicated Loan requested pursuant to </w:t>
      </w:r>
      <w:r>
        <w:rPr>
          <w:rFonts w:ascii="Arial" w:cs="Arial" w:eastAsia="Arial" w:hAnsi="Arial"/>
          <w:sz w:val="22"/>
          <w:szCs w:val="22"/>
          <w:u w:val="single" w:color="auto"/>
          <w:color w:val="auto"/>
        </w:rPr>
        <w:t>Section 2.20</w:t>
      </w:r>
      <w:r>
        <w:rPr>
          <w:rFonts w:ascii="Arial" w:cs="Arial" w:eastAsia="Arial" w:hAnsi="Arial"/>
          <w:sz w:val="22"/>
          <w:szCs w:val="22"/>
          <w:color w:val="auto"/>
        </w:rPr>
        <w:t>), Currency and Type made by the applicable Lenders ratably</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8" w:name="page129"/>
    <w:bookmarkEnd w:id="128"/>
    <w:p>
      <w:pPr>
        <w:jc w:val="both"/>
        <w:spacing w:after="0" w:line="257" w:lineRule="auto"/>
        <w:rPr>
          <w:sz w:val="20"/>
          <w:szCs w:val="20"/>
          <w:color w:val="auto"/>
        </w:rPr>
      </w:pPr>
      <w:r>
        <w:rPr>
          <w:rFonts w:ascii="Arial" w:cs="Arial" w:eastAsia="Arial" w:hAnsi="Arial"/>
          <w:sz w:val="21"/>
          <w:szCs w:val="21"/>
          <w:color w:val="auto"/>
        </w:rPr>
        <w:t xml:space="preserve">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69" w:lineRule="exact"/>
        <w:rPr>
          <w:sz w:val="20"/>
          <w:szCs w:val="20"/>
          <w:color w:val="auto"/>
        </w:rPr>
      </w:pPr>
    </w:p>
    <w:p>
      <w:pPr>
        <w:jc w:val="both"/>
        <w:ind w:firstLine="1505"/>
        <w:spacing w:after="0" w:line="277" w:lineRule="auto"/>
        <w:tabs>
          <w:tab w:leader="none" w:pos="192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Type of Loans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each Syndicated Borrowing of a Class shall be constituted entirely of ABR Loans, of RFR Loans or of Term Benchmark Loans of such Class denominated in a single Currency as the Borrower may request in accordance herewith. Each ABR Loan shall be denominated in Dollars. Each Term Benchmark Loan shall be denominated in Dollars or in an Agreed Foreign Currency (other than Sterling and Swiss Francs). Each RFR Loan shall be denominated in Sterling or Swiss Francs. Each Lender at its option may make any Term Benchmark Loan or RFR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in accordance with the terms of this Agreement.</w:t>
      </w:r>
    </w:p>
    <w:p>
      <w:pPr>
        <w:spacing w:after="0" w:line="151" w:lineRule="exact"/>
        <w:rPr>
          <w:rFonts w:ascii="Arial" w:cs="Arial" w:eastAsia="Arial" w:hAnsi="Arial"/>
          <w:sz w:val="19"/>
          <w:szCs w:val="19"/>
          <w:color w:val="auto"/>
        </w:rPr>
      </w:pPr>
    </w:p>
    <w:p>
      <w:pPr>
        <w:jc w:val="both"/>
        <w:ind w:firstLine="1505"/>
        <w:spacing w:after="0" w:line="279" w:lineRule="auto"/>
        <w:tabs>
          <w:tab w:leader="none" w:pos="195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 xml:space="preserve">. Each Term Benchmark Borrowing and RFR Borrowing shall be in an aggregate amount of $1,000,000 or a larger multiple of $1,000,000, and each ABR Borrowing (whether a Syndicated Loan or a Swingline Loan) shall be in an aggregate amount of $1,000,000 or a larger multiple of $100,000;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9"/>
          <w:szCs w:val="19"/>
          <w:u w:val="single" w:color="auto"/>
          <w:color w:val="auto"/>
        </w:rPr>
        <w:t>Section 2.05(f)</w:t>
      </w:r>
      <w:r>
        <w:rPr>
          <w:rFonts w:ascii="Arial" w:cs="Arial" w:eastAsia="Arial" w:hAnsi="Arial"/>
          <w:sz w:val="19"/>
          <w:szCs w:val="19"/>
          <w:color w:val="auto"/>
        </w:rPr>
        <w:t>. Borrowings of more than one Class, Currency and Type may be outstanding at the same time.</w:t>
      </w:r>
    </w:p>
    <w:p>
      <w:pPr>
        <w:spacing w:after="0" w:line="150" w:lineRule="exact"/>
        <w:rPr>
          <w:rFonts w:ascii="Arial" w:cs="Arial" w:eastAsia="Arial" w:hAnsi="Arial"/>
          <w:sz w:val="19"/>
          <w:szCs w:val="19"/>
          <w:color w:val="auto"/>
        </w:rPr>
      </w:pPr>
    </w:p>
    <w:p>
      <w:pPr>
        <w:jc w:val="both"/>
        <w:ind w:firstLine="1505"/>
        <w:spacing w:after="0" w:line="234" w:lineRule="auto"/>
        <w:tabs>
          <w:tab w:leader="none" w:pos="195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Limitations on Interest Periods</w:t>
      </w:r>
      <w:r>
        <w:rPr>
          <w:rFonts w:ascii="Arial" w:cs="Arial" w:eastAsia="Arial" w:hAnsi="Arial"/>
          <w:sz w:val="22"/>
          <w:szCs w:val="22"/>
          <w:color w:val="auto"/>
        </w:rPr>
        <w:t xml:space="preserve">. Notwithstanding any other provision of this Agreement, the Borrower shall not be entitled to request (or to elect to convert to or continue as a Term Benchmark Borrowing or RFR Borrowing) any Borrowing if the Interest Period requested therefor would end after the Extended Final Maturity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request (or election to convert or continue as a Term Benchmark Borrowing or RFR Borrowing) that would extend past an applicable Non-Extended Final Maturity Date may only be made with respect to the portion of the Term Benchmark Borrowing or RFR Borrowing held by the Extending Lenders and Non-Extending Lenders for which the Non-Extended Final Maturity Date shall not have occurred.</w:t>
      </w:r>
    </w:p>
    <w:p>
      <w:pPr>
        <w:spacing w:after="0" w:line="190" w:lineRule="exact"/>
        <w:rPr>
          <w:rFonts w:ascii="Arial" w:cs="Arial" w:eastAsia="Arial" w:hAnsi="Arial"/>
          <w:sz w:val="22"/>
          <w:szCs w:val="22"/>
          <w:color w:val="auto"/>
        </w:rPr>
      </w:pPr>
    </w:p>
    <w:p>
      <w:pPr>
        <w:jc w:val="both"/>
        <w:ind w:right="20" w:firstLine="1505"/>
        <w:spacing w:after="0" w:line="282" w:lineRule="auto"/>
        <w:tabs>
          <w:tab w:leader="none" w:pos="195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Treatment of Classes</w:t>
      </w:r>
      <w:r>
        <w:rPr>
          <w:rFonts w:ascii="Arial" w:cs="Arial" w:eastAsia="Arial" w:hAnsi="Arial"/>
          <w:sz w:val="19"/>
          <w:szCs w:val="19"/>
          <w:color w:val="auto"/>
        </w:rPr>
        <w:t xml:space="preserve">. Notwithstanding anything to the contrary contained herein, with respect to each Syndicated Loan, Swingline Loan or Letter of Credit designated in Dollars (including any Loan requested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2.20</w:t>
      </w:r>
      <w:r>
        <w:rPr>
          <w:rFonts w:ascii="Arial" w:cs="Arial" w:eastAsia="Arial" w:hAnsi="Arial"/>
          <w:sz w:val="19"/>
          <w:szCs w:val="19"/>
          <w:color w:val="auto"/>
        </w:rPr>
        <w:t>),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Syndicated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Notice by the Borrower</w:t>
      </w:r>
      <w:r>
        <w:rPr>
          <w:rFonts w:ascii="Arial" w:cs="Arial" w:eastAsia="Arial" w:hAnsi="Arial"/>
          <w:sz w:val="22"/>
          <w:szCs w:val="22"/>
          <w:color w:val="auto"/>
        </w:rPr>
        <w:t>. To request a Syndicated Borrowing, the Borrower shall notify the Administrative Agent of such request by telephone (i) in the case of a Term Benchmark Borrowing denominated in Dollars, not later than 11:00 a.m., New York City time,</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9" w:name="page130"/>
    <w:bookmarkEnd w:id="129"/>
    <w:p>
      <w:pPr>
        <w:jc w:val="both"/>
        <w:spacing w:after="0" w:line="276" w:lineRule="auto"/>
        <w:rPr>
          <w:sz w:val="20"/>
          <w:szCs w:val="20"/>
          <w:color w:val="auto"/>
        </w:rPr>
      </w:pPr>
      <w:r>
        <w:rPr>
          <w:rFonts w:ascii="Arial" w:cs="Arial" w:eastAsia="Arial" w:hAnsi="Arial"/>
          <w:sz w:val="19"/>
          <w:szCs w:val="19"/>
          <w:color w:val="auto"/>
        </w:rPr>
        <w:t>two Business Days before the date of the proposed Borrowing, (ii) in the case of a Term Benchmark Borrowing denominated in a Foreign Currency, not later than 11:00 a.m., New York City time, four Business Days before the date of the proposed Borrowing,</w:t>
      </w:r>
    </w:p>
    <w:p>
      <w:pPr>
        <w:spacing w:after="0" w:line="1" w:lineRule="exact"/>
        <w:rPr>
          <w:sz w:val="20"/>
          <w:szCs w:val="20"/>
          <w:color w:val="auto"/>
        </w:rPr>
      </w:pPr>
    </w:p>
    <w:p>
      <w:pPr>
        <w:jc w:val="both"/>
        <w:ind w:firstLine="8"/>
        <w:spacing w:after="0" w:line="233" w:lineRule="auto"/>
        <w:tabs>
          <w:tab w:leader="none" w:pos="388"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the case of an RFR Borrowing, not later than 11:00 a.m., New York City time, four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185" w:lineRule="exact"/>
        <w:rPr>
          <w:rFonts w:ascii="Arial" w:cs="Arial" w:eastAsia="Arial" w:hAnsi="Arial"/>
          <w:sz w:val="22"/>
          <w:szCs w:val="22"/>
          <w:color w:val="auto"/>
        </w:rPr>
      </w:pPr>
    </w:p>
    <w:p>
      <w:pPr>
        <w:ind w:firstLine="1505"/>
        <w:spacing w:after="0" w:line="250" w:lineRule="auto"/>
        <w:tabs>
          <w:tab w:leader="none" w:pos="1983"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Content of Borrowing Requests</w:t>
      </w:r>
      <w:r>
        <w:rPr>
          <w:rFonts w:ascii="Arial" w:cs="Arial" w:eastAsia="Arial" w:hAnsi="Arial"/>
          <w:sz w:val="22"/>
          <w:szCs w:val="22"/>
          <w:color w:val="auto"/>
        </w:rPr>
        <w:t xml:space="preserve">. Each telephonic and written Borrowing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5" w:lineRule="exact"/>
        <w:rPr>
          <w:sz w:val="20"/>
          <w:szCs w:val="20"/>
          <w:color w:val="auto"/>
        </w:rPr>
      </w:pPr>
    </w:p>
    <w:p>
      <w:pPr>
        <w:ind w:left="1940" w:hanging="435"/>
        <w:spacing w:after="0"/>
        <w:tabs>
          <w:tab w:leader="none" w:pos="19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whether such Borrowing is to be made under the Dollar Commitments or the Multicurrency Commitments;</w:t>
      </w:r>
    </w:p>
    <w:p>
      <w:pPr>
        <w:spacing w:after="0" w:line="240" w:lineRule="exact"/>
        <w:rPr>
          <w:rFonts w:ascii="Arial" w:cs="Arial" w:eastAsia="Arial" w:hAnsi="Arial"/>
          <w:sz w:val="19"/>
          <w:szCs w:val="19"/>
          <w:color w:val="auto"/>
        </w:rPr>
      </w:pPr>
    </w:p>
    <w:p>
      <w:pPr>
        <w:ind w:left="1940" w:hanging="435"/>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aggregate amount and Currency of the requested Borrowing;</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case of a Syndicated Borrowing denominated in Dollars, whether such Borrowing is to be an ABR Borrowing or a Term Benchmark Borrowing;</w:t>
      </w:r>
    </w:p>
    <w:p>
      <w:pPr>
        <w:spacing w:after="0" w:line="174" w:lineRule="exact"/>
        <w:rPr>
          <w:rFonts w:ascii="Arial" w:cs="Arial" w:eastAsia="Arial" w:hAnsi="Arial"/>
          <w:sz w:val="22"/>
          <w:szCs w:val="22"/>
          <w:color w:val="auto"/>
        </w:rPr>
      </w:pPr>
    </w:p>
    <w:p>
      <w:pPr>
        <w:ind w:left="760" w:right="20" w:firstLine="745"/>
        <w:spacing w:after="0" w:line="250"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 the case of a Borrowing denominated in an Agreed Foreign Currency, whether such Borrowing is to be a Term Benchmark Borrowing or an RFR Borrowing;</w:t>
      </w:r>
    </w:p>
    <w:p>
      <w:pPr>
        <w:spacing w:after="0" w:line="174" w:lineRule="exact"/>
        <w:rPr>
          <w:rFonts w:ascii="Arial" w:cs="Arial" w:eastAsia="Arial" w:hAnsi="Arial"/>
          <w:sz w:val="22"/>
          <w:szCs w:val="22"/>
          <w:color w:val="auto"/>
        </w:rPr>
      </w:pPr>
    </w:p>
    <w:p>
      <w:pPr>
        <w:ind w:left="760" w:right="20" w:firstLine="745"/>
        <w:spacing w:after="0" w:line="328" w:lineRule="auto"/>
        <w:tabs>
          <w:tab w:leader="none" w:pos="1941"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in the case of a Term Benchmark Borrowing or RFR Borrowing, the Interest Period therefor, which shall be a period contemplated by the definition of the term “Interest Period” and permitted under </w:t>
      </w:r>
      <w:r>
        <w:rPr>
          <w:rFonts w:ascii="Arial" w:cs="Arial" w:eastAsia="Arial" w:hAnsi="Arial"/>
          <w:sz w:val="19"/>
          <w:szCs w:val="19"/>
          <w:u w:val="single" w:color="auto"/>
          <w:color w:val="auto"/>
        </w:rPr>
        <w:t>Section 2.02(d)</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left="760" w:right="20" w:firstLine="745"/>
        <w:spacing w:after="0" w:line="250" w:lineRule="auto"/>
        <w:tabs>
          <w:tab w:leader="none" w:pos="19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location and number of the Borrower’s account to which funds are to be disbursed, which will comply with the requirements of </w:t>
      </w:r>
      <w:r>
        <w:rPr>
          <w:rFonts w:ascii="Arial" w:cs="Arial" w:eastAsia="Arial" w:hAnsi="Arial"/>
          <w:sz w:val="22"/>
          <w:szCs w:val="22"/>
          <w:u w:val="single" w:color="auto"/>
          <w:color w:val="auto"/>
        </w:rPr>
        <w:t>Section 2.06</w:t>
      </w:r>
      <w:r>
        <w:rPr>
          <w:rFonts w:ascii="Arial" w:cs="Arial" w:eastAsia="Arial" w:hAnsi="Arial"/>
          <w:sz w:val="22"/>
          <w:szCs w:val="22"/>
          <w:color w:val="auto"/>
        </w:rPr>
        <w:t>.</w:t>
      </w:r>
    </w:p>
    <w:p>
      <w:pPr>
        <w:spacing w:after="0" w:line="175" w:lineRule="exact"/>
        <w:rPr>
          <w:sz w:val="20"/>
          <w:szCs w:val="20"/>
          <w:color w:val="auto"/>
        </w:rPr>
      </w:pPr>
    </w:p>
    <w:p>
      <w:pPr>
        <w:jc w:val="both"/>
        <w:ind w:firstLine="1505"/>
        <w:spacing w:after="0"/>
        <w:tabs>
          <w:tab w:leader="none" w:pos="1929"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 Borrowing Request in accordance with this Section, the Administrative Agent shall advise each applicable Lender of the details thereof and of the amounts of such Lender’s Loan to be made as part of the requested Borrowing.</w:t>
      </w:r>
    </w:p>
    <w:p>
      <w:pPr>
        <w:spacing w:after="0" w:line="186" w:lineRule="exact"/>
        <w:rPr>
          <w:rFonts w:ascii="Arial" w:cs="Arial" w:eastAsia="Arial" w:hAnsi="Arial"/>
          <w:sz w:val="22"/>
          <w:szCs w:val="22"/>
          <w:color w:val="auto"/>
        </w:rPr>
      </w:pPr>
    </w:p>
    <w:p>
      <w:pPr>
        <w:jc w:val="both"/>
        <w:ind w:firstLine="1505"/>
        <w:spacing w:after="0" w:line="275" w:lineRule="auto"/>
        <w:tabs>
          <w:tab w:leader="none" w:pos="192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Failure to Elect</w:t>
      </w:r>
      <w:r>
        <w:rPr>
          <w:rFonts w:ascii="Arial" w:cs="Arial" w:eastAsia="Arial" w:hAnsi="Arial"/>
          <w:sz w:val="19"/>
          <w:szCs w:val="19"/>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or Currency of a Syndicated Borrowing is specified, then the requested Borrowing shall be a Term Benchmark Borrowing denominated in Dollars having an Interest Period of one month and, if an Agreed Foreign Currency has been specified, the requested Syndicated Borrowing shall be a Term Benchmark Borrowing or RFR Borrowing, as applicable, denominated in such Agreed Foreign Currency and having an Interest Period of one month. If a Term Benchmark Borrowing or RFR Borrowing is requested but no Interest Period is specified, (i) if the Currency specified for such</w:t>
      </w:r>
    </w:p>
    <w:p>
      <w:pPr>
        <w:spacing w:after="0" w:line="16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0" w:name="page131"/>
    <w:bookmarkEnd w:id="130"/>
    <w:p>
      <w:pPr>
        <w:jc w:val="both"/>
        <w:spacing w:after="0" w:line="238" w:lineRule="auto"/>
        <w:rPr>
          <w:sz w:val="20"/>
          <w:szCs w:val="20"/>
          <w:color w:val="auto"/>
        </w:rPr>
      </w:pPr>
      <w:r>
        <w:rPr>
          <w:rFonts w:ascii="Arial" w:cs="Arial" w:eastAsia="Arial" w:hAnsi="Arial"/>
          <w:sz w:val="22"/>
          <w:szCs w:val="22"/>
          <w:color w:val="auto"/>
        </w:rPr>
        <w:t>Borrowing is Dollars (or if no Currency has been so specified), the requested Borrowing shall be a Term Benchmark Borrowing denominated in Dollars having an Interest Period of one month’s duration, and (ii) if the Currency specified for such Borrowing is an Agreed Foreign Currency (other than Sterling and Swiss Franc), the Borrower shall be deemed to have selected an Interest Period of one month’s duration.</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Swingline Loans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3" w:lineRule="auto"/>
        <w:tabs>
          <w:tab w:leader="none" w:pos="192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Agreement to Make Swingline Loans</w:t>
      </w:r>
      <w:r>
        <w:rPr>
          <w:rFonts w:ascii="Arial" w:cs="Arial" w:eastAsia="Arial" w:hAnsi="Arial"/>
          <w:sz w:val="19"/>
          <w:szCs w:val="19"/>
          <w:color w:val="auto"/>
        </w:rPr>
        <w:t xml:space="preserve">. Subject to the terms and conditions set forth herein, the Swingline Lender agrees 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$70,000,000, (ii) the total Revolving Dollar Credit Exposures of Dollar Lenders with Dollar Commitments then in effect exceeding the aggregate Dollar Commitments at such time, (iii) the total Revolving Multicurrency Credit Exposures of Multicurrency Lenders with Multicurrency Commitments then in effect exceeding the aggregate Multicurrency Commitments at such time or (iv) the total Covered Debt Amount exceeding the Borrowing Base then in effect;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w:t>
      </w:r>
    </w:p>
    <w:p>
      <w:pPr>
        <w:spacing w:after="0" w:line="160" w:lineRule="exact"/>
        <w:rPr>
          <w:rFonts w:ascii="Arial" w:cs="Arial" w:eastAsia="Arial" w:hAnsi="Arial"/>
          <w:sz w:val="19"/>
          <w:szCs w:val="19"/>
          <w:color w:val="auto"/>
        </w:rPr>
      </w:pPr>
    </w:p>
    <w:p>
      <w:pPr>
        <w:jc w:val="both"/>
        <w:ind w:firstLine="1505"/>
        <w:spacing w:after="0" w:line="275" w:lineRule="auto"/>
        <w:tabs>
          <w:tab w:leader="none" w:pos="194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Notice of Swingline Loans by the Borrower</w:t>
      </w:r>
      <w:r>
        <w:rPr>
          <w:rFonts w:ascii="Arial" w:cs="Arial" w:eastAsia="Arial" w:hAnsi="Arial"/>
          <w:sz w:val="19"/>
          <w:szCs w:val="19"/>
          <w:color w:val="auto"/>
        </w:rPr>
        <w:t xml:space="preserve">. To request a Swingline Loan, the Borrower shall notify the Administrative Agent of such request by telephone (confirmed by telecopy) not later than 2:00 p.m., New York City time, on the day of such proposed Swingline Loan. Each such notice shall be irrevocable and shall specify the requested date (which shall be a Business Day) and the amount of the requested Swingline Loan. The Administrative Agent will promptly advise the Swingline Lender of any such notice received from the Borrower. The Swingline Lender shall make each Swingline Loan available to the Borrower by means of a credit to the general deposit account of the Borrower with the Swingline Lender (or, in the case of a Swingline Loan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by remittance to the Issuing Bank) by 3:00 p.m., New York City time, on the requested date of such Swingline Loan.</w:t>
      </w:r>
    </w:p>
    <w:p>
      <w:pPr>
        <w:spacing w:after="0" w:line="157" w:lineRule="exact"/>
        <w:rPr>
          <w:rFonts w:ascii="Arial" w:cs="Arial" w:eastAsia="Arial" w:hAnsi="Arial"/>
          <w:sz w:val="19"/>
          <w:szCs w:val="19"/>
          <w:color w:val="auto"/>
        </w:rPr>
      </w:pPr>
    </w:p>
    <w:p>
      <w:pPr>
        <w:jc w:val="both"/>
        <w:ind w:firstLine="1505"/>
        <w:spacing w:after="0" w:line="273" w:lineRule="auto"/>
        <w:tabs>
          <w:tab w:leader="none" w:pos="1943"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Participations by Lenders in Swingline Loans</w:t>
      </w:r>
      <w:r>
        <w:rPr>
          <w:rFonts w:ascii="Arial" w:cs="Arial" w:eastAsia="Arial" w:hAnsi="Arial"/>
          <w:sz w:val="19"/>
          <w:szCs w:val="19"/>
          <w:color w:val="auto"/>
        </w:rPr>
        <w:t xml:space="preserve">. The Swingline Lender may by written notice given to the Administrative Agent not later than 10:00 a.m., New York City time on any Business Day, require the Lenders of the applicable Class (other than Non-Extending Lenders for which such Non-Extending Lender’s applicable Non-Extending Commitment Termination Date shall have occurred) to acquire participations on such Business Day in all or a portion of the Swingline Loans of such Class outstanding.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Swingline Lender, such Lender’s Applicable Percentage, as the case may be, of such Swingline Loan or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Swingline</w:t>
      </w:r>
    </w:p>
    <w:p>
      <w:pPr>
        <w:spacing w:after="0" w:line="16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1" w:name="page132"/>
    <w:bookmarkEnd w:id="131"/>
    <w:p>
      <w:pPr>
        <w:jc w:val="both"/>
        <w:spacing w:after="0" w:line="238" w:lineRule="auto"/>
        <w:rPr>
          <w:sz w:val="20"/>
          <w:szCs w:val="20"/>
          <w:color w:val="auto"/>
        </w:rPr>
      </w:pPr>
      <w:r>
        <w:rPr>
          <w:rFonts w:ascii="Arial" w:cs="Arial" w:eastAsia="Arial" w:hAnsi="Arial"/>
          <w:sz w:val="22"/>
          <w:szCs w:val="22"/>
          <w:color w:val="auto"/>
        </w:rPr>
        <w:t xml:space="preserve">Loan pursuant to this </w:t>
      </w:r>
      <w:r>
        <w:rPr>
          <w:rFonts w:ascii="Arial" w:cs="Arial" w:eastAsia="Arial" w:hAnsi="Arial"/>
          <w:sz w:val="22"/>
          <w:szCs w:val="22"/>
          <w:u w:val="single" w:color="auto"/>
          <w:color w:val="auto"/>
        </w:rPr>
        <w:t>Section 2.04(c)</w:t>
      </w:r>
      <w:r>
        <w:rPr>
          <w:rFonts w:ascii="Arial" w:cs="Arial" w:eastAsia="Arial" w:hAnsi="Arial"/>
          <w:sz w:val="22"/>
          <w:szCs w:val="22"/>
          <w:color w:val="auto"/>
        </w:rPr>
        <w:t xml:space="preserve"> if (x) the conditions set forth in </w:t>
      </w:r>
      <w:r>
        <w:rPr>
          <w:rFonts w:ascii="Arial" w:cs="Arial" w:eastAsia="Arial" w:hAnsi="Arial"/>
          <w:sz w:val="22"/>
          <w:szCs w:val="22"/>
          <w:u w:val="single" w:color="auto"/>
          <w:color w:val="auto"/>
        </w:rPr>
        <w:t>Section 4.02</w:t>
      </w:r>
      <w:r>
        <w:rPr>
          <w:rFonts w:ascii="Arial" w:cs="Arial" w:eastAsia="Arial" w:hAnsi="Arial"/>
          <w:sz w:val="22"/>
          <w:szCs w:val="22"/>
          <w:color w:val="auto"/>
        </w:rPr>
        <w:t xml:space="preserve"> would not be satisfied in respect of a Borrowing at the time such Swingline Loan was made and (y) the Required Lenders of the respective Class shall have so notified the Swingline Lender in writing and shall not have subsequently determined that the circumstances giving rise to such conditions not being satisfied no longer exist.</w:t>
      </w:r>
    </w:p>
    <w:p>
      <w:pPr>
        <w:spacing w:after="0" w:line="185"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Subject to the foregoing, each Lender acknowledges and agrees that its obligation to acquire participations in Swingline Loans pursuant to this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The purchase of participations in a Swingline Loan pursuant to this paragraph shall not relieve the Borrower of any default in the payment thereof.</w:t>
      </w:r>
    </w:p>
    <w:p>
      <w:pPr>
        <w:spacing w:after="0" w:line="160" w:lineRule="exact"/>
        <w:rPr>
          <w:sz w:val="20"/>
          <w:szCs w:val="20"/>
          <w:color w:val="auto"/>
        </w:rPr>
      </w:pPr>
    </w:p>
    <w:p>
      <w:pPr>
        <w:jc w:val="both"/>
        <w:ind w:firstLine="1505"/>
        <w:spacing w:after="0" w:line="271" w:lineRule="auto"/>
        <w:tabs>
          <w:tab w:leader="none" w:pos="192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Resignation and Replacement of Swingline Lender</w:t>
      </w:r>
      <w:r>
        <w:rPr>
          <w:rFonts w:ascii="Arial" w:cs="Arial" w:eastAsia="Arial" w:hAnsi="Arial"/>
          <w:sz w:val="19"/>
          <w:szCs w:val="19"/>
          <w:color w:val="auto"/>
        </w:rPr>
        <w:t xml:space="preserve">. The Swingline Lender may resign and be replaced at any time by written agreement among the Borrower, the Administrative Agent, the resigning Swingline Lender and the successor Swingline Lender. The Administrative Agent shall notify the Lenders of any such resignation and replacement of the Swingline Lender. In addition to the foregoing, if a Lender becomes, and during the period it remains, a Defaulting Lender, and if any Default has arisen from a failure of the Borrower to comply with </w:t>
      </w:r>
      <w:r>
        <w:rPr>
          <w:rFonts w:ascii="Arial" w:cs="Arial" w:eastAsia="Arial" w:hAnsi="Arial"/>
          <w:sz w:val="19"/>
          <w:szCs w:val="19"/>
          <w:u w:val="single" w:color="auto"/>
          <w:color w:val="auto"/>
        </w:rPr>
        <w:t>Section 2.19(a)</w:t>
      </w:r>
      <w:r>
        <w:rPr>
          <w:rFonts w:ascii="Arial" w:cs="Arial" w:eastAsia="Arial" w:hAnsi="Arial"/>
          <w:sz w:val="19"/>
          <w:szCs w:val="19"/>
          <w:color w:val="auto"/>
        </w:rPr>
        <w:t>, then the Swingline Lender may, upon prior written notice to the Borrower and the Administrative Agent, resign as Swingline Lender, effective at the close of business New York City time on a date specified in such notice (which date may not be less than five (5) Business Days after the date of such notice). On or after the effective date of any such resignation, the Borrower and the Administrative Agent may, by written agreement, appoint a successor Swingline Lender. The Administrative Agent shall notify the Lenders of any such appointment of a successor Swingline Lender. Upon the effectiveness of any resignation of the Swingline Lender, the Borrower shall repay in full all outstanding Swingline Loans together with all accrued interest thereon. From and after the effective date of the appointment of a successor Swingline Lender, (i) the successor Swingline Lender shall have all the rights and obligations of the replaced Swingline Lender under this Agreement with respect to Swingline Loans to be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w:t>
      </w:r>
    </w:p>
    <w:p>
      <w:pPr>
        <w:spacing w:after="0" w:line="167"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color w:val="auto"/>
        </w:rPr>
        <w:t>hereunder, the replaced Swingline Lender shall have no obligation to make additional Swingline Loans.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Letters of Credit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9" w:lineRule="auto"/>
        <w:tabs>
          <w:tab w:leader="none" w:pos="195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Subject to the terms and conditions set forth herein, in addition to the Loans provided for in </w:t>
      </w:r>
      <w:r>
        <w:rPr>
          <w:rFonts w:ascii="Arial" w:cs="Arial" w:eastAsia="Arial" w:hAnsi="Arial"/>
          <w:sz w:val="19"/>
          <w:szCs w:val="19"/>
          <w:u w:val="single" w:color="auto"/>
          <w:color w:val="auto"/>
        </w:rPr>
        <w:t>Section 2.01</w:t>
      </w:r>
      <w:r>
        <w:rPr>
          <w:rFonts w:ascii="Arial" w:cs="Arial" w:eastAsia="Arial" w:hAnsi="Arial"/>
          <w:sz w:val="19"/>
          <w:szCs w:val="19"/>
          <w:color w:val="auto"/>
        </w:rPr>
        <w:t>, the Borrower may request the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in such form as is acceptable to the Issuing Bank in its reasonable determination. Letters of Credit issued hereunder shall constitute utilization of the Commitments up to the aggregate amount available to be drawn thereunder.</w:t>
      </w:r>
    </w:p>
    <w:p>
      <w:pPr>
        <w:spacing w:after="0" w:line="150" w:lineRule="exact"/>
        <w:rPr>
          <w:rFonts w:ascii="Arial" w:cs="Arial" w:eastAsia="Arial" w:hAnsi="Arial"/>
          <w:sz w:val="19"/>
          <w:szCs w:val="19"/>
          <w:color w:val="auto"/>
        </w:rPr>
      </w:pPr>
    </w:p>
    <w:p>
      <w:pPr>
        <w:jc w:val="both"/>
        <w:ind w:firstLine="1505"/>
        <w:spacing w:after="0" w:line="271" w:lineRule="auto"/>
        <w:tabs>
          <w:tab w:leader="none" w:pos="1943"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or Extension</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9"/>
          <w:szCs w:val="19"/>
          <w:u w:val="single" w:color="auto"/>
          <w:color w:val="auto"/>
        </w:rPr>
        <w:t>paragraph (d)</w:t>
      </w:r>
      <w:r>
        <w:rPr>
          <w:rFonts w:ascii="Arial" w:cs="Arial" w:eastAsia="Arial" w:hAnsi="Arial"/>
          <w:sz w:val="19"/>
          <w:szCs w:val="19"/>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Issuing Bank, the Borrower also shall submit a letter of credit application on the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Issuing Bank relating to any Letter of Credit, the terms and conditions of this Agreement shall control.</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505"/>
        <w:spacing w:after="0" w:line="245" w:lineRule="auto"/>
        <w:tabs>
          <w:tab w:leader="none" w:pos="1943"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Limitations on Amounts</w:t>
      </w:r>
      <w:r>
        <w:rPr>
          <w:rFonts w:ascii="Arial" w:cs="Arial" w:eastAsia="Arial" w:hAnsi="Arial"/>
          <w:sz w:val="21"/>
          <w:szCs w:val="21"/>
          <w:color w:val="auto"/>
        </w:rPr>
        <w:t xml:space="preserve">.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LC Exposure of the Issuing Bank (determined for these purposes without giving effect to the participations therein of the Lenders pursuant to </w:t>
      </w:r>
      <w:r>
        <w:rPr>
          <w:rFonts w:ascii="Arial" w:cs="Arial" w:eastAsia="Arial" w:hAnsi="Arial"/>
          <w:sz w:val="21"/>
          <w:szCs w:val="21"/>
          <w:u w:val="single" w:color="auto"/>
          <w:color w:val="auto"/>
        </w:rPr>
        <w:t>paragraph (e)</w:t>
      </w:r>
      <w:r>
        <w:rPr>
          <w:rFonts w:ascii="Arial" w:cs="Arial" w:eastAsia="Arial" w:hAnsi="Arial"/>
          <w:sz w:val="21"/>
          <w:szCs w:val="21"/>
          <w:color w:val="auto"/>
        </w:rPr>
        <w:t xml:space="preserve"> of this Section) shall not exceed $50,000,000; (ii) the total Revolving Dollar Credit Exposure of Dollar Lenders with Dollar Commitments then in effect shall not exceed the aggregate Dollar Commitments at such time; (iii) the total Revolving Multicurrency Credit Exposure of Multicurrency Lenders with Multicurrency Commitments then in effect shall not exceed the aggregate Multicurrency Commitments at such time; and (iv) the total Covered Debt Amount shall not exceed the Borrowing Base then in effect.</w:t>
      </w:r>
    </w:p>
    <w:p>
      <w:pPr>
        <w:spacing w:after="0" w:line="184" w:lineRule="exact"/>
        <w:rPr>
          <w:rFonts w:ascii="Arial" w:cs="Arial" w:eastAsia="Arial" w:hAnsi="Arial"/>
          <w:sz w:val="21"/>
          <w:szCs w:val="21"/>
          <w:color w:val="auto"/>
        </w:rPr>
      </w:pPr>
    </w:p>
    <w:p>
      <w:pPr>
        <w:ind w:firstLine="1505"/>
        <w:spacing w:after="0" w:line="250" w:lineRule="auto"/>
        <w:tabs>
          <w:tab w:leader="none" w:pos="1929"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Each Letter of Credit shall expire at or prior to the close of business on the date twelve months after the date of the issuance of such Letter of Credit (or, in</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3" w:name="page134"/>
    <w:bookmarkEnd w:id="133"/>
    <w:p>
      <w:pPr>
        <w:jc w:val="both"/>
        <w:spacing w:after="0" w:line="277" w:lineRule="auto"/>
        <w:rPr>
          <w:sz w:val="20"/>
          <w:szCs w:val="20"/>
          <w:color w:val="auto"/>
        </w:rPr>
      </w:pPr>
      <w:r>
        <w:rPr>
          <w:rFonts w:ascii="Arial" w:cs="Arial" w:eastAsia="Arial" w:hAnsi="Arial"/>
          <w:sz w:val="19"/>
          <w:szCs w:val="19"/>
          <w:color w:val="auto"/>
        </w:rPr>
        <w:t xml:space="preserve">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Issuing Bank and the Administrative Agent.</w:t>
      </w:r>
    </w:p>
    <w:p>
      <w:pPr>
        <w:spacing w:after="0" w:line="152" w:lineRule="exact"/>
        <w:rPr>
          <w:sz w:val="20"/>
          <w:szCs w:val="20"/>
          <w:color w:val="auto"/>
        </w:rPr>
      </w:pPr>
    </w:p>
    <w:p>
      <w:pPr>
        <w:jc w:val="both"/>
        <w:ind w:firstLine="1505"/>
        <w:spacing w:after="0" w:line="271" w:lineRule="auto"/>
        <w:tabs>
          <w:tab w:leader="none" w:pos="1943"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By the issuance of a Letter of Credit of a Class (or an amendment to a Letter of Credit increasing the amount thereof) by the Issuing Bank, and without any further action on the part of the Issuing Bank or the Lenders, the Issuing Bank hereby grants to each Lender (other than any Non-Extending Lender for which such Non-Extending Lender’s applicable Non-Extending Commitment Termination Date has occurred) of such Class, and each Lender of such Class hereby acquires from the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purchase a participation in a Letter of Credit pursuant to this </w:t>
      </w:r>
      <w:r>
        <w:rPr>
          <w:rFonts w:ascii="Arial" w:cs="Arial" w:eastAsia="Arial" w:hAnsi="Arial"/>
          <w:sz w:val="19"/>
          <w:szCs w:val="19"/>
          <w:u w:val="single" w:color="auto"/>
          <w:color w:val="auto"/>
        </w:rPr>
        <w:t>Section 2.05(e)</w:t>
      </w:r>
      <w:r>
        <w:rPr>
          <w:rFonts w:ascii="Arial" w:cs="Arial" w:eastAsia="Arial" w:hAnsi="Arial"/>
          <w:sz w:val="19"/>
          <w:szCs w:val="19"/>
          <w:color w:val="auto"/>
        </w:rPr>
        <w:t xml:space="preserve"> if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would not be satisfied in respect of a Borrowing at the time such Letter of Credit was issued and (y) the Required Lenders of the respective Class shall have so notified the Issuing Bank in writing and shall not have subsequently determined that the circumstances giving rise to such conditions not being satisfied no longer exist.</w:t>
      </w:r>
    </w:p>
    <w:p>
      <w:pPr>
        <w:spacing w:after="0" w:line="200" w:lineRule="exact"/>
        <w:rPr>
          <w:sz w:val="20"/>
          <w:szCs w:val="20"/>
          <w:color w:val="auto"/>
        </w:rPr>
      </w:pPr>
    </w:p>
    <w:p>
      <w:pPr>
        <w:spacing w:after="0" w:line="211"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In consideration and in furtherance of the foregoing, each Lender of a Class (other than any Non-Extending Lender for which such Non-Extending Lender’s applicable Non-Extending Commitment Termination Date has occurred) hereby absolutely and unconditionally agrees to pay to the Administrative Agent, for account of the Issuing Bank, such Lender’s Applicable Dollar Percentage or Applicable Multicurrency Percentage, as the case may be, of each LC Disbursement made by the Issuing Bank in respect of Letters of Credit of such Class promptly upon the request of the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Issuing Bank the amounts so received by it from the Lenders. Promptly following receipt by the Administrative Agent of any payment from the Borrower pursuant to the next following paragraph, the Administrative Agent shall distribute such payment to the Issuing Bank or, to the extent that the Lenders have made payments pursuant to this paragraph to reimburse the Issuing Bank, then to such Lenders and the Issuing Bank as their interests may appear. Any payment made by a Lender pursuant to this paragraph to reimburse the</w:t>
      </w:r>
    </w:p>
    <w:p>
      <w:pPr>
        <w:spacing w:after="0" w:line="17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4" w:name="page135"/>
    <w:bookmarkEnd w:id="134"/>
    <w:p>
      <w:pPr>
        <w:spacing w:after="0" w:line="250" w:lineRule="auto"/>
        <w:rPr>
          <w:sz w:val="20"/>
          <w:szCs w:val="20"/>
          <w:color w:val="auto"/>
        </w:rPr>
      </w:pPr>
      <w:r>
        <w:rPr>
          <w:rFonts w:ascii="Arial" w:cs="Arial" w:eastAsia="Arial" w:hAnsi="Arial"/>
          <w:sz w:val="22"/>
          <w:szCs w:val="22"/>
          <w:color w:val="auto"/>
        </w:rPr>
        <w:t>Issuing Bank for any LC Disbursement shall not constitute a Loan and shall not relieve the Borrower of its obligation to reimburse such LC Disbursement.</w:t>
      </w:r>
    </w:p>
    <w:p>
      <w:pPr>
        <w:spacing w:after="0" w:line="175" w:lineRule="exact"/>
        <w:rPr>
          <w:sz w:val="20"/>
          <w:szCs w:val="20"/>
          <w:color w:val="auto"/>
        </w:rPr>
      </w:pPr>
    </w:p>
    <w:p>
      <w:pPr>
        <w:jc w:val="both"/>
        <w:ind w:firstLine="1505"/>
        <w:spacing w:after="0" w:line="245" w:lineRule="auto"/>
        <w:tabs>
          <w:tab w:leader="none" w:pos="1929"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Reimbursement</w:t>
      </w:r>
      <w:r>
        <w:rPr>
          <w:rFonts w:ascii="Arial" w:cs="Arial" w:eastAsia="Arial" w:hAnsi="Arial"/>
          <w:sz w:val="21"/>
          <w:szCs w:val="21"/>
          <w:color w:val="auto"/>
        </w:rPr>
        <w:t xml:space="preserve">. If the Issuing Bank shall make any LC Disbursement in respect of a Letter of Credit, the Borrower shall reimburse the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2.04</w:t>
      </w:r>
      <w:r>
        <w:rPr>
          <w:rFonts w:ascii="Arial" w:cs="Arial" w:eastAsia="Arial" w:hAnsi="Arial"/>
          <w:sz w:val="21"/>
          <w:szCs w:val="21"/>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81"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34" w:lineRule="exact"/>
        <w:rPr>
          <w:sz w:val="20"/>
          <w:szCs w:val="20"/>
          <w:color w:val="auto"/>
        </w:rPr>
      </w:pPr>
    </w:p>
    <w:p>
      <w:pPr>
        <w:jc w:val="both"/>
        <w:ind w:firstLine="1505"/>
        <w:spacing w:after="0" w:line="245" w:lineRule="auto"/>
        <w:tabs>
          <w:tab w:leader="none" w:pos="1997"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Obligations Absolute</w:t>
      </w:r>
      <w:r>
        <w:rPr>
          <w:rFonts w:ascii="Arial" w:cs="Arial" w:eastAsia="Arial" w:hAnsi="Arial"/>
          <w:sz w:val="21"/>
          <w:szCs w:val="21"/>
          <w:color w:val="auto"/>
        </w:rPr>
        <w:t xml:space="preserve">. The Borrower’s obligation to reimburse LC Disbursements as provided in </w:t>
      </w:r>
      <w:r>
        <w:rPr>
          <w:rFonts w:ascii="Arial" w:cs="Arial" w:eastAsia="Arial" w:hAnsi="Arial"/>
          <w:sz w:val="21"/>
          <w:szCs w:val="21"/>
          <w:u w:val="single" w:color="auto"/>
          <w:color w:val="auto"/>
        </w:rPr>
        <w:t>paragraph (f)</w:t>
      </w:r>
      <w:r>
        <w:rPr>
          <w:rFonts w:ascii="Arial" w:cs="Arial" w:eastAsia="Arial" w:hAnsi="Arial"/>
          <w:sz w:val="21"/>
          <w:szCs w:val="21"/>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84"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Neither the Administrative Agent, the Lenders nor the Issuing Bank, nor any of their Related Parties, shall have any liability or responsibility by reason of or in connection with the issuance or transfer of any Letter of Credit by the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be construed to excuse the Issuing Bank from liability to the Borrower to the extent of any direct damages (as opposed to consequential damages, claims in respect of which are hereby waived by the Borrower to the extent permitted by applicable law) suffered by the Borrower that are caused by the Issuing Bank’s gross negligence or willful misconduct when determining</w:t>
      </w:r>
    </w:p>
    <w:p>
      <w:pPr>
        <w:spacing w:after="0" w:line="18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5" w:name="page136"/>
    <w:bookmarkEnd w:id="135"/>
    <w:p>
      <w:pPr>
        <w:spacing w:after="0" w:line="250" w:lineRule="auto"/>
        <w:rPr>
          <w:sz w:val="20"/>
          <w:szCs w:val="20"/>
          <w:color w:val="auto"/>
        </w:rPr>
      </w:pPr>
      <w:r>
        <w:rPr>
          <w:rFonts w:ascii="Arial" w:cs="Arial" w:eastAsia="Arial" w:hAnsi="Arial"/>
          <w:sz w:val="22"/>
          <w:szCs w:val="22"/>
          <w:color w:val="auto"/>
        </w:rPr>
        <w:t>whether drafts and other documents presented under a Letter of Credit comply with the terms thereof. The parties hereto expressly agree that:</w:t>
      </w:r>
    </w:p>
    <w:p>
      <w:pPr>
        <w:spacing w:after="0" w:line="175" w:lineRule="exact"/>
        <w:rPr>
          <w:sz w:val="20"/>
          <w:szCs w:val="20"/>
          <w:color w:val="auto"/>
        </w:rPr>
      </w:pPr>
    </w:p>
    <w:p>
      <w:pPr>
        <w:jc w:val="both"/>
        <w:ind w:left="760" w:firstLine="745"/>
        <w:spacing w:after="0" w:line="238" w:lineRule="auto"/>
        <w:tabs>
          <w:tab w:leader="none" w:pos="1941"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Issuing Bank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84" w:lineRule="exact"/>
        <w:rPr>
          <w:rFonts w:ascii="Arial" w:cs="Arial" w:eastAsia="Arial" w:hAnsi="Arial"/>
          <w:sz w:val="22"/>
          <w:szCs w:val="22"/>
          <w:color w:val="auto"/>
        </w:rPr>
      </w:pPr>
    </w:p>
    <w:p>
      <w:pPr>
        <w:ind w:left="760" w:right="40" w:firstLine="745"/>
        <w:spacing w:after="0" w:line="274" w:lineRule="auto"/>
        <w:tabs>
          <w:tab w:leader="none" w:pos="1941"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Issuing Bank shall have the right, in its sole discretion, to decline to accept such documents and to make such payment if such documents are not in strict compliance with the terms of such Letter of Credit; and</w:t>
      </w:r>
    </w:p>
    <w:p>
      <w:pPr>
        <w:spacing w:after="0" w:line="150" w:lineRule="exact"/>
        <w:rPr>
          <w:rFonts w:ascii="Arial" w:cs="Arial" w:eastAsia="Arial" w:hAnsi="Arial"/>
          <w:sz w:val="21"/>
          <w:szCs w:val="21"/>
          <w:color w:val="auto"/>
        </w:rPr>
      </w:pPr>
    </w:p>
    <w:p>
      <w:pPr>
        <w:jc w:val="both"/>
        <w:ind w:left="760" w:firstLine="745"/>
        <w:spacing w:after="0" w:line="297" w:lineRule="auto"/>
        <w:tabs>
          <w:tab w:leader="none" w:pos="19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this sentence shall establish the standard of care to be exercised by the Issuing Bank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34" w:lineRule="exact"/>
        <w:rPr>
          <w:sz w:val="20"/>
          <w:szCs w:val="20"/>
          <w:color w:val="auto"/>
        </w:rPr>
      </w:pPr>
    </w:p>
    <w:p>
      <w:pPr>
        <w:jc w:val="both"/>
        <w:ind w:firstLine="1505"/>
        <w:spacing w:after="0" w:line="248" w:lineRule="auto"/>
        <w:tabs>
          <w:tab w:leader="none" w:pos="1943" w:val="left"/>
        </w:tabs>
        <w:numPr>
          <w:ilvl w:val="1"/>
          <w:numId w:val="91"/>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The Issuing Bank shall, within a reasonable time following its receipt thereof, examine all documents purporting to represent a demand for payment under a Letter of Credit. The Issuing Bank shall promptly after such examination notify the Administrative Agent and the Borrower by telephone (confirmed by telecopy) of such demand for payment and whether the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relieve the Borrower of its obligation to reimburse the Issuing Bank and the applicable Lenders with respect to any such LC Disbursement.</w:t>
      </w:r>
    </w:p>
    <w:p>
      <w:pPr>
        <w:spacing w:after="0" w:line="176" w:lineRule="exact"/>
        <w:rPr>
          <w:rFonts w:ascii="Arial" w:cs="Arial" w:eastAsia="Arial" w:hAnsi="Arial"/>
          <w:sz w:val="21"/>
          <w:szCs w:val="21"/>
          <w:color w:val="auto"/>
        </w:rPr>
      </w:pPr>
    </w:p>
    <w:p>
      <w:pPr>
        <w:jc w:val="both"/>
        <w:ind w:firstLine="1505"/>
        <w:spacing w:after="0" w:line="270" w:lineRule="auto"/>
        <w:tabs>
          <w:tab w:leader="none" w:pos="1943"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the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within two Business Days following the date when due pursuant to </w:t>
      </w:r>
      <w:r>
        <w:rPr>
          <w:rFonts w:ascii="Arial" w:cs="Arial" w:eastAsia="Arial" w:hAnsi="Arial"/>
          <w:sz w:val="19"/>
          <w:szCs w:val="19"/>
          <w:u w:val="single" w:color="auto"/>
          <w:color w:val="auto"/>
        </w:rPr>
        <w:t>paragraph</w:t>
      </w:r>
    </w:p>
    <w:p>
      <w:pPr>
        <w:spacing w:after="0" w:line="4" w:lineRule="exact"/>
        <w:rPr>
          <w:rFonts w:ascii="Arial" w:cs="Arial" w:eastAsia="Arial" w:hAnsi="Arial"/>
          <w:sz w:val="19"/>
          <w:szCs w:val="19"/>
          <w:color w:val="auto"/>
        </w:rPr>
      </w:pPr>
    </w:p>
    <w:p>
      <w:pPr>
        <w:jc w:val="both"/>
        <w:ind w:right="20" w:firstLine="8"/>
        <w:spacing w:after="0" w:line="266" w:lineRule="auto"/>
        <w:tabs>
          <w:tab w:leader="none" w:pos="293" w:val="left"/>
        </w:tabs>
        <w:numPr>
          <w:ilvl w:val="0"/>
          <w:numId w:val="92"/>
        </w:numPr>
        <w:rPr>
          <w:rFonts w:ascii="Arial" w:cs="Arial" w:eastAsia="Arial" w:hAnsi="Arial"/>
          <w:sz w:val="19"/>
          <w:szCs w:val="19"/>
          <w:u w:val="single" w:color="auto"/>
          <w:color w:val="auto"/>
        </w:rPr>
      </w:pPr>
      <w:r>
        <w:rPr>
          <w:rFonts w:ascii="Arial" w:cs="Arial" w:eastAsia="Arial" w:hAnsi="Arial"/>
          <w:sz w:val="19"/>
          <w:szCs w:val="19"/>
          <w:color w:val="auto"/>
        </w:rPr>
        <w:t xml:space="preserve">of this Section, then the provisions of </w:t>
      </w:r>
      <w:r>
        <w:rPr>
          <w:rFonts w:ascii="Arial" w:cs="Arial" w:eastAsia="Arial" w:hAnsi="Arial"/>
          <w:sz w:val="19"/>
          <w:szCs w:val="19"/>
          <w:u w:val="single" w:color="auto"/>
          <w:color w:val="auto"/>
        </w:rPr>
        <w:t>Section 2.12(d)</w:t>
      </w:r>
      <w:r>
        <w:rPr>
          <w:rFonts w:ascii="Arial" w:cs="Arial" w:eastAsia="Arial" w:hAnsi="Arial"/>
          <w:sz w:val="19"/>
          <w:szCs w:val="19"/>
          <w:color w:val="auto"/>
        </w:rPr>
        <w:t xml:space="preserve"> shall apply. Interest accrued pursuant to this paragraph shall be for account of the Issuing Bank, except that interest accrued on and after the date of payment by any Lender pursuant to </w:t>
      </w:r>
      <w:r>
        <w:rPr>
          <w:rFonts w:ascii="Arial" w:cs="Arial" w:eastAsia="Arial" w:hAnsi="Arial"/>
          <w:sz w:val="19"/>
          <w:szCs w:val="19"/>
          <w:u w:val="single" w:color="auto"/>
          <w:color w:val="auto"/>
        </w:rPr>
        <w:t>paragraph</w:t>
      </w:r>
    </w:p>
    <w:p>
      <w:pPr>
        <w:spacing w:after="0" w:line="1" w:lineRule="exact"/>
        <w:rPr>
          <w:rFonts w:ascii="Arial" w:cs="Arial" w:eastAsia="Arial" w:hAnsi="Arial"/>
          <w:sz w:val="19"/>
          <w:szCs w:val="19"/>
          <w:u w:val="single" w:color="auto"/>
          <w:color w:val="auto"/>
        </w:rPr>
      </w:pPr>
    </w:p>
    <w:p>
      <w:pPr>
        <w:ind w:left="280" w:hanging="272"/>
        <w:spacing w:after="0"/>
        <w:tabs>
          <w:tab w:leader="none" w:pos="280" w:val="left"/>
        </w:tabs>
        <w:numPr>
          <w:ilvl w:val="0"/>
          <w:numId w:val="93"/>
        </w:numPr>
        <w:rPr>
          <w:rFonts w:ascii="Arial" w:cs="Arial" w:eastAsia="Arial" w:hAnsi="Arial"/>
          <w:sz w:val="22"/>
          <w:szCs w:val="22"/>
          <w:u w:val="single" w:color="auto"/>
          <w:color w:val="auto"/>
        </w:rPr>
      </w:pPr>
      <w:r>
        <w:rPr>
          <w:rFonts w:ascii="Arial" w:cs="Arial" w:eastAsia="Arial" w:hAnsi="Arial"/>
          <w:sz w:val="22"/>
          <w:szCs w:val="22"/>
          <w:color w:val="auto"/>
        </w:rPr>
        <w:t>of this Section to reimburse the Issuing Bank shall be for account of such Lender to the extent of such payment.</w:t>
      </w:r>
    </w:p>
    <w:p>
      <w:pPr>
        <w:spacing w:after="0" w:line="188" w:lineRule="exact"/>
        <w:rPr>
          <w:rFonts w:ascii="Arial" w:cs="Arial" w:eastAsia="Arial" w:hAnsi="Arial"/>
          <w:sz w:val="22"/>
          <w:szCs w:val="22"/>
          <w:u w:val="single" w:color="auto"/>
          <w:color w:val="auto"/>
        </w:rPr>
      </w:pPr>
    </w:p>
    <w:p>
      <w:pPr>
        <w:jc w:val="both"/>
        <w:ind w:firstLine="1505"/>
        <w:spacing w:after="0" w:line="279" w:lineRule="auto"/>
        <w:tabs>
          <w:tab w:leader="none" w:pos="1943"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Resignation and/or Replacement of Issuing Bank</w:t>
      </w:r>
      <w:r>
        <w:rPr>
          <w:rFonts w:ascii="Arial" w:cs="Arial" w:eastAsia="Arial" w:hAnsi="Arial"/>
          <w:sz w:val="19"/>
          <w:szCs w:val="19"/>
          <w:color w:val="auto"/>
        </w:rPr>
        <w:t xml:space="preserve">. The Issuing Bank may resign and be replaced at any time by written agreement among the Borrower, the Administrative Agent, the resigning Issuing Bank and the successor Issuing Bank. The Administrative Agent shall notify the Lenders of any such resignation and replacement of the Issuing Bank. Upon the effectiveness of any resignation or replacement of the Issuing Bank, the Borrower shall pay all unpaid fees accrued for account of the resigning or replaced Issuing Bank pursuant to </w:t>
      </w:r>
      <w:r>
        <w:rPr>
          <w:rFonts w:ascii="Arial" w:cs="Arial" w:eastAsia="Arial" w:hAnsi="Arial"/>
          <w:sz w:val="19"/>
          <w:szCs w:val="19"/>
          <w:u w:val="single" w:color="auto"/>
          <w:color w:val="auto"/>
        </w:rPr>
        <w:t>Section 2.11(b)</w:t>
      </w:r>
      <w:r>
        <w:rPr>
          <w:rFonts w:ascii="Arial" w:cs="Arial" w:eastAsia="Arial" w:hAnsi="Arial"/>
          <w:sz w:val="19"/>
          <w:szCs w:val="19"/>
          <w:color w:val="auto"/>
        </w:rPr>
        <w:t>. From and after the effective date of the appointment of a successor Issuing Bank, (i) the successor Issuing Bank shall have all the rights and obligations of the replaced Issuing Bank under</w:t>
      </w:r>
    </w:p>
    <w:p>
      <w:pPr>
        <w:spacing w:after="0" w:line="157"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6" w:name="page137"/>
    <w:bookmarkEnd w:id="136"/>
    <w:p>
      <w:pPr>
        <w:jc w:val="both"/>
        <w:spacing w:after="0" w:line="248" w:lineRule="auto"/>
        <w:rPr>
          <w:sz w:val="20"/>
          <w:szCs w:val="20"/>
          <w:color w:val="auto"/>
        </w:rPr>
      </w:pPr>
      <w:r>
        <w:rPr>
          <w:rFonts w:ascii="Arial" w:cs="Arial" w:eastAsia="Arial" w:hAnsi="Arial"/>
          <w:sz w:val="21"/>
          <w:szCs w:val="21"/>
          <w:color w:val="auto"/>
        </w:rPr>
        <w:t>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the Issuing Bank under this Agreement with respect to Letters of Credit issued by it prior to such resignation or replacement, but shall not be required to issue additional Letters of Credit.</w:t>
      </w:r>
    </w:p>
    <w:p>
      <w:pPr>
        <w:spacing w:after="0" w:line="177" w:lineRule="exact"/>
        <w:rPr>
          <w:sz w:val="20"/>
          <w:szCs w:val="20"/>
          <w:color w:val="auto"/>
        </w:rPr>
      </w:pPr>
    </w:p>
    <w:p>
      <w:pPr>
        <w:jc w:val="both"/>
        <w:ind w:firstLine="1505"/>
        <w:spacing w:after="0" w:line="244" w:lineRule="auto"/>
        <w:tabs>
          <w:tab w:leader="none" w:pos="195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Cash Collateralization</w:t>
      </w:r>
      <w:r>
        <w:rPr>
          <w:rFonts w:ascii="Arial" w:cs="Arial" w:eastAsia="Arial" w:hAnsi="Arial"/>
          <w:sz w:val="21"/>
          <w:szCs w:val="21"/>
          <w:color w:val="auto"/>
        </w:rPr>
        <w:t xml:space="preserve">. If the Borrower shall be required to provide Cash Collateral for LC Exposure pursuant to </w:t>
      </w:r>
      <w:r>
        <w:rPr>
          <w:rFonts w:ascii="Arial" w:cs="Arial" w:eastAsia="Arial" w:hAnsi="Arial"/>
          <w:sz w:val="21"/>
          <w:szCs w:val="21"/>
          <w:u w:val="single" w:color="auto"/>
          <w:color w:val="auto"/>
        </w:rPr>
        <w:t>Section 2.05(d)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2.20(b)</w:t>
      </w:r>
      <w:r>
        <w:rPr>
          <w:rFonts w:ascii="Arial" w:cs="Arial" w:eastAsia="Arial" w:hAnsi="Arial"/>
          <w:sz w:val="21"/>
          <w:szCs w:val="21"/>
          <w:color w:val="auto"/>
        </w:rPr>
        <w:t xml:space="preserve"> or the penultimate paragraph of </w:t>
      </w:r>
      <w:r>
        <w:rPr>
          <w:rFonts w:ascii="Arial" w:cs="Arial" w:eastAsia="Arial" w:hAnsi="Arial"/>
          <w:sz w:val="21"/>
          <w:szCs w:val="21"/>
          <w:u w:val="single" w:color="auto"/>
          <w:color w:val="auto"/>
        </w:rPr>
        <w:t>Article VII</w:t>
      </w:r>
      <w:r>
        <w:rPr>
          <w:rFonts w:ascii="Arial" w:cs="Arial" w:eastAsia="Arial" w:hAnsi="Arial"/>
          <w:sz w:val="21"/>
          <w:szCs w:val="21"/>
          <w:color w:val="auto"/>
        </w:rPr>
        <w:t>, the Borrower shall immediately deposit into a segregated collateral account or accounts (herein, collectively, the “</w:t>
      </w:r>
      <w:r>
        <w:rPr>
          <w:rFonts w:ascii="Arial" w:cs="Arial" w:eastAsia="Arial" w:hAnsi="Arial"/>
          <w:sz w:val="21"/>
          <w:szCs w:val="21"/>
          <w:u w:val="single" w:color="auto"/>
          <w:color w:val="auto"/>
        </w:rPr>
        <w:t>Letter of Credit</w:t>
      </w:r>
      <w:r>
        <w:rPr>
          <w:rFonts w:ascii="Arial" w:cs="Arial" w:eastAsia="Arial" w:hAnsi="Arial"/>
          <w:sz w:val="21"/>
          <w:szCs w:val="21"/>
          <w:color w:val="auto"/>
        </w:rPr>
        <w:t xml:space="preserve"> </w:t>
      </w:r>
      <w:r>
        <w:rPr>
          <w:rFonts w:ascii="Arial" w:cs="Arial" w:eastAsia="Arial" w:hAnsi="Arial"/>
          <w:sz w:val="21"/>
          <w:szCs w:val="21"/>
          <w:u w:val="single" w:color="auto"/>
          <w:color w:val="auto"/>
        </w:rPr>
        <w:t>Collateral Account</w:t>
      </w:r>
      <w:r>
        <w:rPr>
          <w:rFonts w:ascii="Arial" w:cs="Arial" w:eastAsia="Arial" w:hAnsi="Arial"/>
          <w:sz w:val="21"/>
          <w:szCs w:val="21"/>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2.05(d)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2.10(b)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2.20(b)</w:t>
      </w:r>
      <w:r>
        <w:rPr>
          <w:rFonts w:ascii="Arial" w:cs="Arial" w:eastAsia="Arial" w:hAnsi="Arial"/>
          <w:sz w:val="21"/>
          <w:szCs w:val="21"/>
          <w:color w:val="auto"/>
        </w:rPr>
        <w:t xml:space="preserve"> or the penultimate paragraph of </w:t>
      </w:r>
      <w:r>
        <w:rPr>
          <w:rFonts w:ascii="Arial" w:cs="Arial" w:eastAsia="Arial" w:hAnsi="Arial"/>
          <w:sz w:val="21"/>
          <w:szCs w:val="21"/>
          <w:u w:val="single" w:color="auto"/>
          <w:color w:val="auto"/>
        </w:rPr>
        <w:t>Article VII</w:t>
      </w:r>
      <w:r>
        <w:rPr>
          <w:rFonts w:ascii="Arial" w:cs="Arial" w:eastAsia="Arial" w:hAnsi="Arial"/>
          <w:sz w:val="21"/>
          <w:szCs w:val="21"/>
          <w:color w:val="auto"/>
        </w:rPr>
        <w:t>, as applicable. Such deposit shall be held by the Administrative Agent as collateral in the first instance for the LC Exposure under this Agreement and thereafter 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7" w:lineRule="auto"/>
        <w:tabs>
          <w:tab w:leader="none" w:pos="1929"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Funding by Lenders</w:t>
      </w:r>
      <w:r>
        <w:rPr>
          <w:rFonts w:ascii="Arial" w:cs="Arial" w:eastAsia="Arial" w:hAnsi="Arial"/>
          <w:sz w:val="19"/>
          <w:szCs w:val="19"/>
          <w:color w:val="auto"/>
        </w:rPr>
        <w:t xml:space="preserve">. Each Lender shall make each Loan to be made by it hereunder on the proposed date thereof by wire transfer of immediately available funds by 11:00 a.m., New York City time, to the account of the Administrative Agent most recently designated by it for such purpose by notice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Swingline Loans shall be made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Syndicated ABR Borrowings made to finance the reimbursement of an LC Disbursement as provided in </w:t>
      </w:r>
      <w:r>
        <w:rPr>
          <w:rFonts w:ascii="Arial" w:cs="Arial" w:eastAsia="Arial" w:hAnsi="Arial"/>
          <w:sz w:val="19"/>
          <w:szCs w:val="19"/>
          <w:u w:val="single" w:color="auto"/>
          <w:color w:val="auto"/>
        </w:rPr>
        <w:t>Section 2.05(f)</w:t>
      </w:r>
      <w:r>
        <w:rPr>
          <w:rFonts w:ascii="Arial" w:cs="Arial" w:eastAsia="Arial" w:hAnsi="Arial"/>
          <w:sz w:val="19"/>
          <w:szCs w:val="19"/>
          <w:color w:val="auto"/>
        </w:rPr>
        <w:t xml:space="preserve"> shall be remitted by the Administrative Agent to the Issuing Bank.</w:t>
      </w:r>
    </w:p>
    <w:p>
      <w:pPr>
        <w:spacing w:after="0" w:line="151" w:lineRule="exact"/>
        <w:rPr>
          <w:rFonts w:ascii="Arial" w:cs="Arial" w:eastAsia="Arial" w:hAnsi="Arial"/>
          <w:sz w:val="19"/>
          <w:szCs w:val="19"/>
          <w:color w:val="auto"/>
        </w:rPr>
      </w:pPr>
    </w:p>
    <w:p>
      <w:pPr>
        <w:jc w:val="both"/>
        <w:ind w:firstLine="1505"/>
        <w:spacing w:after="0" w:line="245" w:lineRule="auto"/>
        <w:tabs>
          <w:tab w:leader="none" w:pos="1956"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Presumption by the Administrative Agent</w:t>
      </w:r>
      <w:r>
        <w:rPr>
          <w:rFonts w:ascii="Arial" w:cs="Arial" w:eastAsia="Arial" w:hAnsi="Arial"/>
          <w:sz w:val="21"/>
          <w:szCs w:val="21"/>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the corresponding Currency with interest thereon, for each day from and including the date such amount is made available to the Borrower to but excluding the date of payment to the Administrative Agent, at (i) in the case of such Lender,</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59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7" w:name="page138"/>
    <w:bookmarkEnd w:id="137"/>
    <w:p>
      <w:pPr>
        <w:jc w:val="both"/>
        <w:spacing w:after="0" w:line="235" w:lineRule="auto"/>
        <w:rPr>
          <w:sz w:val="20"/>
          <w:szCs w:val="20"/>
          <w:color w:val="auto"/>
        </w:rPr>
      </w:pPr>
      <w:r>
        <w:rPr>
          <w:rFonts w:ascii="Arial" w:cs="Arial" w:eastAsia="Arial" w:hAnsi="Arial"/>
          <w:sz w:val="22"/>
          <w:szCs w:val="22"/>
          <w:color w:val="auto"/>
        </w:rPr>
        <w:t>the Federal Funds Effective Rate or (ii) in the case of the Borrower, the interest rate applicable at the time to ABR Loans in the case of a Dollar Borrowing or the interest rate applicable to such Borrowing in the case of a Multicurrency Borrowing.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Interest Elections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1" w:lineRule="auto"/>
        <w:tabs>
          <w:tab w:leader="none" w:pos="1929"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Elections by the Borrower for Syndicated Borrowings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the Loans constituting each Syndicated Borrowing initially shall be of the Type specified in the applicable Borrowing Request and, in the case of a Term Benchmark Borrowing or RFR Borrowing, shall have the Interest Period specified in such Borrowing Request. Thereafter, the Borrower may elect to convert such Borrowing to a Borrowing of a different Type or to continue such Borrowing as a Borrowing of the same Type and, in the case of a Term Benchmark Borrowing or RFR Borrowing, may elect the Interest Period therefor, all as provided in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a Syndicated Borrowing of a Class may only be continued or converted into a Syndicated Borrowing of the same Class, (ii) a Syndicated Borrowing denominated in one Currency may not be continued as, or converted to, a Syndicated Borrowing in a different Currency, (iii) no Term Benchmark Borrowing or RFR Borrowing denominated in a Foreign Currency or RFR Borrowing may be continued if, after giving effect thereto, the aggregate Revolving Multicurrency Credit Exposures would exceed the aggregate Multicurrency Commitments, and (iv) a Term Benchmark Borrowing or RFR Borrowing denominated in a Foreign Currency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w:t>
      </w:r>
      <w:r>
        <w:rPr>
          <w:rFonts w:ascii="Arial" w:cs="Arial" w:eastAsia="Arial" w:hAnsi="Arial"/>
          <w:sz w:val="19"/>
          <w:szCs w:val="19"/>
          <w:u w:val="single" w:color="auto"/>
          <w:color w:val="auto"/>
        </w:rPr>
        <w:t>Section 2.07(a)</w:t>
      </w:r>
      <w:r>
        <w:rPr>
          <w:rFonts w:ascii="Arial" w:cs="Arial" w:eastAsia="Arial" w:hAnsi="Arial"/>
          <w:sz w:val="19"/>
          <w:szCs w:val="19"/>
          <w:color w:val="auto"/>
        </w:rPr>
        <w:t xml:space="preserve"> shall not apply to Swingline Loans, which may not be converted or continued.</w:t>
      </w:r>
    </w:p>
    <w:p>
      <w:pPr>
        <w:spacing w:after="0" w:line="160" w:lineRule="exact"/>
        <w:rPr>
          <w:rFonts w:ascii="Arial" w:cs="Arial" w:eastAsia="Arial" w:hAnsi="Arial"/>
          <w:sz w:val="19"/>
          <w:szCs w:val="19"/>
          <w:color w:val="auto"/>
        </w:rPr>
      </w:pPr>
    </w:p>
    <w:p>
      <w:pPr>
        <w:jc w:val="both"/>
        <w:ind w:firstLine="1505"/>
        <w:spacing w:after="0" w:line="279" w:lineRule="auto"/>
        <w:tabs>
          <w:tab w:leader="none" w:pos="195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Notice of Elections</w:t>
      </w:r>
      <w:r>
        <w:rPr>
          <w:rFonts w:ascii="Arial" w:cs="Arial" w:eastAsia="Arial" w:hAnsi="Arial"/>
          <w:sz w:val="19"/>
          <w:szCs w:val="19"/>
          <w:color w:val="auto"/>
        </w:rPr>
        <w:t xml:space="preserve">. To make an election pursuant to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the Borrower shall notify the Administrative Agent of such election by telephone by the time that a Borrowing Request would be required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50" w:lineRule="exact"/>
        <w:rPr>
          <w:rFonts w:ascii="Arial" w:cs="Arial" w:eastAsia="Arial" w:hAnsi="Arial"/>
          <w:sz w:val="19"/>
          <w:szCs w:val="19"/>
          <w:color w:val="auto"/>
        </w:rPr>
      </w:pPr>
    </w:p>
    <w:p>
      <w:pPr>
        <w:ind w:firstLine="1505"/>
        <w:spacing w:after="0" w:line="250" w:lineRule="auto"/>
        <w:tabs>
          <w:tab w:leader="none" w:pos="1929"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Content of Interest Election Requests</w:t>
      </w:r>
      <w:r>
        <w:rPr>
          <w:rFonts w:ascii="Arial" w:cs="Arial" w:eastAsia="Arial" w:hAnsi="Arial"/>
          <w:sz w:val="22"/>
          <w:szCs w:val="22"/>
          <w:color w:val="auto"/>
        </w:rPr>
        <w:t xml:space="preserve">. Each telephonic and written Interest Election Request shall specify the following information in compliance with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175" w:lineRule="exact"/>
        <w:rPr>
          <w:sz w:val="20"/>
          <w:szCs w:val="20"/>
          <w:color w:val="auto"/>
        </w:rPr>
      </w:pPr>
    </w:p>
    <w:p>
      <w:pPr>
        <w:jc w:val="both"/>
        <w:ind w:left="760" w:right="20" w:firstLine="745"/>
        <w:spacing w:after="0"/>
        <w:tabs>
          <w:tab w:leader="none" w:pos="19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Borrowing (including the Class) to which such Interest Election Request applies and, if different options are being elected with respect to different portions thereof, the portions thereof to be allocated to each resulting Borrowing (in which case the</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8" w:name="page139"/>
    <w:bookmarkEnd w:id="138"/>
    <w:p>
      <w:pPr>
        <w:ind w:left="760"/>
        <w:spacing w:after="0" w:line="250" w:lineRule="auto"/>
        <w:rPr>
          <w:sz w:val="20"/>
          <w:szCs w:val="20"/>
          <w:color w:val="auto"/>
        </w:rPr>
      </w:pPr>
      <w:r>
        <w:rPr>
          <w:rFonts w:ascii="Arial" w:cs="Arial" w:eastAsia="Arial" w:hAnsi="Arial"/>
          <w:sz w:val="22"/>
          <w:szCs w:val="22"/>
          <w:color w:val="auto"/>
        </w:rPr>
        <w:t xml:space="preserve">information to be specified pursuant to </w:t>
      </w:r>
      <w:r>
        <w:rPr>
          <w:rFonts w:ascii="Arial" w:cs="Arial" w:eastAsia="Arial" w:hAnsi="Arial"/>
          <w:sz w:val="22"/>
          <w:szCs w:val="22"/>
          <w:u w:val="single" w:color="auto"/>
          <w:color w:val="auto"/>
        </w:rPr>
        <w:t>clauses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this paragraph shall be specified for each resulting Borrowing);</w:t>
      </w:r>
    </w:p>
    <w:p>
      <w:pPr>
        <w:spacing w:after="0" w:line="175" w:lineRule="exact"/>
        <w:rPr>
          <w:sz w:val="20"/>
          <w:szCs w:val="20"/>
          <w:color w:val="auto"/>
        </w:rPr>
      </w:pPr>
    </w:p>
    <w:p>
      <w:pPr>
        <w:ind w:left="760" w:right="60" w:firstLine="745"/>
        <w:spacing w:after="0" w:line="250" w:lineRule="auto"/>
        <w:tabs>
          <w:tab w:leader="none" w:pos="194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effective date of the election made pursuant to such Interest Election Request, which shall be a Business Day;</w:t>
      </w:r>
    </w:p>
    <w:p>
      <w:pPr>
        <w:spacing w:after="0" w:line="174" w:lineRule="exact"/>
        <w:rPr>
          <w:rFonts w:ascii="Arial" w:cs="Arial" w:eastAsia="Arial" w:hAnsi="Arial"/>
          <w:sz w:val="22"/>
          <w:szCs w:val="22"/>
          <w:color w:val="auto"/>
        </w:rPr>
      </w:pPr>
    </w:p>
    <w:p>
      <w:pPr>
        <w:ind w:left="760" w:right="40" w:firstLine="745"/>
        <w:spacing w:after="0" w:line="250" w:lineRule="auto"/>
        <w:tabs>
          <w:tab w:leader="none" w:pos="1941" w:val="left"/>
        </w:tabs>
        <w:numPr>
          <w:ilvl w:val="0"/>
          <w:numId w:val="98"/>
        </w:numPr>
        <w:rPr>
          <w:rFonts w:ascii="Arial" w:cs="Arial" w:eastAsia="Arial" w:hAnsi="Arial"/>
          <w:sz w:val="22"/>
          <w:szCs w:val="22"/>
          <w:color w:val="auto"/>
        </w:rPr>
      </w:pPr>
      <w:r>
        <w:rPr>
          <w:rFonts w:ascii="Arial" w:cs="Arial" w:eastAsia="Arial" w:hAnsi="Arial"/>
          <w:sz w:val="22"/>
          <w:szCs w:val="22"/>
          <w:color w:val="auto"/>
        </w:rPr>
        <w:t>whether, in the case of a Borrowing denominated in Dollars, the resulting Borrowing is to be an ABR Borrowing or a Term Benchmark Borrowing; and</w:t>
      </w:r>
    </w:p>
    <w:p>
      <w:pPr>
        <w:spacing w:after="0" w:line="174" w:lineRule="exact"/>
        <w:rPr>
          <w:rFonts w:ascii="Arial" w:cs="Arial" w:eastAsia="Arial" w:hAnsi="Arial"/>
          <w:sz w:val="22"/>
          <w:szCs w:val="22"/>
          <w:color w:val="auto"/>
        </w:rPr>
      </w:pPr>
    </w:p>
    <w:p>
      <w:pPr>
        <w:jc w:val="both"/>
        <w:ind w:left="760" w:firstLine="745"/>
        <w:spacing w:after="0"/>
        <w:tabs>
          <w:tab w:leader="none" w:pos="1941" w:val="left"/>
        </w:tabs>
        <w:numPr>
          <w:ilvl w:val="0"/>
          <w:numId w:val="98"/>
        </w:numPr>
        <w:rPr>
          <w:rFonts w:ascii="Arial" w:cs="Arial" w:eastAsia="Arial" w:hAnsi="Arial"/>
          <w:sz w:val="22"/>
          <w:szCs w:val="22"/>
          <w:color w:val="auto"/>
        </w:rPr>
      </w:pPr>
      <w:r>
        <w:rPr>
          <w:rFonts w:ascii="Arial" w:cs="Arial" w:eastAsia="Arial" w:hAnsi="Arial"/>
          <w:sz w:val="22"/>
          <w:szCs w:val="22"/>
          <w:color w:val="auto"/>
        </w:rPr>
        <w:t xml:space="preserve">if the resulting Borrowing is a Term Benchmark Borrowing or RFR Borrowing, the Interest Period therefor after giving effect to such election, which shall be a period contemplated by the definition of the term “Interest Period” and permitted under </w:t>
      </w:r>
      <w:r>
        <w:rPr>
          <w:rFonts w:ascii="Arial" w:cs="Arial" w:eastAsia="Arial" w:hAnsi="Arial"/>
          <w:sz w:val="22"/>
          <w:szCs w:val="22"/>
          <w:u w:val="single" w:color="auto"/>
          <w:color w:val="auto"/>
        </w:rPr>
        <w:t>Section 2.02(d)</w:t>
      </w:r>
      <w:r>
        <w:rPr>
          <w:rFonts w:ascii="Arial" w:cs="Arial" w:eastAsia="Arial" w:hAnsi="Arial"/>
          <w:sz w:val="22"/>
          <w:szCs w:val="22"/>
          <w:color w:val="auto"/>
        </w:rPr>
        <w:t>.</w:t>
      </w:r>
    </w:p>
    <w:p>
      <w:pPr>
        <w:spacing w:after="0" w:line="186" w:lineRule="exact"/>
        <w:rPr>
          <w:sz w:val="20"/>
          <w:szCs w:val="20"/>
          <w:color w:val="auto"/>
        </w:rPr>
      </w:pPr>
    </w:p>
    <w:p>
      <w:pPr>
        <w:jc w:val="both"/>
        <w:ind w:firstLine="1505"/>
        <w:spacing w:after="0"/>
        <w:tabs>
          <w:tab w:leader="none" w:pos="1956"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Notice by the Administrative Agent to the Lenders</w:t>
      </w:r>
      <w:r>
        <w:rPr>
          <w:rFonts w:ascii="Arial" w:cs="Arial" w:eastAsia="Arial" w:hAnsi="Arial"/>
          <w:sz w:val="22"/>
          <w:szCs w:val="22"/>
          <w:color w:val="auto"/>
        </w:rPr>
        <w:t>. Promptly following receipt of an Interest Election Request, the Administrative Agent shall advise each applicable Lender of the details thereof and of such Lender’s portion of each resulting Borrowing.</w:t>
      </w:r>
    </w:p>
    <w:p>
      <w:pPr>
        <w:spacing w:after="0" w:line="186" w:lineRule="exact"/>
        <w:rPr>
          <w:rFonts w:ascii="Arial" w:cs="Arial" w:eastAsia="Arial" w:hAnsi="Arial"/>
          <w:sz w:val="22"/>
          <w:szCs w:val="22"/>
          <w:color w:val="auto"/>
        </w:rPr>
      </w:pPr>
    </w:p>
    <w:p>
      <w:pPr>
        <w:jc w:val="both"/>
        <w:ind w:firstLine="1505"/>
        <w:spacing w:after="0" w:line="273" w:lineRule="auto"/>
        <w:tabs>
          <w:tab w:leader="none" w:pos="1929"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Failure to Elect; Events of Default</w:t>
      </w:r>
      <w:r>
        <w:rPr>
          <w:rFonts w:ascii="Arial" w:cs="Arial" w:eastAsia="Arial" w:hAnsi="Arial"/>
          <w:sz w:val="19"/>
          <w:szCs w:val="19"/>
          <w:color w:val="auto"/>
        </w:rPr>
        <w:t>. If the Borrower fails to deliver a timely and complete Interest Election Request with respect to a Term Benchmark Borrowing or RFR Borrowing prior to the end of the Interest Period therefor, then, unless such Borrowing is repaid as provided herein, (i) if such Borrowing is denominated in Dollars, at the end of such Interest Period such Borrowing shall be converted to a Syndicated Term Benchmark Borrowing of the same Class having an Interest Period of one month, and (ii) if such Borrowing is denominated in a Foreign Currency, the Borrower shall be deemed to have selected an Interest Period of one month’s duration. Notwithstanding any contrary provision hereof, if an Event of Default has occurred and is continuing and the Administrative Agent, at the request of the Required Lenders, so notifies the Borrower, (i) any Term Benchmark Borrowing denominated in Dollars shall, at the end of the applicable Interest Period for such Term Benchmark Borrowing, be automatically converted to an ABR Borrowing and (ii) any Term Benchmark Borrowing or RFR Borrowing denominated in a Foreign Currency shall not have an Interest Period of more than one month’s duration.</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Termination, Reduction or Increase of the Commitments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1943"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Scheduled Termination</w:t>
      </w:r>
      <w:r>
        <w:rPr>
          <w:rFonts w:ascii="Arial" w:cs="Arial" w:eastAsia="Arial" w:hAnsi="Arial"/>
          <w:sz w:val="21"/>
          <w:szCs w:val="21"/>
          <w:color w:val="auto"/>
        </w:rPr>
        <w:t>. Unless previously terminated, the Commitments of each Extending Lender with respect to such Extending 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73" w:lineRule="exact"/>
        <w:rPr>
          <w:rFonts w:ascii="Arial" w:cs="Arial" w:eastAsia="Arial" w:hAnsi="Arial"/>
          <w:sz w:val="21"/>
          <w:szCs w:val="21"/>
          <w:color w:val="auto"/>
        </w:rPr>
      </w:pPr>
    </w:p>
    <w:p>
      <w:pPr>
        <w:jc w:val="both"/>
        <w:ind w:firstLine="1505"/>
        <w:spacing w:after="0" w:line="235" w:lineRule="auto"/>
        <w:tabs>
          <w:tab w:leader="none" w:pos="195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Voluntary Termination or Reduction</w:t>
      </w:r>
      <w:r>
        <w:rPr>
          <w:rFonts w:ascii="Arial" w:cs="Arial" w:eastAsia="Arial" w:hAnsi="Arial"/>
          <w:sz w:val="22"/>
          <w:szCs w:val="22"/>
          <w:color w:val="auto"/>
        </w:rPr>
        <w:t xml:space="preserve">. The Borrower may at any time terminate, or from time to time reduce, the Commitments of either Class;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Commitments of a Class shall be in an amount that is $25,000,000 or a larger multiple of $5,000,000 in excess thereof and (ii) the Borrower shall not terminate or reduce the Commitments of either Class if, after giving effect to any concurrent prepayment of the Syndicated Loans of such Class in accordance with </w:t>
      </w:r>
      <w:r>
        <w:rPr>
          <w:rFonts w:ascii="Arial" w:cs="Arial" w:eastAsia="Arial" w:hAnsi="Arial"/>
          <w:sz w:val="22"/>
          <w:szCs w:val="22"/>
          <w:u w:val="single" w:color="auto"/>
          <w:color w:val="auto"/>
        </w:rPr>
        <w:t>Section 2.10</w:t>
      </w:r>
      <w:r>
        <w:rPr>
          <w:rFonts w:ascii="Arial" w:cs="Arial" w:eastAsia="Arial" w:hAnsi="Arial"/>
          <w:sz w:val="22"/>
          <w:szCs w:val="22"/>
          <w:color w:val="auto"/>
        </w:rPr>
        <w:t>, the total Revolving Credit Exposures of such Class would exceed the total Commitments of such Class. Any such reduction of the</w:t>
      </w:r>
    </w:p>
    <w:p>
      <w:pPr>
        <w:spacing w:after="0" w:line="19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39" w:name="page140"/>
    <w:bookmarkEnd w:id="139"/>
    <w:p>
      <w:pPr>
        <w:ind w:right="20"/>
        <w:spacing w:after="0" w:line="274" w:lineRule="auto"/>
        <w:rPr>
          <w:sz w:val="20"/>
          <w:szCs w:val="20"/>
          <w:color w:val="auto"/>
        </w:rPr>
      </w:pPr>
      <w:r>
        <w:rPr>
          <w:rFonts w:ascii="Arial" w:cs="Arial" w:eastAsia="Arial" w:hAnsi="Arial"/>
          <w:sz w:val="21"/>
          <w:szCs w:val="21"/>
          <w:color w:val="auto"/>
        </w:rPr>
        <w:t xml:space="preserve">Commitments below the principal amount of the Swingline Loans permitted under </w:t>
      </w:r>
      <w:r>
        <w:rPr>
          <w:rFonts w:ascii="Arial" w:cs="Arial" w:eastAsia="Arial" w:hAnsi="Arial"/>
          <w:sz w:val="21"/>
          <w:szCs w:val="21"/>
          <w:u w:val="single" w:color="auto"/>
          <w:color w:val="auto"/>
        </w:rPr>
        <w:t>Section 2.04(a)(i)</w:t>
      </w:r>
      <w:r>
        <w:rPr>
          <w:rFonts w:ascii="Arial" w:cs="Arial" w:eastAsia="Arial" w:hAnsi="Arial"/>
          <w:sz w:val="21"/>
          <w:szCs w:val="21"/>
          <w:color w:val="auto"/>
        </w:rPr>
        <w:t xml:space="preserve"> and the Letters of Credit permitted under </w:t>
      </w:r>
      <w:r>
        <w:rPr>
          <w:rFonts w:ascii="Arial" w:cs="Arial" w:eastAsia="Arial" w:hAnsi="Arial"/>
          <w:sz w:val="21"/>
          <w:szCs w:val="21"/>
          <w:u w:val="single" w:color="auto"/>
          <w:color w:val="auto"/>
        </w:rPr>
        <w:t>Section 2.05(c)(i)</w:t>
      </w:r>
      <w:r>
        <w:rPr>
          <w:rFonts w:ascii="Arial" w:cs="Arial" w:eastAsia="Arial" w:hAnsi="Arial"/>
          <w:sz w:val="21"/>
          <w:szCs w:val="21"/>
          <w:color w:val="auto"/>
        </w:rPr>
        <w:t xml:space="preserve"> shall result in a dollar-for-dollar reduction of such amounts as applicable.</w:t>
      </w:r>
    </w:p>
    <w:p>
      <w:pPr>
        <w:spacing w:after="0" w:line="151" w:lineRule="exact"/>
        <w:rPr>
          <w:sz w:val="20"/>
          <w:szCs w:val="20"/>
          <w:color w:val="auto"/>
        </w:rPr>
      </w:pPr>
    </w:p>
    <w:p>
      <w:pPr>
        <w:jc w:val="both"/>
        <w:ind w:firstLine="1505"/>
        <w:spacing w:after="0" w:line="246" w:lineRule="auto"/>
        <w:tabs>
          <w:tab w:leader="none" w:pos="1929"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Notice of Voluntary Termination or Reduction</w:t>
      </w:r>
      <w:r>
        <w:rPr>
          <w:rFonts w:ascii="Arial" w:cs="Arial" w:eastAsia="Arial" w:hAnsi="Arial"/>
          <w:sz w:val="21"/>
          <w:szCs w:val="21"/>
          <w:color w:val="auto"/>
        </w:rPr>
        <w:t xml:space="preserve">. The Borrower shall notify the Administrative Agent of any election to terminate or reduce the Commitments under </w:t>
      </w:r>
      <w:r>
        <w:rPr>
          <w:rFonts w:ascii="Arial" w:cs="Arial" w:eastAsia="Arial" w:hAnsi="Arial"/>
          <w:sz w:val="21"/>
          <w:szCs w:val="21"/>
          <w:u w:val="single" w:color="auto"/>
          <w:color w:val="auto"/>
        </w:rPr>
        <w:t>paragraph (b)</w:t>
      </w:r>
      <w:r>
        <w:rPr>
          <w:rFonts w:ascii="Arial" w:cs="Arial" w:eastAsia="Arial" w:hAnsi="Arial"/>
          <w:sz w:val="21"/>
          <w:szCs w:val="21"/>
          <w:color w:val="auto"/>
        </w:rPr>
        <w:t xml:space="preserve"> of this Section at least two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79" w:lineRule="exact"/>
        <w:rPr>
          <w:rFonts w:ascii="Arial" w:cs="Arial" w:eastAsia="Arial" w:hAnsi="Arial"/>
          <w:sz w:val="21"/>
          <w:szCs w:val="21"/>
          <w:color w:val="auto"/>
        </w:rPr>
      </w:pPr>
    </w:p>
    <w:p>
      <w:pPr>
        <w:jc w:val="both"/>
        <w:ind w:firstLine="1505"/>
        <w:spacing w:after="0" w:line="252" w:lineRule="auto"/>
        <w:tabs>
          <w:tab w:leader="none" w:pos="1929"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Effect of Termination or Reduction</w:t>
      </w:r>
      <w:r>
        <w:rPr>
          <w:rFonts w:ascii="Arial" w:cs="Arial" w:eastAsia="Arial" w:hAnsi="Arial"/>
          <w:sz w:val="21"/>
          <w:szCs w:val="21"/>
          <w:color w:val="auto"/>
        </w:rPr>
        <w:t xml:space="preserve">. Any termination or reduction of the Commitments of a Class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shall be permanent. Each reduction of the Commitments of a Class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shall be made ratably among the Lenders of such Class (including with respect to (x) Dollar Lenders and Multicurrency Lenders and (y) Extending Lenders and Non-Extending Lenders) in accordance with their respective Commitments.</w:t>
      </w:r>
    </w:p>
    <w:p>
      <w:pPr>
        <w:spacing w:after="0" w:line="173" w:lineRule="exact"/>
        <w:rPr>
          <w:rFonts w:ascii="Arial" w:cs="Arial" w:eastAsia="Arial" w:hAnsi="Arial"/>
          <w:sz w:val="21"/>
          <w:szCs w:val="21"/>
          <w:color w:val="auto"/>
        </w:rPr>
      </w:pPr>
    </w:p>
    <w:p>
      <w:pPr>
        <w:ind w:left="1940" w:hanging="435"/>
        <w:spacing w:after="0"/>
        <w:tabs>
          <w:tab w:leader="none" w:pos="194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Increase of the Commitments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77" w:lineRule="auto"/>
        <w:tabs>
          <w:tab w:leader="none" w:pos="1981"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Requests for Increase by Borrower</w:t>
      </w:r>
      <w:r>
        <w:rPr>
          <w:rFonts w:ascii="Arial" w:cs="Arial" w:eastAsia="Arial" w:hAnsi="Arial"/>
          <w:sz w:val="19"/>
          <w:szCs w:val="19"/>
          <w:color w:val="auto"/>
        </w:rPr>
        <w:t>. The Borrower may, at any time, request that the Commitments hereunder of a Class be increased (each such proposed increase being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upon notice to the Administrative Agent (who shall promptly notify the Lenders), which notice shall specify each existing Lender (each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and/or each additional lender (each an “</w:t>
      </w:r>
      <w:r>
        <w:rPr>
          <w:rFonts w:ascii="Arial" w:cs="Arial" w:eastAsia="Arial" w:hAnsi="Arial"/>
          <w:sz w:val="19"/>
          <w:szCs w:val="19"/>
          <w:u w:val="single" w:color="auto"/>
          <w:color w:val="auto"/>
        </w:rPr>
        <w:t>Assuming Lender</w:t>
      </w:r>
      <w:r>
        <w:rPr>
          <w:rFonts w:ascii="Arial" w:cs="Arial" w:eastAsia="Arial" w:hAnsi="Arial"/>
          <w:sz w:val="19"/>
          <w:szCs w:val="19"/>
          <w:color w:val="auto"/>
        </w:rPr>
        <w:t>”) that shall have agreed to an additional Commitment and the date on which such increase is to be effective (the “</w:t>
      </w:r>
      <w:r>
        <w:rPr>
          <w:rFonts w:ascii="Arial" w:cs="Arial" w:eastAsia="Arial" w:hAnsi="Arial"/>
          <w:sz w:val="19"/>
          <w:szCs w:val="19"/>
          <w:u w:val="single" w:color="auto"/>
          <w:color w:val="auto"/>
        </w:rPr>
        <w:t>Commitment Increase Date</w:t>
      </w:r>
      <w:r>
        <w:rPr>
          <w:rFonts w:ascii="Arial" w:cs="Arial" w:eastAsia="Arial" w:hAnsi="Arial"/>
          <w:sz w:val="19"/>
          <w:szCs w:val="19"/>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51" w:lineRule="exact"/>
        <w:rPr>
          <w:rFonts w:ascii="Arial" w:cs="Arial" w:eastAsia="Arial" w:hAnsi="Arial"/>
          <w:sz w:val="19"/>
          <w:szCs w:val="19"/>
          <w:color w:val="auto"/>
        </w:rPr>
      </w:pPr>
    </w:p>
    <w:p>
      <w:pPr>
        <w:jc w:val="both"/>
        <w:ind w:left="1500" w:firstLine="754"/>
        <w:spacing w:after="0" w:line="238" w:lineRule="auto"/>
        <w:tabs>
          <w:tab w:leader="none" w:pos="268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84" w:lineRule="exact"/>
        <w:rPr>
          <w:rFonts w:ascii="Arial" w:cs="Arial" w:eastAsia="Arial" w:hAnsi="Arial"/>
          <w:sz w:val="22"/>
          <w:szCs w:val="22"/>
          <w:color w:val="auto"/>
        </w:rPr>
      </w:pPr>
    </w:p>
    <w:p>
      <w:pPr>
        <w:jc w:val="both"/>
        <w:ind w:left="1500" w:firstLine="754"/>
        <w:spacing w:after="0" w:line="257" w:lineRule="auto"/>
        <w:tabs>
          <w:tab w:leader="none" w:pos="2681" w:val="left"/>
        </w:tabs>
        <w:numPr>
          <w:ilvl w:val="1"/>
          <w:numId w:val="102"/>
        </w:numPr>
        <w:rPr>
          <w:rFonts w:ascii="Arial" w:cs="Arial" w:eastAsia="Arial" w:hAnsi="Arial"/>
          <w:sz w:val="21"/>
          <w:szCs w:val="21"/>
          <w:color w:val="auto"/>
        </w:rPr>
      </w:pPr>
      <w:r>
        <w:rPr>
          <w:rFonts w:ascii="Arial" w:cs="Arial" w:eastAsia="Arial" w:hAnsi="Arial"/>
          <w:sz w:val="21"/>
          <w:szCs w:val="21"/>
          <w:color w:val="auto"/>
        </w:rPr>
        <w:t xml:space="preserve">immediately after giving effect to such Commitment Increase (including, if applicable, the substantially concurrent reduction of the Commitments of a Non-Extending Lender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2.08(f)</w:t>
      </w:r>
      <w:r>
        <w:rPr>
          <w:rFonts w:ascii="Arial" w:cs="Arial" w:eastAsia="Arial" w:hAnsi="Arial"/>
          <w:sz w:val="21"/>
          <w:szCs w:val="21"/>
          <w:color w:val="auto"/>
        </w:rPr>
        <w:t>), the total Commitments of all of the Lenders hereunder shall not exceed $750,000,000;</w:t>
      </w:r>
    </w:p>
    <w:p>
      <w:pPr>
        <w:spacing w:after="0" w:line="169" w:lineRule="exact"/>
        <w:rPr>
          <w:rFonts w:ascii="Arial" w:cs="Arial" w:eastAsia="Arial" w:hAnsi="Arial"/>
          <w:sz w:val="21"/>
          <w:szCs w:val="21"/>
          <w:color w:val="auto"/>
        </w:rPr>
      </w:pPr>
    </w:p>
    <w:p>
      <w:pPr>
        <w:ind w:left="1500" w:right="20" w:firstLine="754"/>
        <w:spacing w:after="0" w:line="250" w:lineRule="auto"/>
        <w:tabs>
          <w:tab w:leader="none" w:pos="2681" w:val="left"/>
        </w:tabs>
        <w:numPr>
          <w:ilvl w:val="1"/>
          <w:numId w:val="102"/>
        </w:numPr>
        <w:rPr>
          <w:rFonts w:ascii="Arial" w:cs="Arial" w:eastAsia="Arial" w:hAnsi="Arial"/>
          <w:sz w:val="22"/>
          <w:szCs w:val="22"/>
          <w:color w:val="auto"/>
        </w:rPr>
      </w:pPr>
      <w:r>
        <w:rPr>
          <w:rFonts w:ascii="Arial" w:cs="Arial" w:eastAsia="Arial" w:hAnsi="Arial"/>
          <w:sz w:val="22"/>
          <w:szCs w:val="22"/>
          <w:color w:val="auto"/>
        </w:rPr>
        <w:t>each Assuming Lender shall be consented to by the Administrative Agent and the Issuing Bank (such consent not to be unreasonably withheld);</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0" w:name="page141"/>
    <w:bookmarkEnd w:id="140"/>
    <w:p>
      <w:pPr>
        <w:ind w:left="740" w:right="40" w:firstLine="754"/>
        <w:spacing w:after="0" w:line="250" w:lineRule="auto"/>
        <w:tabs>
          <w:tab w:leader="none" w:pos="192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no Default shall have occurred and be continuing on such Commitment Increase Date or shall result from the proposed Commitment Increase; and</w:t>
      </w:r>
    </w:p>
    <w:p>
      <w:pPr>
        <w:spacing w:after="0" w:line="174" w:lineRule="exact"/>
        <w:rPr>
          <w:rFonts w:ascii="Arial" w:cs="Arial" w:eastAsia="Arial" w:hAnsi="Arial"/>
          <w:sz w:val="22"/>
          <w:szCs w:val="22"/>
          <w:color w:val="auto"/>
        </w:rPr>
      </w:pPr>
    </w:p>
    <w:p>
      <w:pPr>
        <w:jc w:val="both"/>
        <w:ind w:left="740" w:firstLine="754"/>
        <w:spacing w:after="0" w:line="236" w:lineRule="auto"/>
        <w:tabs>
          <w:tab w:leader="none" w:pos="192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87" w:lineRule="exact"/>
        <w:rPr>
          <w:sz w:val="20"/>
          <w:szCs w:val="20"/>
          <w:color w:val="auto"/>
        </w:rPr>
      </w:pPr>
    </w:p>
    <w:p>
      <w:pPr>
        <w:jc w:val="both"/>
        <w:ind w:firstLine="745"/>
        <w:spacing w:after="0" w:line="297" w:lineRule="auto"/>
        <w:tabs>
          <w:tab w:leader="none" w:pos="1181"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Effectiveness of Commitment Increase by Borrower</w:t>
      </w:r>
      <w:r>
        <w:rPr>
          <w:rFonts w:ascii="Arial" w:cs="Arial" w:eastAsia="Arial" w:hAnsi="Arial"/>
          <w:sz w:val="19"/>
          <w:szCs w:val="19"/>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33" w:lineRule="exact"/>
        <w:rPr>
          <w:rFonts w:ascii="Arial" w:cs="Arial" w:eastAsia="Arial" w:hAnsi="Arial"/>
          <w:sz w:val="19"/>
          <w:szCs w:val="19"/>
          <w:color w:val="auto"/>
        </w:rPr>
      </w:pPr>
    </w:p>
    <w:p>
      <w:pPr>
        <w:jc w:val="both"/>
        <w:ind w:left="740" w:right="20" w:firstLine="754"/>
        <w:spacing w:after="0" w:line="287" w:lineRule="auto"/>
        <w:tabs>
          <w:tab w:leader="none" w:pos="192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9"/>
          <w:szCs w:val="19"/>
          <w:u w:val="single" w:color="auto"/>
          <w:color w:val="auto"/>
        </w:rPr>
        <w:t>paragraph (i)</w:t>
      </w:r>
      <w:r>
        <w:rPr>
          <w:rFonts w:ascii="Arial" w:cs="Arial" w:eastAsia="Arial" w:hAnsi="Arial"/>
          <w:sz w:val="19"/>
          <w:szCs w:val="19"/>
          <w:color w:val="auto"/>
        </w:rPr>
        <w:t xml:space="preserve"> has been satisfied; and</w:t>
      </w:r>
    </w:p>
    <w:p>
      <w:pPr>
        <w:spacing w:after="0" w:line="142" w:lineRule="exact"/>
        <w:rPr>
          <w:rFonts w:ascii="Arial" w:cs="Arial" w:eastAsia="Arial" w:hAnsi="Arial"/>
          <w:sz w:val="19"/>
          <w:szCs w:val="19"/>
          <w:color w:val="auto"/>
        </w:rPr>
      </w:pPr>
    </w:p>
    <w:p>
      <w:pPr>
        <w:jc w:val="both"/>
        <w:ind w:left="740" w:firstLine="754"/>
        <w:spacing w:after="0" w:line="279" w:lineRule="auto"/>
        <w:tabs>
          <w:tab w:leader="none" w:pos="192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and the Borrower and acknowledged by the Administrative Agent.</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86" w:lineRule="exact"/>
        <w:rPr>
          <w:sz w:val="20"/>
          <w:szCs w:val="20"/>
          <w:color w:val="auto"/>
        </w:rPr>
      </w:pPr>
    </w:p>
    <w:p>
      <w:pPr>
        <w:jc w:val="both"/>
        <w:ind w:firstLine="745"/>
        <w:spacing w:after="0" w:line="252" w:lineRule="auto"/>
        <w:tabs>
          <w:tab w:leader="none" w:pos="1181"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Recordation into Register</w:t>
      </w:r>
      <w:r>
        <w:rPr>
          <w:rFonts w:ascii="Arial" w:cs="Arial" w:eastAsia="Arial" w:hAnsi="Arial"/>
          <w:sz w:val="21"/>
          <w:szCs w:val="21"/>
          <w:color w:val="auto"/>
        </w:rPr>
        <w:t xml:space="preserve">. Upon its receipt of an agreement referred to in </w:t>
      </w:r>
      <w:r>
        <w:rPr>
          <w:rFonts w:ascii="Arial" w:cs="Arial" w:eastAsia="Arial" w:hAnsi="Arial"/>
          <w:sz w:val="21"/>
          <w:szCs w:val="21"/>
          <w:u w:val="single" w:color="auto"/>
          <w:color w:val="auto"/>
        </w:rPr>
        <w:t>clause (ii)(y)</w:t>
      </w:r>
      <w:r>
        <w:rPr>
          <w:rFonts w:ascii="Arial" w:cs="Arial" w:eastAsia="Arial" w:hAnsi="Arial"/>
          <w:sz w:val="21"/>
          <w:szCs w:val="21"/>
          <w:color w:val="auto"/>
        </w:rPr>
        <w:t xml:space="preserve"> above executed by an Assuming Lender or any Increasing Lender, together with the certificate referred to in </w:t>
      </w:r>
      <w:r>
        <w:rPr>
          <w:rFonts w:ascii="Arial" w:cs="Arial" w:eastAsia="Arial" w:hAnsi="Arial"/>
          <w:sz w:val="21"/>
          <w:szCs w:val="21"/>
          <w:u w:val="single" w:color="auto"/>
          <w:color w:val="auto"/>
        </w:rPr>
        <w:t>clause (ii)(x)</w:t>
      </w:r>
      <w:r>
        <w:rPr>
          <w:rFonts w:ascii="Arial" w:cs="Arial" w:eastAsia="Arial" w:hAnsi="Arial"/>
          <w:sz w:val="21"/>
          <w:szCs w:val="21"/>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73" w:lineRule="exact"/>
        <w:rPr>
          <w:rFonts w:ascii="Arial" w:cs="Arial" w:eastAsia="Arial" w:hAnsi="Arial"/>
          <w:sz w:val="21"/>
          <w:szCs w:val="21"/>
          <w:color w:val="auto"/>
        </w:rPr>
      </w:pPr>
    </w:p>
    <w:p>
      <w:pPr>
        <w:jc w:val="both"/>
        <w:ind w:firstLine="745"/>
        <w:spacing w:after="0"/>
        <w:tabs>
          <w:tab w:leader="none" w:pos="1221"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Adjustments of Borrowings upon Effectiveness of Increase</w:t>
      </w:r>
      <w:r>
        <w:rPr>
          <w:rFonts w:ascii="Arial" w:cs="Arial" w:eastAsia="Arial" w:hAnsi="Arial"/>
          <w:sz w:val="22"/>
          <w:szCs w:val="22"/>
          <w:color w:val="auto"/>
        </w:rPr>
        <w:t>. On the Commitment Increase Date, the Borrower shall (A) prepay the outstanding Loans (if any) of the affected Class in full, (B) simultaneously borrow new Loans of such Class hereunder</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0" w:right="339" w:bottom="1440" w:gutter="0" w:footer="0" w:header="0"/>
        </w:sectPr>
      </w:pPr>
    </w:p>
    <w:bookmarkStart w:id="141" w:name="page142"/>
    <w:bookmarkEnd w:id="141"/>
    <w:p>
      <w:pPr>
        <w:jc w:val="both"/>
        <w:ind w:left="760"/>
        <w:spacing w:after="0" w:line="273" w:lineRule="auto"/>
        <w:rPr>
          <w:sz w:val="20"/>
          <w:szCs w:val="20"/>
          <w:color w:val="auto"/>
        </w:rPr>
      </w:pPr>
      <w:r>
        <w:rPr>
          <w:rFonts w:ascii="Arial" w:cs="Arial" w:eastAsia="Arial" w:hAnsi="Arial"/>
          <w:sz w:val="19"/>
          <w:szCs w:val="19"/>
          <w:color w:val="auto"/>
        </w:rPr>
        <w:t xml:space="preserve">in an amount equal to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subclauses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(x) the prepayment to, and borrowing from, any existing Lender shall be effected by book entry to the extent that any portion of the amount prepaid to such Lender will be subsequently borrowed from such Lender and (y) the existing Lenders, the 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61" w:lineRule="exact"/>
        <w:rPr>
          <w:sz w:val="20"/>
          <w:szCs w:val="20"/>
          <w:color w:val="auto"/>
        </w:rPr>
      </w:pPr>
    </w:p>
    <w:p>
      <w:pPr>
        <w:ind w:firstLine="1505"/>
        <w:spacing w:after="0" w:line="250" w:lineRule="auto"/>
        <w:tabs>
          <w:tab w:leader="none" w:pos="1956"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Reduction of Non-Extending Lenders’ Commitment</w:t>
      </w:r>
      <w:r>
        <w:rPr>
          <w:rFonts w:ascii="Arial" w:cs="Arial" w:eastAsia="Arial" w:hAnsi="Arial"/>
          <w:sz w:val="22"/>
          <w:szCs w:val="22"/>
          <w:color w:val="auto"/>
        </w:rPr>
        <w:t xml:space="preserve">. Notwithstanding anything to the contrary herein (including </w:t>
      </w:r>
      <w:r>
        <w:rPr>
          <w:rFonts w:ascii="Arial" w:cs="Arial" w:eastAsia="Arial" w:hAnsi="Arial"/>
          <w:sz w:val="22"/>
          <w:szCs w:val="22"/>
          <w:u w:val="single" w:color="auto"/>
          <w:color w:val="auto"/>
        </w:rPr>
        <w:t>Section 2.08(d)</w:t>
      </w:r>
      <w:r>
        <w:rPr>
          <w:rFonts w:ascii="Arial" w:cs="Arial" w:eastAsia="Arial" w:hAnsi="Arial"/>
          <w:sz w:val="22"/>
          <w:szCs w:val="22"/>
          <w:color w:val="auto"/>
        </w:rPr>
        <w:t>):</w:t>
      </w:r>
    </w:p>
    <w:p>
      <w:pPr>
        <w:spacing w:after="0" w:line="175" w:lineRule="exact"/>
        <w:rPr>
          <w:sz w:val="20"/>
          <w:szCs w:val="20"/>
          <w:color w:val="auto"/>
        </w:rPr>
      </w:pPr>
    </w:p>
    <w:p>
      <w:pPr>
        <w:jc w:val="both"/>
        <w:ind w:left="760" w:firstLine="745"/>
        <w:spacing w:after="0" w:line="246" w:lineRule="auto"/>
        <w:tabs>
          <w:tab w:leader="none" w:pos="1941"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The Borrower may at any time no Default or Event of Default exists (x) in connection with any Commitment Increase under Section 2.08(e), terminate, or from time to time reduce, the Commitment of any Non-Extending Lender (by an amount not to exceed the amount of such Commitment Increase) without reducing the Commitments of any other Lender or (y) at any time after a Non-Extending Lender’s Non-Extended Commitment Termination Date, prepay the Loans of such Non-Extending Lender without prepaying the Loans of any other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reduction of the Commitment or prepayment of Loans of a Non-Extending Lender hereunder shall be in an amount that is $10,000,000 or a larger multiple of $5,000,000 in excess thereof (or, in each case, the entire Commitment or outstanding Loans of such Non-Extending Lender, as applicable).</w:t>
      </w:r>
    </w:p>
    <w:p>
      <w:pPr>
        <w:spacing w:after="0" w:line="179" w:lineRule="exact"/>
        <w:rPr>
          <w:rFonts w:ascii="Arial" w:cs="Arial" w:eastAsia="Arial" w:hAnsi="Arial"/>
          <w:sz w:val="21"/>
          <w:szCs w:val="21"/>
          <w:color w:val="auto"/>
        </w:rPr>
      </w:pPr>
    </w:p>
    <w:p>
      <w:pPr>
        <w:ind w:left="760" w:firstLine="745"/>
        <w:spacing w:after="0" w:line="276" w:lineRule="auto"/>
        <w:tabs>
          <w:tab w:leader="none" w:pos="1941"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of any election to terminate or reduce the Commitment or prepay the Loans of any Non-Extending Lender under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at least two Business Days prior to</w:t>
      </w:r>
    </w:p>
    <w:p>
      <w:pPr>
        <w:spacing w:after="0" w:line="1" w:lineRule="exact"/>
        <w:rPr>
          <w:rFonts w:ascii="Arial" w:cs="Arial" w:eastAsia="Arial" w:hAnsi="Arial"/>
          <w:sz w:val="19"/>
          <w:szCs w:val="19"/>
          <w:color w:val="auto"/>
        </w:rPr>
      </w:pPr>
    </w:p>
    <w:p>
      <w:pPr>
        <w:jc w:val="both"/>
        <w:ind w:left="760" w:hanging="3"/>
        <w:spacing w:after="0" w:line="243" w:lineRule="auto"/>
        <w:tabs>
          <w:tab w:leader="none" w:pos="1083"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the related Commitment Increase Date in the case of any termination or reduction or (y) the effective date of such prepayment, in each case, specifying such election and the related Commitment Increase Date or effective date thereof, as applicable. Promptly following receipt of any notice, the Administrative Agent shall advise each Lender of the contents thereof. Each notice delivered by the Borrower pursuant to this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may state that such notice is conditioned upon the effectiveness of the related Commitment Increase, in which case such notice may be revoked by the Borrower (by notice to the Administrative Agent on or prior to the specified effective date) if such condition is not satisfied.</w:t>
      </w:r>
    </w:p>
    <w:p>
      <w:pPr>
        <w:spacing w:after="0" w:line="187" w:lineRule="exact"/>
        <w:rPr>
          <w:rFonts w:ascii="Arial" w:cs="Arial" w:eastAsia="Arial" w:hAnsi="Arial"/>
          <w:sz w:val="21"/>
          <w:szCs w:val="21"/>
          <w:color w:val="auto"/>
        </w:rPr>
      </w:pPr>
    </w:p>
    <w:p>
      <w:pPr>
        <w:jc w:val="both"/>
        <w:ind w:left="760" w:firstLine="745"/>
        <w:spacing w:after="0" w:line="238" w:lineRule="auto"/>
        <w:tabs>
          <w:tab w:leader="none" w:pos="1941" w:val="left"/>
        </w:tabs>
        <w:numPr>
          <w:ilvl w:val="1"/>
          <w:numId w:val="108"/>
        </w:numPr>
        <w:rPr>
          <w:rFonts w:ascii="Arial" w:cs="Arial" w:eastAsia="Arial" w:hAnsi="Arial"/>
          <w:sz w:val="22"/>
          <w:szCs w:val="22"/>
          <w:color w:val="auto"/>
        </w:rPr>
      </w:pPr>
      <w:r>
        <w:rPr>
          <w:rFonts w:ascii="Arial" w:cs="Arial" w:eastAsia="Arial" w:hAnsi="Arial"/>
          <w:sz w:val="22"/>
          <w:szCs w:val="22"/>
          <w:color w:val="auto"/>
        </w:rPr>
        <w:t xml:space="preserve">Any termination or reduction of the Commitment or prepayment of Loans of any Non-Extending Lender pursuant to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be permanent and, if applicable in connection with any termination or reduction of Commitments, shall be made concurrently with all required reallocation prepayments and cash collateralizations required under </w:t>
      </w:r>
      <w:r>
        <w:rPr>
          <w:rFonts w:ascii="Arial" w:cs="Arial" w:eastAsia="Arial" w:hAnsi="Arial"/>
          <w:sz w:val="22"/>
          <w:szCs w:val="22"/>
          <w:u w:val="single" w:color="auto"/>
          <w:color w:val="auto"/>
        </w:rPr>
        <w:t>Section 2.20</w:t>
      </w:r>
      <w:r>
        <w:rPr>
          <w:rFonts w:ascii="Arial" w:cs="Arial" w:eastAsia="Arial" w:hAnsi="Arial"/>
          <w:sz w:val="22"/>
          <w:szCs w:val="22"/>
          <w:color w:val="auto"/>
        </w:rPr>
        <w:t>.</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2" w:name="page143"/>
    <w:bookmarkEnd w:id="142"/>
    <w:p>
      <w:pPr>
        <w:ind w:left="1500"/>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w:t>
      </w:r>
    </w:p>
    <w:p>
      <w:pPr>
        <w:spacing w:after="0" w:line="206"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Repayment</w:t>
      </w:r>
      <w:r>
        <w:rPr>
          <w:rFonts w:ascii="Arial" w:cs="Arial" w:eastAsia="Arial" w:hAnsi="Arial"/>
          <w:sz w:val="19"/>
          <w:szCs w:val="19"/>
          <w:color w:val="auto"/>
        </w:rPr>
        <w:t>. The Borrower hereby unconditionally promises to pay the Loans of each Class as follows:</w:t>
      </w:r>
    </w:p>
    <w:p>
      <w:pPr>
        <w:spacing w:after="0" w:line="206" w:lineRule="exact"/>
        <w:rPr>
          <w:sz w:val="20"/>
          <w:szCs w:val="20"/>
          <w:color w:val="auto"/>
        </w:rPr>
      </w:pPr>
    </w:p>
    <w:p>
      <w:pPr>
        <w:jc w:val="both"/>
        <w:ind w:left="760" w:firstLine="745"/>
        <w:spacing w:after="0"/>
        <w:tabs>
          <w:tab w:leader="none" w:pos="194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to the Administrative Agent for account of the Lenders of such Class the outstanding principal amount of the Syndicated Loans of the Lenders of such Class and all other amounts due and owing hereunder and under the other Loan Documents on such Lender’s applicable Final Maturity Date; and</w:t>
      </w:r>
    </w:p>
    <w:p>
      <w:pPr>
        <w:spacing w:after="0" w:line="186" w:lineRule="exact"/>
        <w:rPr>
          <w:rFonts w:ascii="Arial" w:cs="Arial" w:eastAsia="Arial" w:hAnsi="Arial"/>
          <w:sz w:val="22"/>
          <w:szCs w:val="22"/>
          <w:color w:val="auto"/>
        </w:rPr>
      </w:pPr>
    </w:p>
    <w:p>
      <w:pPr>
        <w:jc w:val="both"/>
        <w:ind w:left="760" w:firstLine="745"/>
        <w:spacing w:after="0" w:line="236" w:lineRule="auto"/>
        <w:tabs>
          <w:tab w:leader="none" w:pos="194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 xml:space="preserve">to the Swingline Lender the then unpaid principal amount of each Swingline Loan of such Class denominated in Dollars,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each date that a Syndicated Borrowing of such Class is made, the Borrower shall repay all Swingline Loans of such Class then outstanding.</w:t>
      </w:r>
    </w:p>
    <w:p>
      <w:pPr>
        <w:spacing w:after="0" w:line="187"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1"/>
          <w:szCs w:val="21"/>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78" w:lineRule="exact"/>
        <w:rPr>
          <w:sz w:val="20"/>
          <w:szCs w:val="20"/>
          <w:color w:val="auto"/>
        </w:rPr>
      </w:pPr>
    </w:p>
    <w:p>
      <w:pPr>
        <w:jc w:val="both"/>
        <w:ind w:firstLine="1505"/>
        <w:spacing w:after="0" w:line="244" w:lineRule="auto"/>
        <w:tabs>
          <w:tab w:leader="none" w:pos="195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Manner of Payment</w:t>
      </w:r>
      <w:r>
        <w:rPr>
          <w:rFonts w:ascii="Arial" w:cs="Arial" w:eastAsia="Arial" w:hAnsi="Arial"/>
          <w:sz w:val="21"/>
          <w:szCs w:val="21"/>
          <w:color w:val="auto"/>
        </w:rPr>
        <w:t xml:space="preserve">. Prior to any repayment or prepayment of any Borrowings to any Lenders of any Class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21"/>
          <w:szCs w:val="21"/>
          <w:u w:val="single" w:color="auto"/>
          <w:color w:val="auto"/>
        </w:rPr>
        <w:t>Section 2.10(f)</w:t>
      </w:r>
      <w:r>
        <w:rPr>
          <w:rFonts w:ascii="Arial" w:cs="Arial" w:eastAsia="Arial" w:hAnsi="Arial"/>
          <w:sz w:val="21"/>
          <w:szCs w:val="21"/>
          <w:color w:val="auto"/>
        </w:rPr>
        <w:t xml:space="preserve"> prior to the scheduled date of such repayment;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Other than in connection with a reduction or termination of Commitments or prepayment of Loans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2.08(f)</w:t>
      </w:r>
      <w:r>
        <w:rPr>
          <w:rFonts w:ascii="Arial" w:cs="Arial" w:eastAsia="Arial" w:hAnsi="Arial"/>
          <w:sz w:val="21"/>
          <w:szCs w:val="21"/>
          <w:color w:val="auto"/>
        </w:rPr>
        <w:t xml:space="preserve">, the occurrence of the Final Maturity Date with respect to any Lender pursuant to </w:t>
      </w:r>
      <w:r>
        <w:rPr>
          <w:rFonts w:ascii="Arial" w:cs="Arial" w:eastAsia="Arial" w:hAnsi="Arial"/>
          <w:sz w:val="21"/>
          <w:szCs w:val="21"/>
          <w:u w:val="single" w:color="auto"/>
          <w:color w:val="auto"/>
        </w:rPr>
        <w:t>Section 2.09(a)</w:t>
      </w:r>
      <w:r>
        <w:rPr>
          <w:rFonts w:ascii="Arial" w:cs="Arial" w:eastAsia="Arial" w:hAnsi="Arial"/>
          <w:sz w:val="21"/>
          <w:szCs w:val="21"/>
          <w:color w:val="auto"/>
        </w:rPr>
        <w:t xml:space="preserve"> or a mandatory prepayment pursuant to </w:t>
      </w:r>
      <w:r>
        <w:rPr>
          <w:rFonts w:ascii="Arial" w:cs="Arial" w:eastAsia="Arial" w:hAnsi="Arial"/>
          <w:sz w:val="21"/>
          <w:szCs w:val="21"/>
          <w:u w:val="single" w:color="auto"/>
          <w:color w:val="auto"/>
        </w:rPr>
        <w:t>Section 2.10(e)</w:t>
      </w:r>
      <w:r>
        <w:rPr>
          <w:rFonts w:ascii="Arial" w:cs="Arial" w:eastAsia="Arial" w:hAnsi="Arial"/>
          <w:sz w:val="21"/>
          <w:szCs w:val="21"/>
          <w:color w:val="auto"/>
        </w:rPr>
        <w:t>, each payment of a Syndicated Borrowing to Lenders of a Class shall be applied ratably (both with respect to (x) Dollar Loans and Multicurrency Loans and (y) Extended Loans and Non-Extended Loans) to the Loans included in such Borrowing.</w:t>
      </w:r>
    </w:p>
    <w:p>
      <w:pPr>
        <w:spacing w:after="0" w:line="183" w:lineRule="exact"/>
        <w:rPr>
          <w:rFonts w:ascii="Arial" w:cs="Arial" w:eastAsia="Arial" w:hAnsi="Arial"/>
          <w:sz w:val="21"/>
          <w:szCs w:val="21"/>
          <w:color w:val="auto"/>
        </w:rPr>
      </w:pPr>
    </w:p>
    <w:p>
      <w:pPr>
        <w:jc w:val="both"/>
        <w:ind w:firstLine="1505"/>
        <w:spacing w:after="0" w:line="297" w:lineRule="auto"/>
        <w:tabs>
          <w:tab w:leader="none" w:pos="1956"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Maintenance of Records by Lenders</w:t>
      </w:r>
      <w:r>
        <w:rPr>
          <w:rFonts w:ascii="Arial" w:cs="Arial" w:eastAsia="Arial" w:hAnsi="Arial"/>
          <w:sz w:val="19"/>
          <w:szCs w:val="19"/>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4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3" w:name="page144"/>
    <w:bookmarkEnd w:id="143"/>
    <w:p>
      <w:pPr>
        <w:jc w:val="both"/>
        <w:ind w:firstLine="1505"/>
        <w:spacing w:after="0" w:line="249" w:lineRule="auto"/>
        <w:tabs>
          <w:tab w:leader="none" w:pos="1929"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Maintenance of Records by the Administrative Agent</w:t>
      </w:r>
      <w:r>
        <w:rPr>
          <w:rFonts w:ascii="Arial" w:cs="Arial" w:eastAsia="Arial" w:hAnsi="Arial"/>
          <w:sz w:val="21"/>
          <w:szCs w:val="21"/>
          <w:color w:val="auto"/>
        </w:rPr>
        <w:t>. The Administrative Agent shall maintain records in which it shall record (i) the amount and Currency of each Loan made hereunder, the Class and Type thereof and each Interest Period therefor, (ii) the amount and Currency of any principal or interest due and payable or to become due and payable from the Borrower to each Lender of such Class hereunder and (iii) the amount and Currency of any sum received by the Administrative Agent hereunder for account of the Lenders and each Lender’s share thereof.</w:t>
      </w:r>
    </w:p>
    <w:p>
      <w:pPr>
        <w:spacing w:after="0" w:line="178" w:lineRule="exact"/>
        <w:rPr>
          <w:rFonts w:ascii="Arial" w:cs="Arial" w:eastAsia="Arial" w:hAnsi="Arial"/>
          <w:sz w:val="21"/>
          <w:szCs w:val="21"/>
          <w:color w:val="auto"/>
        </w:rPr>
      </w:pPr>
    </w:p>
    <w:p>
      <w:pPr>
        <w:jc w:val="both"/>
        <w:ind w:firstLine="1505"/>
        <w:spacing w:after="0" w:line="287" w:lineRule="auto"/>
        <w:tabs>
          <w:tab w:leader="none" w:pos="195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Effect of Entries</w:t>
      </w:r>
      <w:r>
        <w:rPr>
          <w:rFonts w:ascii="Arial" w:cs="Arial" w:eastAsia="Arial" w:hAnsi="Arial"/>
          <w:sz w:val="19"/>
          <w:szCs w:val="19"/>
          <w:color w:val="auto"/>
        </w:rPr>
        <w:t xml:space="preserve">. The entries made in the records maintained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this Section shall be </w:t>
      </w:r>
      <w:r>
        <w:rPr>
          <w:rFonts w:ascii="Arial" w:cs="Arial" w:eastAsia="Arial" w:hAnsi="Arial"/>
          <w:sz w:val="19"/>
          <w:szCs w:val="19"/>
          <w:u w:val="single" w:color="auto"/>
          <w:color w:val="auto"/>
        </w:rPr>
        <w:t>prima facie</w:t>
      </w:r>
      <w:r>
        <w:rPr>
          <w:rFonts w:ascii="Arial" w:cs="Arial" w:eastAsia="Arial" w:hAnsi="Arial"/>
          <w:sz w:val="19"/>
          <w:szCs w:val="19"/>
          <w:color w:val="auto"/>
        </w:rPr>
        <w:t xml:space="preserve"> evidence, absent obvious error,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42" w:lineRule="exact"/>
        <w:rPr>
          <w:rFonts w:ascii="Arial" w:cs="Arial" w:eastAsia="Arial" w:hAnsi="Arial"/>
          <w:sz w:val="19"/>
          <w:szCs w:val="19"/>
          <w:color w:val="auto"/>
        </w:rPr>
      </w:pPr>
    </w:p>
    <w:p>
      <w:pPr>
        <w:jc w:val="both"/>
        <w:ind w:firstLine="1505"/>
        <w:spacing w:after="0" w:line="279" w:lineRule="auto"/>
        <w:tabs>
          <w:tab w:leader="none" w:pos="197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Promissory Notes</w:t>
      </w:r>
      <w:r>
        <w:rPr>
          <w:rFonts w:ascii="Arial" w:cs="Arial" w:eastAsia="Arial" w:hAnsi="Arial"/>
          <w:sz w:val="19"/>
          <w:szCs w:val="19"/>
          <w:color w:val="auto"/>
        </w:rPr>
        <w:t xml:space="preserve">. Any Lender may request that Loans of any Class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9"/>
          <w:szCs w:val="19"/>
          <w:u w:val="single" w:color="auto"/>
          <w:color w:val="auto"/>
        </w:rPr>
        <w:t>Section 9.04</w:t>
      </w:r>
      <w:r>
        <w:rPr>
          <w:rFonts w:ascii="Arial" w:cs="Arial" w:eastAsia="Arial" w:hAnsi="Arial"/>
          <w:sz w:val="19"/>
          <w:szCs w:val="19"/>
          <w:color w:val="auto"/>
        </w:rPr>
        <w:t>) be represented by one or more promissory notes in such form payable to the payee named therein (or, if such promissory note is a registered note, to such payee and its registered assigns).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82" w:lineRule="auto"/>
        <w:tabs>
          <w:tab w:leader="none" w:pos="1929"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The Borrower shall have the right at any time and from time to time to prepay any Borrowing in whole or in part, without premium or penalty except for payments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subject to the requirements of this Section. Any prepayment of a Borrowing made in accordance with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applied ratably among the Lenders unless such prepayment is made in connection with the reduction of Commitments or the prepayment of Loans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in which case such prepayment shall be applied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940" w:hanging="435"/>
        <w:spacing w:after="0"/>
        <w:tabs>
          <w:tab w:leader="none" w:pos="19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Mandatory Prepayments due to Changes in Exchange Rates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46" w:lineRule="auto"/>
        <w:tabs>
          <w:tab w:leader="none" w:pos="1981" w:val="left"/>
        </w:tabs>
        <w:numPr>
          <w:ilvl w:val="0"/>
          <w:numId w:val="113"/>
        </w:numPr>
        <w:rPr>
          <w:rFonts w:ascii="Arial" w:cs="Arial" w:eastAsia="Arial" w:hAnsi="Arial"/>
          <w:sz w:val="21"/>
          <w:szCs w:val="21"/>
          <w:color w:val="auto"/>
        </w:rPr>
      </w:pPr>
      <w:r>
        <w:rPr>
          <w:rFonts w:ascii="Arial" w:cs="Arial" w:eastAsia="Arial" w:hAnsi="Arial"/>
          <w:sz w:val="21"/>
          <w:szCs w:val="21"/>
          <w:u w:val="single" w:color="auto"/>
          <w:color w:val="auto"/>
        </w:rPr>
        <w:t>Determination of Amount Outstanding</w:t>
      </w:r>
      <w:r>
        <w:rPr>
          <w:rFonts w:ascii="Arial" w:cs="Arial" w:eastAsia="Arial" w:hAnsi="Arial"/>
          <w:sz w:val="21"/>
          <w:szCs w:val="21"/>
          <w:color w:val="auto"/>
        </w:rPr>
        <w:t>. On each Quarterly Date and, in addition, promptly upon the receipt by the Administrative 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w:t>
      </w:r>
    </w:p>
    <w:p>
      <w:pPr>
        <w:spacing w:after="0" w:line="187"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4" w:name="page145"/>
    <w:bookmarkEnd w:id="144"/>
    <w:p>
      <w:pPr>
        <w:ind w:left="760"/>
        <w:spacing w:after="0" w:line="250" w:lineRule="auto"/>
        <w:rPr>
          <w:sz w:val="20"/>
          <w:szCs w:val="20"/>
          <w:color w:val="auto"/>
        </w:rPr>
      </w:pPr>
      <w:r>
        <w:rPr>
          <w:rFonts w:ascii="Arial" w:cs="Arial" w:eastAsia="Arial" w:hAnsi="Arial"/>
          <w:sz w:val="22"/>
          <w:szCs w:val="22"/>
          <w:color w:val="auto"/>
        </w:rPr>
        <w:t>received. Upon making such determination, the Administrative Agent shall promptly notify the Multicurrency Lenders and the Borrower thereof.</w:t>
      </w:r>
    </w:p>
    <w:p>
      <w:pPr>
        <w:spacing w:after="0" w:line="175" w:lineRule="exact"/>
        <w:rPr>
          <w:sz w:val="20"/>
          <w:szCs w:val="20"/>
          <w:color w:val="auto"/>
        </w:rPr>
      </w:pPr>
    </w:p>
    <w:p>
      <w:pPr>
        <w:jc w:val="both"/>
        <w:ind w:left="760" w:firstLine="745"/>
        <w:spacing w:after="0" w:line="234" w:lineRule="auto"/>
        <w:tabs>
          <w:tab w:leader="none" w:pos="1941"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Prepayment</w:t>
      </w:r>
      <w:r>
        <w:rPr>
          <w:rFonts w:ascii="Arial" w:cs="Arial" w:eastAsia="Arial" w:hAnsi="Arial"/>
          <w:sz w:val="22"/>
          <w:szCs w:val="22"/>
          <w:color w:val="auto"/>
        </w:rPr>
        <w:t xml:space="preserve">. If on the date of such determination the aggregate Revolving Multicurrency Credit Exposure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22"/>
          <w:szCs w:val="22"/>
          <w:u w:val="single" w:color="auto"/>
          <w:color w:val="auto"/>
        </w:rPr>
        <w:t>Section 2.05(k)</w:t>
      </w:r>
      <w:r>
        <w:rPr>
          <w:rFonts w:ascii="Arial" w:cs="Arial" w:eastAsia="Arial" w:hAnsi="Arial"/>
          <w:sz w:val="22"/>
          <w:szCs w:val="22"/>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For purposes hereof “</w:t>
      </w:r>
      <w:r>
        <w:rPr>
          <w:rFonts w:ascii="Arial" w:cs="Arial" w:eastAsia="Arial" w:hAnsi="Arial"/>
          <w:sz w:val="19"/>
          <w:szCs w:val="19"/>
          <w:u w:val="single" w:color="auto"/>
          <w:color w:val="auto"/>
        </w:rPr>
        <w:t>Currency Valuation Notice</w:t>
      </w:r>
      <w:r>
        <w:rPr>
          <w:rFonts w:ascii="Arial" w:cs="Arial" w:eastAsia="Arial" w:hAnsi="Arial"/>
          <w:sz w:val="19"/>
          <w:szCs w:val="19"/>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 make more than one valuation determination pursuant to Currency Valuation Notices within any rolling three month period.</w:t>
      </w:r>
    </w:p>
    <w:p>
      <w:pPr>
        <w:spacing w:after="0" w:line="143"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21"/>
          <w:szCs w:val="21"/>
          <w:color w:val="auto"/>
        </w:rPr>
        <w:t xml:space="preserve">Any prepayment pursuant to this paragraph shall be applied, </w:t>
      </w:r>
      <w:r>
        <w:rPr>
          <w:rFonts w:ascii="Arial" w:cs="Arial" w:eastAsia="Arial" w:hAnsi="Arial"/>
          <w:sz w:val="21"/>
          <w:szCs w:val="21"/>
          <w:u w:val="single" w:color="auto"/>
          <w:color w:val="auto"/>
        </w:rPr>
        <w:t>first</w:t>
      </w:r>
      <w:r>
        <w:rPr>
          <w:rFonts w:ascii="Arial" w:cs="Arial" w:eastAsia="Arial" w:hAnsi="Arial"/>
          <w:sz w:val="21"/>
          <w:szCs w:val="21"/>
          <w:color w:val="auto"/>
        </w:rPr>
        <w:t xml:space="preserve"> to Swingline Multicurrency Loans outstanding,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Syndicated Multicurrency Loans outstanding and </w:t>
      </w:r>
      <w:r>
        <w:rPr>
          <w:rFonts w:ascii="Arial" w:cs="Arial" w:eastAsia="Arial" w:hAnsi="Arial"/>
          <w:sz w:val="21"/>
          <w:szCs w:val="21"/>
          <w:u w:val="single" w:color="auto"/>
          <w:color w:val="auto"/>
        </w:rPr>
        <w:t>third</w:t>
      </w:r>
      <w:r>
        <w:rPr>
          <w:rFonts w:ascii="Arial" w:cs="Arial" w:eastAsia="Arial" w:hAnsi="Arial"/>
          <w:sz w:val="21"/>
          <w:szCs w:val="21"/>
          <w:color w:val="auto"/>
        </w:rPr>
        <w:t>, as cover for Multicurrency LC Exposure.</w:t>
      </w:r>
    </w:p>
    <w:p>
      <w:pPr>
        <w:spacing w:after="0" w:line="151" w:lineRule="exact"/>
        <w:rPr>
          <w:sz w:val="20"/>
          <w:szCs w:val="20"/>
          <w:color w:val="auto"/>
        </w:rPr>
      </w:pPr>
    </w:p>
    <w:p>
      <w:pPr>
        <w:jc w:val="both"/>
        <w:ind w:firstLine="1505"/>
        <w:spacing w:after="0" w:line="272" w:lineRule="auto"/>
        <w:tabs>
          <w:tab w:leader="none" w:pos="1929"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Mandatory Prepayments due to Borrowing Base Deficiency</w:t>
      </w:r>
      <w:r>
        <w:rPr>
          <w:rFonts w:ascii="Arial" w:cs="Arial" w:eastAsia="Arial" w:hAnsi="Arial"/>
          <w:sz w:val="19"/>
          <w:szCs w:val="19"/>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9"/>
          <w:szCs w:val="19"/>
          <w:u w:val="single" w:color="auto"/>
          <w:color w:val="auto"/>
        </w:rPr>
        <w:t>Section 2.05(k)</w:t>
      </w:r>
      <w:r>
        <w:rPr>
          <w:rFonts w:ascii="Arial" w:cs="Arial" w:eastAsia="Arial" w:hAnsi="Arial"/>
          <w:sz w:val="19"/>
          <w:szCs w:val="19"/>
          <w:color w:val="auto"/>
        </w:rPr>
        <w:t xml:space="preserve">) or reduce Other Covered Indebtedness in such amounts as shall be necessary so that such Borrowing Base Deficiency is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60" w:lineRule="exact"/>
        <w:rPr>
          <w:rFonts w:ascii="Arial" w:cs="Arial" w:eastAsia="Arial" w:hAnsi="Arial"/>
          <w:sz w:val="19"/>
          <w:szCs w:val="19"/>
          <w:color w:val="auto"/>
        </w:rPr>
      </w:pPr>
    </w:p>
    <w:p>
      <w:pPr>
        <w:ind w:left="1940" w:hanging="435"/>
        <w:spacing w:after="0"/>
        <w:tabs>
          <w:tab w:leader="none" w:pos="19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firstLine="1505"/>
        <w:spacing w:after="0" w:line="250" w:lineRule="auto"/>
        <w:tabs>
          <w:tab w:leader="none" w:pos="1997"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Mandatory Prepayments During Amortization Period</w:t>
      </w:r>
      <w:r>
        <w:rPr>
          <w:rFonts w:ascii="Arial" w:cs="Arial" w:eastAsia="Arial" w:hAnsi="Arial"/>
          <w:sz w:val="22"/>
          <w:szCs w:val="22"/>
          <w:color w:val="auto"/>
        </w:rPr>
        <w:t>. During the period commencing on the date immediately following the Commitment Termination Date with respect</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to any Loans of any Lender or Lenders and ending on the Final Maturity Date with respect to the Loans of such Lender 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Lenders:</w:t>
      </w:r>
    </w:p>
    <w:p>
      <w:pPr>
        <w:spacing w:after="0" w:line="188" w:lineRule="exact"/>
        <w:rPr>
          <w:sz w:val="20"/>
          <w:szCs w:val="20"/>
          <w:color w:val="auto"/>
        </w:rPr>
      </w:pPr>
    </w:p>
    <w:p>
      <w:pPr>
        <w:jc w:val="both"/>
        <w:ind w:left="760" w:firstLine="745"/>
        <w:spacing w:after="0" w:line="235" w:lineRule="auto"/>
        <w:tabs>
          <w:tab w:leader="none" w:pos="1941"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Asset Disposition</w:t>
      </w:r>
      <w:r>
        <w:rPr>
          <w:rFonts w:ascii="Arial" w:cs="Arial" w:eastAsia="Arial" w:hAnsi="Arial"/>
          <w:sz w:val="22"/>
          <w:szCs w:val="22"/>
          <w:color w:val="auto"/>
        </w:rPr>
        <w:t>. If the Borrower or any of its Subsidiaries (other than a Financing Subsidiary) Disposes of any property which results in the receipt by such Person of Net Cash Proceeds in excess of $3,000,000 in the aggregate since the applicable Commitment Termination Date (which aggregate amount shall reset to $0 on the Extended Commitment Termination Date), the Borrower shall prepay an aggregate principal amount of such Loans owed to such Lender or Lenders equal to 100% of such Net Cash Proceeds no later than the fifth Business Day following the receipt of such Net Cash Proceeds.</w:t>
      </w:r>
    </w:p>
    <w:p>
      <w:pPr>
        <w:spacing w:after="0" w:line="187" w:lineRule="exact"/>
        <w:rPr>
          <w:rFonts w:ascii="Arial" w:cs="Arial" w:eastAsia="Arial" w:hAnsi="Arial"/>
          <w:sz w:val="22"/>
          <w:szCs w:val="22"/>
          <w:color w:val="auto"/>
        </w:rPr>
      </w:pPr>
    </w:p>
    <w:p>
      <w:pPr>
        <w:jc w:val="both"/>
        <w:ind w:left="760" w:firstLine="745"/>
        <w:spacing w:after="0" w:line="236" w:lineRule="auto"/>
        <w:tabs>
          <w:tab w:leader="none" w:pos="196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Equity Issuance</w:t>
      </w:r>
      <w:r>
        <w:rPr>
          <w:rFonts w:ascii="Arial" w:cs="Arial" w:eastAsia="Arial" w:hAnsi="Arial"/>
          <w:sz w:val="22"/>
          <w:szCs w:val="22"/>
          <w:color w:val="auto"/>
        </w:rPr>
        <w:t>. Upon the sale or issuance by the Borrower or any of its Subsidiaries (other than a Financing Subsidiary) of any of 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w:t>
      </w:r>
    </w:p>
    <w:p>
      <w:pPr>
        <w:spacing w:after="0" w:line="187" w:lineRule="exact"/>
        <w:rPr>
          <w:rFonts w:ascii="Arial" w:cs="Arial" w:eastAsia="Arial" w:hAnsi="Arial"/>
          <w:sz w:val="22"/>
          <w:szCs w:val="22"/>
          <w:color w:val="auto"/>
        </w:rPr>
      </w:pPr>
    </w:p>
    <w:p>
      <w:pPr>
        <w:jc w:val="both"/>
        <w:ind w:left="760" w:firstLine="745"/>
        <w:spacing w:after="0" w:line="236" w:lineRule="auto"/>
        <w:tabs>
          <w:tab w:leader="none" w:pos="195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187" w:lineRule="exact"/>
        <w:rPr>
          <w:rFonts w:ascii="Arial" w:cs="Arial" w:eastAsia="Arial" w:hAnsi="Arial"/>
          <w:sz w:val="22"/>
          <w:szCs w:val="22"/>
          <w:color w:val="auto"/>
        </w:rPr>
      </w:pPr>
    </w:p>
    <w:p>
      <w:pPr>
        <w:jc w:val="both"/>
        <w:ind w:left="760" w:firstLine="745"/>
        <w:spacing w:after="0" w:line="246" w:lineRule="auto"/>
        <w:tabs>
          <w:tab w:leader="none" w:pos="1954"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Extraordinary Receipt</w:t>
      </w:r>
      <w:r>
        <w:rPr>
          <w:rFonts w:ascii="Arial" w:cs="Arial" w:eastAsia="Arial" w:hAnsi="Arial"/>
          <w:sz w:val="21"/>
          <w:szCs w:val="21"/>
          <w:color w:val="auto"/>
        </w:rPr>
        <w:t xml:space="preserve">. Upon any Extraordinary Receipt (which, when taken with all other Extraordinary Receipts received after the applicable Commitment Termination Date, exceeds $7,500,000 in the aggregate (which aggregate amount shall reset to $0 on the Extended Commitment Termination Date)) received by or paid to or for the account of the Borrower or any of its Subsidiaries (other than a Financing Subsidiary), and not otherwise included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2.10(e)</w:t>
      </w:r>
      <w:r>
        <w:rPr>
          <w:rFonts w:ascii="Arial" w:cs="Arial" w:eastAsia="Arial" w:hAnsi="Arial"/>
          <w:sz w:val="21"/>
          <w:szCs w:val="21"/>
          <w:color w:val="auto"/>
        </w:rPr>
        <w:t>, the Borrower shall prepay an aggregate principal amount of such Loans owed to such Lender or Lenders equal to 100% of all Net Cash Proceeds received therefrom no later than the fifth Business Day following the receipt of such Net Cash Proceeds.</w:t>
      </w:r>
    </w:p>
    <w:p>
      <w:pPr>
        <w:spacing w:after="0" w:line="184" w:lineRule="exact"/>
        <w:rPr>
          <w:rFonts w:ascii="Arial" w:cs="Arial" w:eastAsia="Arial" w:hAnsi="Arial"/>
          <w:sz w:val="21"/>
          <w:szCs w:val="21"/>
          <w:color w:val="auto"/>
        </w:rPr>
      </w:pPr>
    </w:p>
    <w:p>
      <w:pPr>
        <w:jc w:val="both"/>
        <w:ind w:left="760" w:firstLine="745"/>
        <w:spacing w:after="0" w:line="252" w:lineRule="auto"/>
        <w:tabs>
          <w:tab w:leader="none" w:pos="1968" w:val="left"/>
        </w:tabs>
        <w:numPr>
          <w:ilvl w:val="0"/>
          <w:numId w:val="116"/>
        </w:numPr>
        <w:rPr>
          <w:rFonts w:ascii="Arial" w:cs="Arial" w:eastAsia="Arial" w:hAnsi="Arial"/>
          <w:sz w:val="21"/>
          <w:szCs w:val="21"/>
          <w:color w:val="auto"/>
        </w:rPr>
      </w:pPr>
      <w:r>
        <w:rPr>
          <w:rFonts w:ascii="Arial" w:cs="Arial" w:eastAsia="Arial" w:hAnsi="Arial"/>
          <w:sz w:val="21"/>
          <w:szCs w:val="21"/>
          <w:u w:val="single" w:color="auto"/>
          <w:color w:val="auto"/>
        </w:rPr>
        <w:t>Return of Capital</w:t>
      </w:r>
      <w:r>
        <w:rPr>
          <w:rFonts w:ascii="Arial" w:cs="Arial" w:eastAsia="Arial" w:hAnsi="Arial"/>
          <w:sz w:val="21"/>
          <w:szCs w:val="21"/>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21"/>
          <w:szCs w:val="21"/>
          <w:u w:val="single" w:color="auto"/>
          <w:color w:val="auto"/>
        </w:rPr>
        <w:t>Section 2.15</w:t>
      </w:r>
      <w:r>
        <w:rPr>
          <w:rFonts w:ascii="Arial" w:cs="Arial" w:eastAsia="Arial" w:hAnsi="Arial"/>
          <w:sz w:val="21"/>
          <w:szCs w:val="21"/>
          <w:color w:val="auto"/>
        </w:rPr>
        <w:t>) no later than the fifth Business Day following the receipt of such Return of Capital.</w:t>
      </w:r>
    </w:p>
    <w:p>
      <w:pPr>
        <w:spacing w:after="0" w:line="17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 xml:space="preserve">Notwithstanding the foregoing, Net Cash Proceeds and Return of Capital required to be applied to the prepayment of the Loans pursuant to this </w:t>
      </w:r>
      <w:r>
        <w:rPr>
          <w:rFonts w:ascii="Arial" w:cs="Arial" w:eastAsia="Arial" w:hAnsi="Arial"/>
          <w:sz w:val="21"/>
          <w:szCs w:val="21"/>
          <w:u w:val="single" w:color="auto"/>
          <w:color w:val="auto"/>
        </w:rPr>
        <w:t>Section 2.10(e)</w:t>
      </w:r>
      <w:r>
        <w:rPr>
          <w:rFonts w:ascii="Arial" w:cs="Arial" w:eastAsia="Arial" w:hAnsi="Arial"/>
          <w:sz w:val="21"/>
          <w:szCs w:val="21"/>
          <w:color w:val="auto"/>
        </w:rPr>
        <w:t xml:space="preserve"> shall (A) (I) from the period commencing on the Non-Extended Commitment Termination Date and ending on the Extended Commitment Termination Date, be applied ratably among the Non-Extending Lenders for which the Non-Extending Lender Commitment Termination Date shall have occurred and (II) from the Extended Commitment Termination Date to the Extended Final Maturity Date, be applied ratably</w:t>
      </w:r>
    </w:p>
    <w:p>
      <w:pPr>
        <w:spacing w:after="0" w:line="18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6" w:name="page147"/>
    <w:bookmarkEnd w:id="146"/>
    <w:p>
      <w:pPr>
        <w:jc w:val="both"/>
        <w:spacing w:after="0" w:line="272" w:lineRule="auto"/>
        <w:rPr>
          <w:sz w:val="20"/>
          <w:szCs w:val="20"/>
          <w:color w:val="auto"/>
        </w:rPr>
      </w:pPr>
      <w:r>
        <w:rPr>
          <w:rFonts w:ascii="Arial" w:cs="Arial" w:eastAsia="Arial" w:hAnsi="Arial"/>
          <w:sz w:val="19"/>
          <w:szCs w:val="19"/>
          <w:color w:val="auto"/>
        </w:rPr>
        <w:t xml:space="preserve">among the Extending Lenders and shall be made in the manner specified in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(B) exclude the amount necessary for the Borrower to make all required distributions (which shall be no less than the amount estimated in good faith by Borrower under </w:t>
      </w:r>
      <w:r>
        <w:rPr>
          <w:rFonts w:ascii="Arial" w:cs="Arial" w:eastAsia="Arial" w:hAnsi="Arial"/>
          <w:sz w:val="19"/>
          <w:szCs w:val="19"/>
          <w:u w:val="single" w:color="auto"/>
          <w:color w:val="auto"/>
        </w:rPr>
        <w:t>Section 6.05(b)</w:t>
      </w:r>
      <w:r>
        <w:rPr>
          <w:rFonts w:ascii="Arial" w:cs="Arial" w:eastAsia="Arial" w:hAnsi="Arial"/>
          <w:sz w:val="19"/>
          <w:szCs w:val="19"/>
          <w:color w:val="auto"/>
        </w:rPr>
        <w:t xml:space="preserve"> herein) to maintain its ability to be subject to Tax as a RIC under Section 852 of the Code and its election to be treated as a “business development company” under the Investment Company Act for so long as the Borrower retains such status and to avoid payment by the Borrower of federal excise Taxes imposed by Section 4982 of the Code for so long as the Borrower retains the status of a RIC under the Code and (C) if the Loans to be prepaid are Term Benchmark Loans, the Borrower may defer such prepayment until the last day of the Interest Period applicable to such Loans,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Administrative Agent may direct the application of such deposits as set forth in </w:t>
      </w:r>
      <w:r>
        <w:rPr>
          <w:rFonts w:ascii="Arial" w:cs="Arial" w:eastAsia="Arial" w:hAnsi="Arial"/>
          <w:sz w:val="19"/>
          <w:szCs w:val="19"/>
          <w:u w:val="single" w:color="auto"/>
          <w:color w:val="auto"/>
        </w:rPr>
        <w:t>Section 2.09(b)</w:t>
      </w:r>
      <w:r>
        <w:rPr>
          <w:rFonts w:ascii="Arial" w:cs="Arial" w:eastAsia="Arial" w:hAnsi="Arial"/>
          <w:sz w:val="19"/>
          <w:szCs w:val="19"/>
          <w:color w:val="auto"/>
        </w:rPr>
        <w:t xml:space="preserve"> at any time and if the Administrative Agent does so, no amounts will be payable by the Borrower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61" w:lineRule="exact"/>
        <w:rPr>
          <w:sz w:val="20"/>
          <w:szCs w:val="20"/>
          <w:color w:val="auto"/>
        </w:rPr>
      </w:pPr>
    </w:p>
    <w:p>
      <w:pPr>
        <w:jc w:val="both"/>
        <w:ind w:firstLine="1505"/>
        <w:spacing w:after="0" w:line="269" w:lineRule="auto"/>
        <w:tabs>
          <w:tab w:leader="none" w:pos="1943"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Notices, Etc</w:t>
      </w:r>
      <w:r>
        <w:rPr>
          <w:rFonts w:ascii="Arial" w:cs="Arial" w:eastAsia="Arial" w:hAnsi="Arial"/>
          <w:sz w:val="19"/>
          <w:szCs w:val="19"/>
          <w:color w:val="auto"/>
        </w:rPr>
        <w:t xml:space="preserve">. The Borrower shall notify the Administrative Agent (and, in the case of prepayment of a Swingline Loan, the Swingline Lender) by telephone (confirmed by telecopy) of any prepayment hereunder (i) in the case of prepayment of a Term Benchmark Borrowing denominated in Dollars (other than in the case of a prepayment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2.10(e)</w:t>
      </w:r>
      <w:r>
        <w:rPr>
          <w:rFonts w:ascii="Arial" w:cs="Arial" w:eastAsia="Arial" w:hAnsi="Arial"/>
          <w:sz w:val="19"/>
          <w:szCs w:val="19"/>
          <w:color w:val="auto"/>
        </w:rPr>
        <w:t xml:space="preserve">), not later than 11:00 a.m., New York City time, two Business Days before the date of prepayment, (ii) in the case of prepayment of a Term Benchmark Borrowing denominated in a Foreign Currency (other than in the case of a prepayment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not later than 11:00 a.m., New York time, four Business Days before the date of prepayment, (iii) in the case of prepayment of an RFR Borrowing (other than in the case of a prepayment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not later than 11:00 a.m., New York time, four Business Days before the date of prepayment, (iv) in the case of prepayment of a Syndicated ABR Borrowing (other than in the case of a prepayment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not later than 11:00 a.m., New York City time, one Business Day before the date of prepayment, (v) in the case of prepayment of a Swingline Loan, not later than 11:00 a.m., New York City time, on the date of prepayment, or (vi) in the case of any prepayment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not later than 11:00 a.m., New York City time, one Business Day before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(i) a notice of prepayment is given in connection with a conditional notice of termination of the Commitments of a Class as contemplated by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then such notice of prepayment may be revoked if such notice of termination is revoked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2.08</w:t>
      </w:r>
      <w:r>
        <w:rPr>
          <w:rFonts w:ascii="Arial" w:cs="Arial" w:eastAsia="Arial" w:hAnsi="Arial"/>
          <w:sz w:val="19"/>
          <w:szCs w:val="19"/>
          <w:color w:val="auto"/>
        </w:rPr>
        <w:t xml:space="preserve"> and (ii) any notice given in connection with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or in the case of a Swingline Loan, as provided in </w:t>
      </w:r>
      <w:r>
        <w:rPr>
          <w:rFonts w:ascii="Arial" w:cs="Arial" w:eastAsia="Arial" w:hAnsi="Arial"/>
          <w:sz w:val="19"/>
          <w:szCs w:val="19"/>
          <w:u w:val="single" w:color="auto"/>
          <w:color w:val="auto"/>
        </w:rPr>
        <w:t>Section 2.04</w:t>
      </w:r>
      <w:r>
        <w:rPr>
          <w:rFonts w:ascii="Arial" w:cs="Arial" w:eastAsia="Arial" w:hAnsi="Arial"/>
          <w:sz w:val="19"/>
          <w:szCs w:val="19"/>
          <w:color w:val="auto"/>
        </w:rPr>
        <w:t>, except as necessary to apply fully the required amount of a mandatory prepayment. Each prepayment of a Syndicated Borrowing shall be applied ratably to the Loans</w:t>
      </w:r>
    </w:p>
    <w:p>
      <w:pPr>
        <w:spacing w:after="0" w:line="200" w:lineRule="exact"/>
        <w:rPr>
          <w:sz w:val="20"/>
          <w:szCs w:val="20"/>
          <w:color w:val="auto"/>
        </w:rPr>
      </w:pPr>
    </w:p>
    <w:p>
      <w:pPr>
        <w:spacing w:after="0" w:line="22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69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7" w:name="page148"/>
    <w:bookmarkEnd w:id="147"/>
    <w:p>
      <w:pPr>
        <w:jc w:val="both"/>
        <w:spacing w:after="0" w:line="236" w:lineRule="auto"/>
        <w:rPr>
          <w:sz w:val="20"/>
          <w:szCs w:val="20"/>
          <w:color w:val="auto"/>
        </w:rPr>
      </w:pPr>
      <w:r>
        <w:rPr>
          <w:rFonts w:ascii="Arial" w:cs="Arial" w:eastAsia="Arial" w:hAnsi="Arial"/>
          <w:sz w:val="22"/>
          <w:szCs w:val="22"/>
          <w:color w:val="auto"/>
        </w:rPr>
        <w:t xml:space="preserve">held by the Lenders of such Class included in the prepaid Borrowing. Prepayments shall be accompanied by accrued interest to the extent required by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and shall be made in the manner specified in </w:t>
      </w:r>
      <w:r>
        <w:rPr>
          <w:rFonts w:ascii="Arial" w:cs="Arial" w:eastAsia="Arial" w:hAnsi="Arial"/>
          <w:sz w:val="22"/>
          <w:szCs w:val="22"/>
          <w:u w:val="single" w:color="auto"/>
          <w:color w:val="auto"/>
        </w:rPr>
        <w:t>Section 2.09(b)</w:t>
      </w:r>
      <w:r>
        <w:rPr>
          <w:rFonts w:ascii="Arial" w:cs="Arial" w:eastAsia="Arial" w:hAnsi="Arial"/>
          <w:sz w:val="22"/>
          <w:szCs w:val="22"/>
          <w:color w:val="auto"/>
        </w:rPr>
        <w:t xml:space="preserve"> unless such prepayment is made in connection with the reduction of Commitments or the prepayment of Loans in accordance with Section 2.08(f) or a mandatory prepayment pursuant to Section 2.10(e) in which case such prepayment shall be applied in accordance with Section 2.08(f) or Section 2.10(e), as applicable.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Fees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Commitment Fee</w:t>
      </w:r>
      <w:r>
        <w:rPr>
          <w:rFonts w:ascii="Arial" w:cs="Arial" w:eastAsia="Arial" w:hAnsi="Arial"/>
          <w:sz w:val="21"/>
          <w:szCs w:val="21"/>
          <w:color w:val="auto"/>
        </w:rPr>
        <w:t>. The Borrower agrees to pay to the Administrative Agent for account of each Lender a commitment fee, which 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188" w:lineRule="exact"/>
        <w:rPr>
          <w:rFonts w:ascii="Arial" w:cs="Arial" w:eastAsia="Arial" w:hAnsi="Arial"/>
          <w:sz w:val="21"/>
          <w:szCs w:val="21"/>
          <w:color w:val="auto"/>
        </w:rPr>
      </w:pPr>
    </w:p>
    <w:p>
      <w:pPr>
        <w:jc w:val="both"/>
        <w:ind w:firstLine="1505"/>
        <w:spacing w:after="0" w:line="270" w:lineRule="auto"/>
        <w:tabs>
          <w:tab w:leader="none" w:pos="194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 agrees to pay (i) to the Administrative Agent for account of each Lender a participation fee with respect to its participations in Letters of Credit of each Class, which shall accrue at a rate per annum equal to the Applicable Margin applicable to interest on Term Benchmark Loans (or, if such Letter of Credit is denominated in Sterling or Swiss Franc, RFR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the Issuing Bank a fronting fee, which shall accrue at the rate of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with respect to the Letters of Credit shall be payable (i) 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w:t>
      </w:r>
    </w:p>
    <w:p>
      <w:pPr>
        <w:spacing w:after="0" w:line="200" w:lineRule="exact"/>
        <w:rPr>
          <w:sz w:val="20"/>
          <w:szCs w:val="20"/>
          <w:color w:val="auto"/>
        </w:rPr>
      </w:pPr>
    </w:p>
    <w:p>
      <w:pPr>
        <w:spacing w:after="0" w:line="219"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8" w:name="page149"/>
    <w:bookmarkEnd w:id="148"/>
    <w:p>
      <w:pPr>
        <w:jc w:val="both"/>
        <w:spacing w:after="0" w:line="275" w:lineRule="auto"/>
        <w:rPr>
          <w:sz w:val="20"/>
          <w:szCs w:val="20"/>
          <w:color w:val="auto"/>
        </w:rPr>
      </w:pPr>
      <w:r>
        <w:rPr>
          <w:rFonts w:ascii="Arial" w:cs="Arial" w:eastAsia="Arial" w:hAnsi="Arial"/>
          <w:sz w:val="19"/>
          <w:szCs w:val="19"/>
          <w:color w:val="auto"/>
        </w:rPr>
        <w:t>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57" w:lineRule="exact"/>
        <w:rPr>
          <w:sz w:val="20"/>
          <w:szCs w:val="20"/>
          <w:color w:val="auto"/>
        </w:rPr>
      </w:pPr>
    </w:p>
    <w:p>
      <w:pPr>
        <w:ind w:right="20" w:firstLine="1505"/>
        <w:spacing w:after="0" w:line="328" w:lineRule="auto"/>
        <w:tabs>
          <w:tab w:leader="none" w:pos="1929"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Administrative Agent Fees</w:t>
      </w:r>
      <w:r>
        <w:rPr>
          <w:rFonts w:ascii="Arial" w:cs="Arial" w:eastAsia="Arial" w:hAnsi="Arial"/>
          <w:sz w:val="19"/>
          <w:szCs w:val="19"/>
          <w:color w:val="auto"/>
        </w:rPr>
        <w:t>. The Borrower agrees to pay to the Administrative Agent, for its own account, fees payable in the amounts and at the times separately agreed upon between the Borrower and the Administrative Agent.</w:t>
      </w:r>
    </w:p>
    <w:p>
      <w:pPr>
        <w:spacing w:after="0" w:line="104" w:lineRule="exact"/>
        <w:rPr>
          <w:rFonts w:ascii="Arial" w:cs="Arial" w:eastAsia="Arial" w:hAnsi="Arial"/>
          <w:sz w:val="19"/>
          <w:szCs w:val="19"/>
          <w:color w:val="auto"/>
        </w:rPr>
      </w:pPr>
    </w:p>
    <w:p>
      <w:pPr>
        <w:jc w:val="both"/>
        <w:ind w:firstLine="1505"/>
        <w:spacing w:after="0" w:line="249" w:lineRule="auto"/>
        <w:tabs>
          <w:tab w:leader="none" w:pos="1929"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Payment of Fees</w:t>
      </w:r>
      <w:r>
        <w:rPr>
          <w:rFonts w:ascii="Arial" w:cs="Arial" w:eastAsia="Arial" w:hAnsi="Arial"/>
          <w:sz w:val="21"/>
          <w:szCs w:val="21"/>
          <w:color w:val="auto"/>
        </w:rPr>
        <w:t>. All fees payable hereunder shall be paid on the dates due, in Dollars (or, at the election of the Borrower with respect to any fees payable to the Issuing Bank on account of Letters of Credit issued in any Foreign Currency, in such Foreign Currency) and immediately available funds, to the Administrative Agent (or to the Issuing Bank, in the case of fees payable to it) for distribution, in the case of facility fees and participation fees, to the Lenders entitled thereto. Fees paid shall not be refundable under any circumstances absent obvious error.</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50" w:lineRule="auto"/>
        <w:tabs>
          <w:tab w:leader="none" w:pos="195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ABR Loans</w:t>
      </w:r>
      <w:r>
        <w:rPr>
          <w:rFonts w:ascii="Arial" w:cs="Arial" w:eastAsia="Arial" w:hAnsi="Arial"/>
          <w:sz w:val="22"/>
          <w:szCs w:val="22"/>
          <w:color w:val="auto"/>
        </w:rPr>
        <w:t xml:space="preserve">. The Loans constituting each ABR Borrowing (including each Swingline Loan) shall bear interest at a rate per annum equal to the Alternate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74" w:lineRule="exact"/>
        <w:rPr>
          <w:rFonts w:ascii="Arial" w:cs="Arial" w:eastAsia="Arial" w:hAnsi="Arial"/>
          <w:sz w:val="22"/>
          <w:szCs w:val="22"/>
          <w:color w:val="auto"/>
        </w:rPr>
      </w:pPr>
    </w:p>
    <w:p>
      <w:pPr>
        <w:jc w:val="both"/>
        <w:ind w:firstLine="1505"/>
        <w:spacing w:after="0"/>
        <w:tabs>
          <w:tab w:leader="none" w:pos="1929"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Term Benchmark Loans</w:t>
      </w:r>
      <w:r>
        <w:rPr>
          <w:rFonts w:ascii="Arial" w:cs="Arial" w:eastAsia="Arial" w:hAnsi="Arial"/>
          <w:sz w:val="22"/>
          <w:szCs w:val="22"/>
          <w:color w:val="auto"/>
        </w:rPr>
        <w:t xml:space="preserve">. The Loans constituting each Term Benchmark Borrowing shall bear interest at a rate per annum equal to the applicable Adjusted Term Benchmark Rate for the related Interest Period for such Borrowing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86"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RFR Loans</w:t>
      </w:r>
      <w:r>
        <w:rPr>
          <w:rFonts w:ascii="Arial" w:cs="Arial" w:eastAsia="Arial" w:hAnsi="Arial"/>
          <w:sz w:val="22"/>
          <w:szCs w:val="22"/>
          <w:color w:val="auto"/>
        </w:rPr>
        <w:t xml:space="preserve">. The Loans constituting each RFR Borrowing shall bear interest at a rate per annum equal to the Daily Simple RFR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w:t>
      </w:r>
    </w:p>
    <w:p>
      <w:pPr>
        <w:spacing w:after="0" w:line="174" w:lineRule="exact"/>
        <w:rPr>
          <w:rFonts w:ascii="Arial" w:cs="Arial" w:eastAsia="Arial" w:hAnsi="Arial"/>
          <w:sz w:val="22"/>
          <w:szCs w:val="22"/>
          <w:color w:val="auto"/>
        </w:rPr>
      </w:pPr>
    </w:p>
    <w:p>
      <w:pPr>
        <w:jc w:val="both"/>
        <w:ind w:firstLine="1505"/>
        <w:spacing w:after="0" w:line="274" w:lineRule="auto"/>
        <w:tabs>
          <w:tab w:leader="none" w:pos="1943"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Default Interest</w:t>
      </w:r>
      <w:r>
        <w:rPr>
          <w:rFonts w:ascii="Arial" w:cs="Arial" w:eastAsia="Arial" w:hAnsi="Arial"/>
          <w:sz w:val="19"/>
          <w:szCs w:val="19"/>
          <w:color w:val="auto"/>
        </w:rPr>
        <w:t xml:space="preserve">. Notwithstanding the foregoing, (i) if any amount of principal of any Loan or any fee or other amount payable by the Borrower hereunder is not paid when due (without regard to any applicable grace periods), whether at stated maturity, by acceleration or otherwise, such amount shall thereafter bear interest at a fluctuating interest rate per annum at all times equal to (A) in the case of principal of any Loan,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otherwise applicable to such Loan as provided above, (B) in the case of any Letter of Credit,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fee otherwise applicable to such Letter of Credit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2.11(b)(i)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in the case of any fee or other amount, 2%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rate applicable to ABR Loans as provided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Section and (ii) if any Event of Default has occurred and is continuing for any Term Benchmark Loan or RFR Loan, at the end of the current applicable Interest Period, interest shall (if requested by the Administrative Agent upon instructions of the Required Lenders) accrue (A) in the case of</w:t>
      </w:r>
    </w:p>
    <w:p>
      <w:pPr>
        <w:spacing w:after="0" w:line="165"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49" w:name="page150"/>
    <w:bookmarkEnd w:id="149"/>
    <w:p>
      <w:pPr>
        <w:spacing w:after="0" w:line="328" w:lineRule="auto"/>
        <w:rPr>
          <w:sz w:val="20"/>
          <w:szCs w:val="20"/>
          <w:color w:val="auto"/>
        </w:rPr>
      </w:pPr>
      <w:r>
        <w:rPr>
          <w:rFonts w:ascii="Arial" w:cs="Arial" w:eastAsia="Arial" w:hAnsi="Arial"/>
          <w:sz w:val="19"/>
          <w:szCs w:val="19"/>
          <w:color w:val="auto"/>
        </w:rPr>
        <w:t>Dollar Loans, at the Alternate Base Rate plus the Applicable Margin plus 2% per annum and (B) for Loans in any Foreign Currency, at the one month Term Benchmark Rate or RFR Rate, as applicable, plus the Applicable Margin plus 2% per annum.</w:t>
      </w:r>
    </w:p>
    <w:p>
      <w:pPr>
        <w:spacing w:after="0" w:line="105" w:lineRule="exact"/>
        <w:rPr>
          <w:sz w:val="20"/>
          <w:szCs w:val="20"/>
          <w:color w:val="auto"/>
        </w:rPr>
      </w:pPr>
    </w:p>
    <w:p>
      <w:pPr>
        <w:jc w:val="both"/>
        <w:ind w:firstLine="1505"/>
        <w:spacing w:after="0" w:line="275" w:lineRule="auto"/>
        <w:tabs>
          <w:tab w:leader="none" w:pos="194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Payment of Interest</w:t>
      </w:r>
      <w:r>
        <w:rPr>
          <w:rFonts w:ascii="Arial" w:cs="Arial" w:eastAsia="Arial" w:hAnsi="Arial"/>
          <w:sz w:val="19"/>
          <w:szCs w:val="19"/>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interest accrued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Term Benchmark Borrowing denominated in Dollars prior to the end of the Interest Period therefor, accrued interest on such Borrowing shall be payable on the effective date of such conversion.</w:t>
      </w:r>
    </w:p>
    <w:p>
      <w:pPr>
        <w:spacing w:after="0" w:line="157" w:lineRule="exact"/>
        <w:rPr>
          <w:rFonts w:ascii="Arial" w:cs="Arial" w:eastAsia="Arial" w:hAnsi="Arial"/>
          <w:sz w:val="19"/>
          <w:szCs w:val="19"/>
          <w:color w:val="auto"/>
        </w:rPr>
      </w:pPr>
    </w:p>
    <w:p>
      <w:pPr>
        <w:jc w:val="both"/>
        <w:ind w:firstLine="1505"/>
        <w:spacing w:after="0" w:line="279" w:lineRule="auto"/>
        <w:tabs>
          <w:tab w:leader="none" w:pos="1943"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Computation</w:t>
      </w:r>
      <w:r>
        <w:rPr>
          <w:rFonts w:ascii="Arial" w:cs="Arial" w:eastAsia="Arial" w:hAnsi="Arial"/>
          <w:sz w:val="19"/>
          <w:szCs w:val="19"/>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Canadian Dollars or Sterling shall be computed on the basis of a year of 365 days (or 366 days in a leap year), and in each case shall be payable for the actual number of days elapsed (including the first day but excluding the last day). The applicable Alternate Base Rate, Daily Simple RFR or Adjusted Term Benchmark Rate shall be determined by the Administrative Agent and such determination shall be conclusive absent manifest error.</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Inability to Determine Interest Rates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2.22</w:t>
      </w:r>
      <w:r>
        <w:rPr>
          <w:rFonts w:ascii="Arial" w:cs="Arial" w:eastAsia="Arial" w:hAnsi="Arial"/>
          <w:sz w:val="22"/>
          <w:szCs w:val="22"/>
          <w:color w:val="auto"/>
        </w:rPr>
        <w:t>, if:</w:t>
      </w:r>
    </w:p>
    <w:p>
      <w:pPr>
        <w:spacing w:after="0" w:line="206" w:lineRule="exact"/>
        <w:rPr>
          <w:sz w:val="20"/>
          <w:szCs w:val="20"/>
          <w:color w:val="auto"/>
        </w:rPr>
      </w:pPr>
    </w:p>
    <w:p>
      <w:pPr>
        <w:jc w:val="both"/>
        <w:ind w:firstLine="1505"/>
        <w:spacing w:after="0" w:line="277" w:lineRule="auto"/>
        <w:tabs>
          <w:tab w:leader="none" w:pos="199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 prior to the commencement of any Interest Period for a Term Benchmark Borrowing in any Currency, the Administrative Agent determines (which determination shall be conclusive absent manifest error) that adequate and reasonable means do not exist for ascertaining the applicable Adjusted Term Benchmark Rate (including, without limitation, because the applicable Screen Rate for such Currency for such Interest Period is not available or published on a current basis and such circumstances are unlikely to be temporary) for such Interest Period or (ii) at any time, for an RFR Borrowing, the Administrative Agent determines that adequate and reasonable means do not exist for ascertaining the Daily Simple RFR (each determination under this clause (a) shall be made in good faith and shall be conclusive absent manifest error); or</w:t>
      </w:r>
    </w:p>
    <w:p>
      <w:pPr>
        <w:spacing w:after="0" w:line="151" w:lineRule="exact"/>
        <w:rPr>
          <w:rFonts w:ascii="Arial" w:cs="Arial" w:eastAsia="Arial" w:hAnsi="Arial"/>
          <w:sz w:val="19"/>
          <w:szCs w:val="19"/>
          <w:color w:val="auto"/>
        </w:rPr>
      </w:pPr>
    </w:p>
    <w:p>
      <w:pPr>
        <w:jc w:val="both"/>
        <w:ind w:firstLine="1505"/>
        <w:spacing w:after="0" w:line="234" w:lineRule="auto"/>
        <w:tabs>
          <w:tab w:leader="none" w:pos="1929"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 prior to the commencement of any Interest Period for a Term Benchmark Borrowing in any Currency, the Administrative Agent is advised by the Required Lenders of the applicable Class that the Adjusted Term Benchmark Rate for a Loan in such Currency or for the applicable Interest Period will not adequately and fairly reflect the cost to such Lenders of making or maintaining the Loans included in such Borrowing for such Interest Period or (ii) at any time for an RFR Borrowing in any Currency, the Administrative Agent is advised by the Required Multicurrency Lenders that the Daily Simple RFR for a Loan in such Currency will not adequately and fairly reflect the cost to such Lenders of making or maintaining the Loans included in such Borrowing;</w:t>
      </w:r>
    </w:p>
    <w:p>
      <w:pPr>
        <w:spacing w:after="0" w:line="19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0" w:name="page151"/>
    <w:bookmarkEnd w:id="150"/>
    <w:p>
      <w:pPr>
        <w:jc w:val="both"/>
        <w:spacing w:after="0" w:line="273" w:lineRule="auto"/>
        <w:rPr>
          <w:sz w:val="20"/>
          <w:szCs w:val="20"/>
          <w:color w:val="auto"/>
        </w:rPr>
      </w:pPr>
      <w:r>
        <w:rPr>
          <w:rFonts w:ascii="Arial" w:cs="Arial" w:eastAsia="Arial" w:hAnsi="Arial"/>
          <w:sz w:val="19"/>
          <w:szCs w:val="19"/>
          <w:color w:val="auto"/>
        </w:rPr>
        <w:t>then the Administrative Agent shall give written notice thereof (or telephonic notice, promptly confirmed in writing) to the Borrower and the affected Lenders as promptly as practicable thereafter identifying the relevant provision above. Until the Administrative Agent shall notify the Borrower and the Lenders that the circumstances giving rise to such notice no longer exist,</w:t>
      </w:r>
    </w:p>
    <w:p>
      <w:pPr>
        <w:spacing w:after="0" w:line="1" w:lineRule="exact"/>
        <w:rPr>
          <w:sz w:val="20"/>
          <w:szCs w:val="20"/>
          <w:color w:val="auto"/>
        </w:rPr>
      </w:pPr>
    </w:p>
    <w:p>
      <w:pPr>
        <w:jc w:val="both"/>
        <w:ind w:firstLine="8"/>
        <w:spacing w:after="0" w:line="266" w:lineRule="auto"/>
        <w:tabs>
          <w:tab w:leader="none" w:pos="303" w:val="left"/>
        </w:tabs>
        <w:numPr>
          <w:ilvl w:val="0"/>
          <w:numId w:val="123"/>
        </w:numPr>
        <w:rPr>
          <w:rFonts w:ascii="Arial" w:cs="Arial" w:eastAsia="Arial" w:hAnsi="Arial"/>
          <w:sz w:val="19"/>
          <w:szCs w:val="19"/>
          <w:color w:val="auto"/>
        </w:rPr>
      </w:pPr>
      <w:r>
        <w:rPr>
          <w:rFonts w:ascii="Arial" w:cs="Arial" w:eastAsia="Arial" w:hAnsi="Arial"/>
          <w:sz w:val="19"/>
          <w:szCs w:val="19"/>
          <w:color w:val="auto"/>
        </w:rPr>
        <w:t>any Interest Election Request that requests the conversion of any Syndicated Borrowing to, or the continuation of any Syndicated Borrowing as, a Term Benchmark Borrowing denominated in the affected Currency shall be ineffective and, if the affected Currency is Dollars, such Syndicated Borrowing (unless prepaid) shall be continued as, or converted to, a Syndicated ABR Borrowing at the end of the applicable Interest Period, (ii) if the affected Currency is Dollars and any Borrowing Request requests a Term Benchmark Borrowing denominated in Dollars, such Borrowing shall be made as a Syndicated ABR Borrowing,</w:t>
      </w:r>
    </w:p>
    <w:p>
      <w:pPr>
        <w:spacing w:after="0" w:line="4" w:lineRule="exact"/>
        <w:rPr>
          <w:rFonts w:ascii="Arial" w:cs="Arial" w:eastAsia="Arial" w:hAnsi="Arial"/>
          <w:sz w:val="19"/>
          <w:szCs w:val="19"/>
          <w:color w:val="auto"/>
        </w:rPr>
      </w:pPr>
    </w:p>
    <w:p>
      <w:pPr>
        <w:jc w:val="both"/>
        <w:ind w:firstLine="8"/>
        <w:spacing w:after="0" w:line="268" w:lineRule="auto"/>
        <w:tabs>
          <w:tab w:leader="none" w:pos="381"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if the affected Currency is a Foreign Currency other than Canadian Dollars, (A) any Borrowing Request that requests a Term Benchmark Borrowing or RFR Borrowing denominated in the affected Currency shall be made as a Borrowing bearing interest at the Central Bank Rate for the applicable Agreed Foreign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Request shall be ineffective, and (B) any outstanding Term Benchmark Borrowing or RFR Borrowing in the affected Currency, at the Borrower’s election shall either (1) be converted to a Borrowing bearing interest at the Central Bank Rate for the applicable Agreed Foreign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 be converted into a Syndicated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(2) be converted into a Syndicated ABR Borrowing denominated in Dollars (in an amount equal to the Dollar Equivalent of such affected Currency) at the end of the applicable Interest Period, or (3) be prepaid in full at the end of the applicable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w:t>
      </w:r>
      <w:r>
        <w:rPr>
          <w:rFonts w:ascii="Arial" w:cs="Arial" w:eastAsia="Arial" w:hAnsi="Arial"/>
          <w:sz w:val="19"/>
          <w:szCs w:val="19"/>
          <w:u w:val="single" w:color="auto"/>
          <w:color w:val="auto"/>
        </w:rPr>
        <w:t>clause (iii)(B)(1)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(iv)(B)(1)</w:t>
      </w:r>
      <w:r>
        <w:rPr>
          <w:rFonts w:ascii="Arial" w:cs="Arial" w:eastAsia="Arial" w:hAnsi="Arial"/>
          <w:sz w:val="19"/>
          <w:szCs w:val="19"/>
          <w:color w:val="auto"/>
        </w:rPr>
        <w:t xml:space="preserve"> above, as applicable.</w:t>
      </w:r>
    </w:p>
    <w:p>
      <w:pPr>
        <w:spacing w:after="0" w:line="200" w:lineRule="exact"/>
        <w:rPr>
          <w:sz w:val="20"/>
          <w:szCs w:val="20"/>
          <w:color w:val="auto"/>
        </w:rPr>
      </w:pPr>
    </w:p>
    <w:p>
      <w:pPr>
        <w:spacing w:after="0" w:line="22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1" w:name="page152"/>
    <w:bookmarkEnd w:id="151"/>
    <w:p>
      <w:pPr>
        <w:ind w:left="150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sz w:val="20"/>
          <w:szCs w:val="20"/>
          <w:color w:val="auto"/>
        </w:rPr>
      </w:pPr>
    </w:p>
    <w:p>
      <w:pPr>
        <w:jc w:val="both"/>
        <w:ind w:left="760" w:firstLine="745"/>
        <w:spacing w:after="0" w:line="235" w:lineRule="auto"/>
        <w:tabs>
          <w:tab w:leader="none" w:pos="194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impose, modify or deem applicable any reserve (including pursuant to regulations issued from time to time by the Board for determining the maximum reserve requirement (including any emergency, special, supplemental other marginal reserve requirement) with respect to any eurocurrency funding (currently referred to as “Eurocurrency liabilities” in Regulation D)), special deposit or similar requirement against assets of, deposits with or for account of, or credit extended by, any Lender (except any such reserve requirement reflected in the Adjusted Term Benchmark Rate for Euros) or the Issuing Bank; or</w:t>
      </w:r>
    </w:p>
    <w:p>
      <w:pPr>
        <w:spacing w:after="0" w:line="187" w:lineRule="exact"/>
        <w:rPr>
          <w:rFonts w:ascii="Arial" w:cs="Arial" w:eastAsia="Arial" w:hAnsi="Arial"/>
          <w:sz w:val="22"/>
          <w:szCs w:val="22"/>
          <w:color w:val="auto"/>
        </w:rPr>
      </w:pPr>
    </w:p>
    <w:p>
      <w:pPr>
        <w:jc w:val="both"/>
        <w:ind w:left="760" w:firstLine="745"/>
        <w:spacing w:after="0"/>
        <w:tabs>
          <w:tab w:leader="none" w:pos="1941" w:val="left"/>
        </w:tabs>
        <w:numPr>
          <w:ilvl w:val="0"/>
          <w:numId w:val="126"/>
        </w:numPr>
        <w:rPr>
          <w:rFonts w:ascii="Arial" w:cs="Arial" w:eastAsia="Arial" w:hAnsi="Arial"/>
          <w:sz w:val="22"/>
          <w:szCs w:val="22"/>
          <w:color w:val="auto"/>
        </w:rPr>
      </w:pPr>
      <w:r>
        <w:rPr>
          <w:rFonts w:ascii="Arial" w:cs="Arial" w:eastAsia="Arial" w:hAnsi="Arial"/>
          <w:sz w:val="22"/>
          <w:szCs w:val="22"/>
          <w:color w:val="auto"/>
        </w:rPr>
        <w:t>impose on any Lender or the Issuing Bank any other condition, cost or expense (other than Taxes) affecting this Agreement or Term Benchmark Loans or RFR Loans made by such Lender or any Letter of Credit or participation in any such Loan or Letter of Credit;</w:t>
      </w:r>
    </w:p>
    <w:p>
      <w:pPr>
        <w:spacing w:after="0" w:line="18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and the result of any of the foregoing shall be to increase the cost to such Lenders of making, converting to, continuing or maintaining any Term Benchmark Loan or RFR Loan (or of maintaining its obligation to make any such Loan) or to increase the cost to such Lender or the Issuing Bank of participating in, issuing or maintaining any Letter of Credit or to reduce the amount of any sum received or receivable by such Lender or the Issuing Bank hereunder (whether of principal, interest or otherwise), then the Borrower will pay to such Lender or the Issuing Bank, as the case may be, in Dollars, such additional amount or amounts as will compensate such Lender or the Issuing Bank, as the case may be, for such additional costs incurred or reduction suffered.</w:t>
      </w:r>
    </w:p>
    <w:p>
      <w:pPr>
        <w:spacing w:after="0" w:line="150" w:lineRule="exact"/>
        <w:rPr>
          <w:sz w:val="20"/>
          <w:szCs w:val="20"/>
          <w:color w:val="auto"/>
        </w:rPr>
      </w:pPr>
    </w:p>
    <w:p>
      <w:pPr>
        <w:jc w:val="both"/>
        <w:ind w:firstLine="1505"/>
        <w:spacing w:after="0" w:line="273" w:lineRule="auto"/>
        <w:tabs>
          <w:tab w:leader="none" w:pos="1929"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Capital or Liquidity Requirements</w:t>
      </w:r>
      <w:r>
        <w:rPr>
          <w:rFonts w:ascii="Arial" w:cs="Arial" w:eastAsia="Arial" w:hAnsi="Arial"/>
          <w:sz w:val="19"/>
          <w:szCs w:val="19"/>
          <w:color w:val="auto"/>
        </w:rPr>
        <w:t>.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Swingline Loans and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by an amount deemed to be material by such Lender or the Issuing Bank, then from time to time the Borrower will pay to such Lender or the Issuing Bank, as the case may be, in Dollars, such additional amount or amounts as will compensate such Lender or the Issuing Bank or such Lender’s or the Issuing Bank’s holding company for any such reduction suffered.</w:t>
      </w:r>
    </w:p>
    <w:p>
      <w:pPr>
        <w:spacing w:after="0" w:line="160" w:lineRule="exact"/>
        <w:rPr>
          <w:rFonts w:ascii="Arial" w:cs="Arial" w:eastAsia="Arial" w:hAnsi="Arial"/>
          <w:sz w:val="19"/>
          <w:szCs w:val="19"/>
          <w:color w:val="auto"/>
        </w:rPr>
      </w:pPr>
    </w:p>
    <w:p>
      <w:pPr>
        <w:jc w:val="both"/>
        <w:ind w:firstLine="1505"/>
        <w:spacing w:after="0" w:line="287" w:lineRule="auto"/>
        <w:tabs>
          <w:tab w:leader="none" w:pos="1929"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Certificates from Lenders</w:t>
      </w:r>
      <w:r>
        <w:rPr>
          <w:rFonts w:ascii="Arial" w:cs="Arial" w:eastAsia="Arial" w:hAnsi="Arial"/>
          <w:sz w:val="19"/>
          <w:szCs w:val="19"/>
          <w:color w:val="auto"/>
        </w:rPr>
        <w:t xml:space="preserve">. A certificate of a Lender or the Issuing Bank setting forth in reasonable detail the basis for and the calculation of the amount or amounts, in Dollars, necessary to compensate such Lender or the Issuing Bank or its holding company, as the case may be, as specified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promptly delivered to the Borrower and shall be conclusive absent manifest error (it being understood that no Lender shall</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52" w:name="page153"/>
    <w:bookmarkEnd w:id="152"/>
    <w:p>
      <w:pPr>
        <w:jc w:val="both"/>
        <w:ind w:right="20"/>
        <w:spacing w:after="0"/>
        <w:rPr>
          <w:sz w:val="20"/>
          <w:szCs w:val="20"/>
          <w:color w:val="auto"/>
        </w:rPr>
      </w:pPr>
      <w:r>
        <w:rPr>
          <w:rFonts w:ascii="Arial" w:cs="Arial" w:eastAsia="Arial" w:hAnsi="Arial"/>
          <w:sz w:val="22"/>
          <w:szCs w:val="22"/>
          <w:color w:val="auto"/>
        </w:rPr>
        <w:t>be required to disclose (i) any confidential or price sensitive information or (ii) any information to the extent prohibited by applicable law). The Borrower shall pay such Lender or the Issuing Bank, as the case may be, the amount shown as due on any such certificate within 10 days after receipt thereof.</w:t>
      </w:r>
    </w:p>
    <w:p>
      <w:pPr>
        <w:spacing w:after="0" w:line="186" w:lineRule="exact"/>
        <w:rPr>
          <w:sz w:val="20"/>
          <w:szCs w:val="20"/>
          <w:color w:val="auto"/>
        </w:rPr>
      </w:pPr>
    </w:p>
    <w:p>
      <w:pPr>
        <w:jc w:val="both"/>
        <w:ind w:firstLine="1505"/>
        <w:spacing w:after="0" w:line="246" w:lineRule="auto"/>
        <w:tabs>
          <w:tab w:leader="none" w:pos="1929"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the Issuing Bank pursuant to this Section for any increased costs or reductions incurred more than six months prior to the date that such Lender or the Issuing Bank, as the case may be, notifies the Borrower of the Change in Law giving rise to such increased costs or reductions and of such Lender’s or the Issuing Bank’s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Change in Law giving rise to such increased costs or reductions is retroactive, then the six-month period referred to above shall be extended to include the period of retroactive effect thereof.</w:t>
      </w:r>
    </w:p>
    <w:p>
      <w:pPr>
        <w:spacing w:after="0" w:line="180"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Term Benchmark Loan, in each case, other than on the last day of an Interest Period therefor (including as a result of the occurrence of any Commitment Increase Date or an Event of Default), (b) the conversion of any Term Benchmark Loan other than on the last day of an Interest Period therefor, (c) the failure to borrow, convert, continue or prepay any Term Benchmark Loan on the date specified in any notice delivered pursuant hereto (including, in connection with any Commitment Increase Date, and regardless of whether such notice is permitted to be revocable under </w:t>
      </w:r>
      <w:r>
        <w:rPr>
          <w:rFonts w:ascii="Arial" w:cs="Arial" w:eastAsia="Arial" w:hAnsi="Arial"/>
          <w:sz w:val="19"/>
          <w:szCs w:val="19"/>
          <w:u w:val="single" w:color="auto"/>
          <w:color w:val="auto"/>
        </w:rPr>
        <w:t>Section 2.10(f)</w:t>
      </w:r>
      <w:r>
        <w:rPr>
          <w:rFonts w:ascii="Arial" w:cs="Arial" w:eastAsia="Arial" w:hAnsi="Arial"/>
          <w:sz w:val="19"/>
          <w:szCs w:val="19"/>
          <w:color w:val="auto"/>
        </w:rPr>
        <w:t xml:space="preserve"> and is revoked in accordance herewith), or (d) the assignment as a result of a request by the Borrower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of any Term Benchmark Loan other than on the last day of an Interest Period therefor, then, in any such event, the Borrower shall compensate each affected Lender for such Lender’s the loss, cost and reasonable expense attributable to such event (excluding loss of anticipated profits). In the case of a Term Benchmark Loan, the loss to any Lender attributable to any such event shall be deemed to include an amount determined by such Lender to be equal to the excess, if any, of</w:t>
      </w:r>
    </w:p>
    <w:p>
      <w:pPr>
        <w:spacing w:after="0" w:line="155" w:lineRule="exact"/>
        <w:rPr>
          <w:sz w:val="20"/>
          <w:szCs w:val="20"/>
          <w:color w:val="auto"/>
        </w:rPr>
      </w:pPr>
    </w:p>
    <w:p>
      <w:pPr>
        <w:jc w:val="both"/>
        <w:ind w:left="760" w:firstLine="745"/>
        <w:spacing w:after="0" w:line="235" w:lineRule="auto"/>
        <w:tabs>
          <w:tab w:leader="none" w:pos="194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Adjusted Term Benchmark Rate for such Currency for such Interest Period, </w:t>
      </w:r>
      <w:r>
        <w:rPr>
          <w:rFonts w:ascii="Arial" w:cs="Arial" w:eastAsia="Arial" w:hAnsi="Arial"/>
          <w:sz w:val="22"/>
          <w:szCs w:val="22"/>
          <w:u w:val="single" w:color="auto"/>
          <w:color w:val="auto"/>
        </w:rPr>
        <w:t>over</w:t>
      </w:r>
    </w:p>
    <w:p>
      <w:pPr>
        <w:spacing w:after="0" w:line="187" w:lineRule="exact"/>
        <w:rPr>
          <w:rFonts w:ascii="Arial" w:cs="Arial" w:eastAsia="Arial" w:hAnsi="Arial"/>
          <w:sz w:val="22"/>
          <w:szCs w:val="22"/>
          <w:color w:val="auto"/>
        </w:rPr>
      </w:pPr>
    </w:p>
    <w:p>
      <w:pPr>
        <w:jc w:val="both"/>
        <w:ind w:left="760" w:firstLine="745"/>
        <w:spacing w:after="0" w:line="238" w:lineRule="auto"/>
        <w:tabs>
          <w:tab w:leader="none" w:pos="194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Payment under this </w:t>
      </w:r>
      <w:r>
        <w:rPr>
          <w:rFonts w:ascii="Arial" w:cs="Arial" w:eastAsia="Arial" w:hAnsi="Arial"/>
          <w:sz w:val="22"/>
          <w:szCs w:val="22"/>
          <w:u w:val="single" w:color="auto"/>
          <w:color w:val="auto"/>
        </w:rPr>
        <w:t>Section 2.15</w:t>
      </w:r>
      <w:r>
        <w:rPr>
          <w:rFonts w:ascii="Arial" w:cs="Arial" w:eastAsia="Arial" w:hAnsi="Arial"/>
          <w:sz w:val="22"/>
          <w:szCs w:val="22"/>
          <w:color w:val="auto"/>
        </w:rPr>
        <w:t xml:space="preserve"> shall be made upon request of a Lender delivered not later than five Business Days following the payment, conversion, or failure to borrow, convert, continue or</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3" w:name="page154"/>
    <w:bookmarkEnd w:id="153"/>
    <w:p>
      <w:pPr>
        <w:jc w:val="both"/>
        <w:spacing w:after="0" w:line="238" w:lineRule="auto"/>
        <w:rPr>
          <w:sz w:val="20"/>
          <w:szCs w:val="20"/>
          <w:color w:val="auto"/>
        </w:rPr>
      </w:pPr>
      <w:r>
        <w:rPr>
          <w:rFonts w:ascii="Arial" w:cs="Arial" w:eastAsia="Arial" w:hAnsi="Arial"/>
          <w:sz w:val="22"/>
          <w:szCs w:val="22"/>
          <w:color w:val="auto"/>
        </w:rPr>
        <w:t>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Taxes</w:t>
      </w:r>
      <w:r>
        <w:rPr>
          <w:rFonts w:ascii="Arial" w:cs="Arial" w:eastAsia="Arial" w:hAnsi="Arial"/>
          <w:sz w:val="22"/>
          <w:szCs w:val="22"/>
          <w:color w:val="auto"/>
        </w:rPr>
        <w:t xml:space="preserve">. For purposes of this </w:t>
      </w:r>
      <w:r>
        <w:rPr>
          <w:rFonts w:ascii="Arial" w:cs="Arial" w:eastAsia="Arial" w:hAnsi="Arial"/>
          <w:sz w:val="22"/>
          <w:szCs w:val="22"/>
          <w:u w:val="single" w:color="auto"/>
          <w:color w:val="auto"/>
        </w:rPr>
        <w:t>Section 2.16</w:t>
      </w:r>
      <w:r>
        <w:rPr>
          <w:rFonts w:ascii="Arial" w:cs="Arial" w:eastAsia="Arial" w:hAnsi="Arial"/>
          <w:sz w:val="22"/>
          <w:szCs w:val="22"/>
          <w:color w:val="auto"/>
        </w:rPr>
        <w:t>, the term “Lender” includes the Issuing Bank and the term “applicable law” includes FATCA.</w:t>
      </w:r>
    </w:p>
    <w:p>
      <w:pPr>
        <w:spacing w:after="0" w:line="175" w:lineRule="exact"/>
        <w:rPr>
          <w:sz w:val="20"/>
          <w:szCs w:val="20"/>
          <w:color w:val="auto"/>
        </w:rPr>
      </w:pPr>
    </w:p>
    <w:p>
      <w:pPr>
        <w:jc w:val="both"/>
        <w:ind w:firstLine="1505"/>
        <w:spacing w:after="0" w:line="275" w:lineRule="auto"/>
        <w:tabs>
          <w:tab w:leader="none" w:pos="1956"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xml:space="preserve">. Any and all payments by or on account of any obligation of the Borrower hereunder or under any other Loan Document shall be made free and clear of and without deduction for any Taxes, except as required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shall be required to deduct any Taxes from such payments, then (i) if such Taxes are Indemnified Taxes, the sum payable by the Borrower shall be increased as necessary so that after making all required deductions (including deductions applicable to additional sums payable under this Section) the Administrative Agent, applicable Lender or the Issuing Bank (as the case may be) receives an amount equal to the sum it would have received had no such deductions been made, (ii) the Borrower shall make such deductions and (iii) the Borrower shall pay the full amount deducted to the relevant Governmental Authority in accordance with applicable law.</w:t>
      </w:r>
    </w:p>
    <w:p>
      <w:pPr>
        <w:spacing w:after="0" w:line="157" w:lineRule="exact"/>
        <w:rPr>
          <w:rFonts w:ascii="Arial" w:cs="Arial" w:eastAsia="Arial" w:hAnsi="Arial"/>
          <w:sz w:val="19"/>
          <w:szCs w:val="19"/>
          <w:color w:val="auto"/>
        </w:rPr>
      </w:pPr>
    </w:p>
    <w:p>
      <w:pPr>
        <w:ind w:right="20" w:firstLine="1505"/>
        <w:spacing w:after="0" w:line="250" w:lineRule="auto"/>
        <w:tabs>
          <w:tab w:leader="none" w:pos="1956"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In addition, the Borrower shall pay any Other Taxes to the relevant Governmental Authority in accordance with applicable law.</w:t>
      </w:r>
    </w:p>
    <w:p>
      <w:pPr>
        <w:spacing w:after="0" w:line="174" w:lineRule="exact"/>
        <w:rPr>
          <w:rFonts w:ascii="Arial" w:cs="Arial" w:eastAsia="Arial" w:hAnsi="Arial"/>
          <w:sz w:val="22"/>
          <w:szCs w:val="22"/>
          <w:color w:val="auto"/>
        </w:rPr>
      </w:pPr>
    </w:p>
    <w:p>
      <w:pPr>
        <w:jc w:val="both"/>
        <w:ind w:firstLine="1505"/>
        <w:spacing w:after="0" w:line="274" w:lineRule="auto"/>
        <w:tabs>
          <w:tab w:leader="none" w:pos="1943"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each Lender and the Issuing Bank for and, within 10 Business Days after written demand therefor, pay the full amount of any Indemnified Taxes (including Indemnified Taxes imposed or asserted on or attributable to amounts payable under this Section) paid by the Administrative Agent, such Lender or the Issuing Bank, as the case may be, and any penalties, interest and reasonable expenses arising therefrom or with respect thereto, whether or not such Indemnified Taxes were correctly or legally imposed or asserted by the relevant Governmental Authority, except to the extent that any such Indemnified Taxes arise as the result of the gross negligence or willful misconduct of the Administrative Agent, such Lender or the Issuing Bank. A certificate as to the amount of such payment or liability delivered to the Borrower by a Lender or the Issuing Bank, or by the Administrative Agent on its own behalf or on behalf of a Lender or the Issuing Bank, shall be conclusive absent manifest error.</w:t>
      </w:r>
    </w:p>
    <w:p>
      <w:pPr>
        <w:spacing w:after="0" w:line="158" w:lineRule="exact"/>
        <w:rPr>
          <w:rFonts w:ascii="Arial" w:cs="Arial" w:eastAsia="Arial" w:hAnsi="Arial"/>
          <w:sz w:val="19"/>
          <w:szCs w:val="19"/>
          <w:color w:val="auto"/>
        </w:rPr>
      </w:pPr>
    </w:p>
    <w:p>
      <w:pPr>
        <w:jc w:val="both"/>
        <w:ind w:firstLine="1505"/>
        <w:spacing w:after="0" w:line="245" w:lineRule="auto"/>
        <w:tabs>
          <w:tab w:leader="none" w:pos="1943"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Indemnification by the Lenders</w:t>
      </w:r>
      <w:r>
        <w:rPr>
          <w:rFonts w:ascii="Arial" w:cs="Arial" w:eastAsia="Arial" w:hAnsi="Arial"/>
          <w:sz w:val="21"/>
          <w:szCs w:val="21"/>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21"/>
          <w:szCs w:val="21"/>
          <w:u w:val="single" w:color="auto"/>
          <w:color w:val="auto"/>
        </w:rPr>
        <w:t>Section 9.04(f)</w:t>
      </w:r>
      <w:r>
        <w:rPr>
          <w:rFonts w:ascii="Arial" w:cs="Arial" w:eastAsia="Arial" w:hAnsi="Arial"/>
          <w:sz w:val="21"/>
          <w:szCs w:val="21"/>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4" w:name="page155"/>
    <w:bookmarkEnd w:id="154"/>
    <w:p>
      <w:pPr>
        <w:jc w:val="both"/>
        <w:spacing w:after="0" w:line="297" w:lineRule="auto"/>
        <w:rPr>
          <w:sz w:val="20"/>
          <w:szCs w:val="20"/>
          <w:color w:val="auto"/>
        </w:rPr>
      </w:pPr>
      <w:r>
        <w:rPr>
          <w:rFonts w:ascii="Arial" w:cs="Arial" w:eastAsia="Arial" w:hAnsi="Arial"/>
          <w:sz w:val="19"/>
          <w:szCs w:val="19"/>
          <w:color w:val="auto"/>
        </w:rPr>
        <w:t xml:space="preserve">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9"/>
          <w:szCs w:val="19"/>
          <w:u w:val="single" w:color="auto"/>
          <w:color w:val="auto"/>
        </w:rPr>
        <w:t>paragraph (d)</w:t>
      </w:r>
      <w:r>
        <w:rPr>
          <w:rFonts w:ascii="Arial" w:cs="Arial" w:eastAsia="Arial" w:hAnsi="Arial"/>
          <w:sz w:val="19"/>
          <w:szCs w:val="19"/>
          <w:color w:val="auto"/>
        </w:rPr>
        <w:t>.</w:t>
      </w:r>
    </w:p>
    <w:p>
      <w:pPr>
        <w:spacing w:after="0" w:line="134" w:lineRule="exact"/>
        <w:rPr>
          <w:sz w:val="20"/>
          <w:szCs w:val="20"/>
          <w:color w:val="auto"/>
        </w:rPr>
      </w:pPr>
    </w:p>
    <w:p>
      <w:pPr>
        <w:jc w:val="both"/>
        <w:ind w:firstLine="1505"/>
        <w:spacing w:after="0" w:line="287" w:lineRule="auto"/>
        <w:tabs>
          <w:tab w:leader="none" w:pos="1929"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As soon as practicable after any payment of Indemnified Taxes by the Borrower to a Governmental Authority pursuant to this </w:t>
      </w:r>
      <w:r>
        <w:rPr>
          <w:rFonts w:ascii="Arial" w:cs="Arial" w:eastAsia="Arial" w:hAnsi="Arial"/>
          <w:sz w:val="19"/>
          <w:szCs w:val="19"/>
          <w:u w:val="single" w:color="auto"/>
          <w:color w:val="auto"/>
        </w:rPr>
        <w:t>Section 2.16</w:t>
      </w:r>
      <w:r>
        <w:rPr>
          <w:rFonts w:ascii="Arial" w:cs="Arial" w:eastAsia="Arial" w:hAnsi="Arial"/>
          <w:sz w:val="19"/>
          <w:szCs w:val="19"/>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42" w:lineRule="exact"/>
        <w:rPr>
          <w:rFonts w:ascii="Arial" w:cs="Arial" w:eastAsia="Arial" w:hAnsi="Arial"/>
          <w:sz w:val="19"/>
          <w:szCs w:val="19"/>
          <w:color w:val="auto"/>
        </w:rPr>
      </w:pPr>
    </w:p>
    <w:p>
      <w:pPr>
        <w:jc w:val="both"/>
        <w:ind w:firstLine="1505"/>
        <w:spacing w:after="0" w:line="272" w:lineRule="auto"/>
        <w:tabs>
          <w:tab w:leader="none" w:pos="1929"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Tax Documentation</w:t>
      </w:r>
      <w:r>
        <w:rPr>
          <w:rFonts w:ascii="Arial" w:cs="Arial" w:eastAsia="Arial" w:hAnsi="Arial"/>
          <w:sz w:val="19"/>
          <w:szCs w:val="19"/>
          <w:color w:val="auto"/>
        </w:rPr>
        <w:t xml:space="preserve">. (i) Any Lender that is entitled to an exemption from or reduction of withholding Tax, with respect to payments under any Loan Document shall deliver to the Borrower and the Administrative Agent, at the time or times prescribed by applicable law or reasonably requested by the Borrower or the Administrative Agent, such properly completed and executed documentation reasonably requested by the Borrower or the Administrative Agent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2.16(f)(ii)(A) and (B)</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8" w:lineRule="exact"/>
        <w:rPr>
          <w:sz w:val="20"/>
          <w:szCs w:val="20"/>
          <w:color w:val="auto"/>
        </w:rPr>
      </w:pPr>
    </w:p>
    <w:p>
      <w:pPr>
        <w:ind w:left="1940" w:hanging="435"/>
        <w:spacing w:after="0"/>
        <w:tabs>
          <w:tab w:leader="none" w:pos="194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Without limiting the generality of the foregoing:</w:t>
      </w:r>
    </w:p>
    <w:p>
      <w:pPr>
        <w:spacing w:after="0" w:line="206" w:lineRule="exact"/>
        <w:rPr>
          <w:rFonts w:ascii="Arial" w:cs="Arial" w:eastAsia="Arial" w:hAnsi="Arial"/>
          <w:sz w:val="22"/>
          <w:szCs w:val="22"/>
          <w:color w:val="auto"/>
        </w:rPr>
      </w:pPr>
    </w:p>
    <w:p>
      <w:pPr>
        <w:jc w:val="both"/>
        <w:ind w:left="1500" w:firstLine="754"/>
        <w:spacing w:after="0" w:line="235" w:lineRule="auto"/>
        <w:tabs>
          <w:tab w:leader="none" w:pos="2681"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Administrative Agent (and such additional copies as shall be reasonably requested by the recipient) on or prior to the date on which such Lender becomes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87" w:lineRule="exact"/>
        <w:rPr>
          <w:rFonts w:ascii="Arial" w:cs="Arial" w:eastAsia="Arial" w:hAnsi="Arial"/>
          <w:sz w:val="22"/>
          <w:szCs w:val="22"/>
          <w:color w:val="auto"/>
        </w:rPr>
      </w:pPr>
    </w:p>
    <w:p>
      <w:pPr>
        <w:jc w:val="both"/>
        <w:ind w:left="1500" w:firstLine="754"/>
        <w:spacing w:after="0" w:line="236" w:lineRule="auto"/>
        <w:tabs>
          <w:tab w:leader="none" w:pos="2681"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5" w:name="page156"/>
    <w:bookmarkEnd w:id="155"/>
    <w:p>
      <w:pPr>
        <w:jc w:val="both"/>
        <w:ind w:left="1500" w:right="20" w:firstLine="426"/>
        <w:spacing w:after="0" w:line="282" w:lineRule="auto"/>
        <w:tabs>
          <w:tab w:leader="none" w:pos="236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duly completed and executed copies of Internal Revenue Service Form W-8BEN, W-8BEN-E or any applicable successor form claiming eligibility for benefits of an income tax treaty to which the United States is a party pursuant to the “interest” article of such tax treaty (for payments of interest) or establishing an exemption from or reduction of U.S. federal withholding Tax pursuant to the “business profits” or “other income” article of such tax treaty (for other payments),</w:t>
      </w:r>
    </w:p>
    <w:p>
      <w:pPr>
        <w:spacing w:after="0" w:line="147" w:lineRule="exact"/>
        <w:rPr>
          <w:rFonts w:ascii="Arial" w:cs="Arial" w:eastAsia="Arial" w:hAnsi="Arial"/>
          <w:sz w:val="19"/>
          <w:szCs w:val="19"/>
          <w:color w:val="auto"/>
        </w:rPr>
      </w:pPr>
    </w:p>
    <w:p>
      <w:pPr>
        <w:jc w:val="both"/>
        <w:ind w:left="1500" w:firstLine="426"/>
        <w:spacing w:after="0"/>
        <w:tabs>
          <w:tab w:leader="none" w:pos="236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86" w:lineRule="exact"/>
        <w:rPr>
          <w:rFonts w:ascii="Arial" w:cs="Arial" w:eastAsia="Arial" w:hAnsi="Arial"/>
          <w:sz w:val="22"/>
          <w:szCs w:val="22"/>
          <w:color w:val="auto"/>
        </w:rPr>
      </w:pPr>
    </w:p>
    <w:p>
      <w:pPr>
        <w:jc w:val="both"/>
        <w:ind w:left="1500" w:firstLine="426"/>
        <w:spacing w:after="0" w:line="277" w:lineRule="auto"/>
        <w:tabs>
          <w:tab w:leader="none" w:pos="236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871(h)(3)(B) of the Code, or (3) a “controlled foreign corporation” related to the Borrower as described in Section 881(c)(3)(C) of the Code and (2) duly completed and executed copies of Internal Revenue Service Form W-8BEN or W-8BEN-E (or any applicable successor form) certifying that the Foreign Lender is not a United States Person, or</w:t>
      </w:r>
    </w:p>
    <w:p>
      <w:pPr>
        <w:spacing w:after="0" w:line="151" w:lineRule="exact"/>
        <w:rPr>
          <w:rFonts w:ascii="Arial" w:cs="Arial" w:eastAsia="Arial" w:hAnsi="Arial"/>
          <w:sz w:val="19"/>
          <w:szCs w:val="19"/>
          <w:color w:val="auto"/>
        </w:rPr>
      </w:pPr>
    </w:p>
    <w:p>
      <w:pPr>
        <w:jc w:val="both"/>
        <w:ind w:left="1500" w:firstLine="426"/>
        <w:spacing w:after="0" w:line="282" w:lineRule="auto"/>
        <w:tabs>
          <w:tab w:leader="none" w:pos="2364"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duly completed and executed originals of Internal Revenue Service Form W-8IMY (or any applicable successor form), accompanied by Internal Revenue Service Form W-8ECI (or any applicable successor form), Internal Revenue Service Form W-8BEN or W-8BEN-E (or any applicable successor form), a U.S. Tax Compliance Certificate, Internal Revenue Service Form W-9 (or any applicable successor form), and/or other certification documents from each beneficial owner, as applicable.</w:t>
      </w:r>
    </w:p>
    <w:p>
      <w:pPr>
        <w:spacing w:after="0" w:line="147" w:lineRule="exact"/>
        <w:rPr>
          <w:rFonts w:ascii="Arial" w:cs="Arial" w:eastAsia="Arial" w:hAnsi="Arial"/>
          <w:sz w:val="19"/>
          <w:szCs w:val="19"/>
          <w:color w:val="auto"/>
        </w:rPr>
      </w:pPr>
    </w:p>
    <w:p>
      <w:pPr>
        <w:jc w:val="both"/>
        <w:ind w:left="740" w:firstLine="754"/>
        <w:spacing w:after="0" w:line="246" w:lineRule="auto"/>
        <w:tabs>
          <w:tab w:leader="none" w:pos="1921"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180" w:lineRule="exact"/>
        <w:rPr>
          <w:sz w:val="20"/>
          <w:szCs w:val="20"/>
          <w:color w:val="auto"/>
        </w:rPr>
      </w:pPr>
    </w:p>
    <w:p>
      <w:pPr>
        <w:jc w:val="both"/>
        <w:ind w:firstLine="745"/>
        <w:spacing w:after="0" w:line="297" w:lineRule="auto"/>
        <w:tabs>
          <w:tab w:leader="none" w:pos="1181"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In addition, each Lender shall deliver such forms promptly upon the obsolescence, expiration or invalidity of any form previously delivered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it is legally able to do so at the time. Each Lender shall promptly notify the Borrower and the Administrative Agent at any time the chief tax officer of such Lender</w:t>
      </w:r>
    </w:p>
    <w:p>
      <w:pPr>
        <w:spacing w:after="0" w:line="14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156" w:name="page157"/>
    <w:bookmarkEnd w:id="156"/>
    <w:p>
      <w:pPr>
        <w:ind w:left="760"/>
        <w:spacing w:after="0" w:line="328" w:lineRule="auto"/>
        <w:rPr>
          <w:sz w:val="20"/>
          <w:szCs w:val="20"/>
          <w:color w:val="auto"/>
        </w:rPr>
      </w:pPr>
      <w:r>
        <w:rPr>
          <w:rFonts w:ascii="Arial" w:cs="Arial" w:eastAsia="Arial" w:hAnsi="Arial"/>
          <w:sz w:val="19"/>
          <w:szCs w:val="19"/>
          <w:color w:val="auto"/>
        </w:rPr>
        <w:t>becomes aware that it no longer satisfies the legal requirements to provide any previously delivered form or certificate to the Borrower (or any other form of certification adopted by the U.S. or other taxing authorities for such purpose).</w:t>
      </w:r>
    </w:p>
    <w:p>
      <w:pPr>
        <w:spacing w:after="0" w:line="105" w:lineRule="exact"/>
        <w:rPr>
          <w:sz w:val="20"/>
          <w:szCs w:val="20"/>
          <w:color w:val="auto"/>
        </w:rPr>
      </w:pPr>
    </w:p>
    <w:p>
      <w:pPr>
        <w:jc w:val="both"/>
        <w:ind w:firstLine="1505"/>
        <w:spacing w:after="0" w:line="273" w:lineRule="auto"/>
        <w:tabs>
          <w:tab w:leader="none" w:pos="1929"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Documentation Required by FATCA</w:t>
      </w:r>
      <w:r>
        <w:rPr>
          <w:rFonts w:ascii="Arial" w:cs="Arial" w:eastAsia="Arial" w:hAnsi="Arial"/>
          <w:sz w:val="19"/>
          <w:szCs w:val="19"/>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 2.16(g)</w:t>
      </w:r>
      <w:r>
        <w:rPr>
          <w:rFonts w:ascii="Arial" w:cs="Arial" w:eastAsia="Arial" w:hAnsi="Arial"/>
          <w:sz w:val="19"/>
          <w:szCs w:val="19"/>
          <w:color w:val="auto"/>
        </w:rPr>
        <w:t>, “FATCA” shall include any amendments made to FATCA after the date of this Agreement.</w:t>
      </w:r>
    </w:p>
    <w:p>
      <w:pPr>
        <w:spacing w:after="0" w:line="160" w:lineRule="exact"/>
        <w:rPr>
          <w:rFonts w:ascii="Arial" w:cs="Arial" w:eastAsia="Arial" w:hAnsi="Arial"/>
          <w:sz w:val="19"/>
          <w:szCs w:val="19"/>
          <w:color w:val="auto"/>
        </w:rPr>
      </w:pPr>
    </w:p>
    <w:p>
      <w:pPr>
        <w:jc w:val="both"/>
        <w:ind w:firstLine="1505"/>
        <w:spacing w:after="0" w:line="270" w:lineRule="auto"/>
        <w:tabs>
          <w:tab w:leader="none" w:pos="1929"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If the Administrative Agent, any Lender or an Issuing Bank determines, in its sole discretion exercised in good faith,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or credit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in no event will the Administrative Agent, any Lender or an Issuing Bank be required to pay any amount to Borrower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the payment of which 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200" w:lineRule="exact"/>
        <w:rPr>
          <w:sz w:val="20"/>
          <w:szCs w:val="20"/>
          <w:color w:val="auto"/>
        </w:rPr>
      </w:pPr>
    </w:p>
    <w:p>
      <w:pPr>
        <w:spacing w:after="0" w:line="21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2.17.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97" w:lineRule="auto"/>
        <w:tabs>
          <w:tab w:leader="none" w:pos="1943"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Payments by the Borrower</w:t>
      </w:r>
      <w:r>
        <w:rPr>
          <w:rFonts w:ascii="Arial" w:cs="Arial" w:eastAsia="Arial" w:hAnsi="Arial"/>
          <w:sz w:val="19"/>
          <w:szCs w:val="19"/>
          <w:color w:val="auto"/>
        </w:rPr>
        <w:t xml:space="preserve">. The Borrower shall make each payment required to be made by it hereunder (whether of principal, interest, fees or reimbursement of LC Disbursements, or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or otherwise) or under any other Loan Document (except to the extent otherwise provided therein) prior to 2:00 p.m., New York City</w:t>
      </w:r>
    </w:p>
    <w:p>
      <w:pPr>
        <w:spacing w:after="0" w:line="14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79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7" w:name="page158"/>
    <w:bookmarkEnd w:id="157"/>
    <w:p>
      <w:pPr>
        <w:jc w:val="both"/>
        <w:spacing w:after="0" w:line="245" w:lineRule="auto"/>
        <w:rPr>
          <w:sz w:val="20"/>
          <w:szCs w:val="20"/>
          <w:color w:val="auto"/>
        </w:rPr>
      </w:pPr>
      <w:r>
        <w:rPr>
          <w:rFonts w:ascii="Arial" w:cs="Arial" w:eastAsia="Arial" w:hAnsi="Arial"/>
          <w:sz w:val="21"/>
          <w:szCs w:val="21"/>
          <w:color w:val="auto"/>
        </w:rPr>
        <w:t xml:space="preserve">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the Issuing Bank or the Swingline Lender as expressly provided herein and payments pursuant to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81"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All amounts owing under this Agreement (including commitment fees, payments required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payments required under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9"/>
          <w:szCs w:val="19"/>
          <w:u w:val="single" w:color="auto"/>
          <w:color w:val="auto"/>
        </w:rPr>
        <w:t>Section 2.15</w:t>
      </w:r>
      <w:r>
        <w:rPr>
          <w:rFonts w:ascii="Arial" w:cs="Arial" w:eastAsia="Arial" w:hAnsi="Arial"/>
          <w:sz w:val="19"/>
          <w:szCs w:val="19"/>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 Borrowing was made (the “</w:t>
      </w:r>
      <w:r>
        <w:rPr>
          <w:rFonts w:ascii="Arial" w:cs="Arial" w:eastAsia="Arial" w:hAnsi="Arial"/>
          <w:sz w:val="19"/>
          <w:szCs w:val="19"/>
          <w:u w:val="single" w:color="auto"/>
          <w:color w:val="auto"/>
        </w:rPr>
        <w:t>Original Currency</w:t>
      </w:r>
      <w:r>
        <w:rPr>
          <w:rFonts w:ascii="Arial" w:cs="Arial" w:eastAsia="Arial" w:hAnsi="Arial"/>
          <w:sz w:val="19"/>
          <w:szCs w:val="19"/>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52" w:lineRule="exact"/>
        <w:rPr>
          <w:sz w:val="20"/>
          <w:szCs w:val="20"/>
          <w:color w:val="auto"/>
        </w:rPr>
      </w:pPr>
    </w:p>
    <w:p>
      <w:pPr>
        <w:jc w:val="both"/>
        <w:ind w:firstLine="1505"/>
        <w:spacing w:after="0" w:line="287" w:lineRule="auto"/>
        <w:tabs>
          <w:tab w:leader="none" w:pos="1929"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Application of Insufficient Payments</w:t>
      </w:r>
      <w:r>
        <w:rPr>
          <w:rFonts w:ascii="Arial" w:cs="Arial" w:eastAsia="Arial" w:hAnsi="Arial"/>
          <w:sz w:val="19"/>
          <w:szCs w:val="19"/>
          <w:color w:val="auto"/>
        </w:rPr>
        <w:t>. If at any time insufficient funds are received by and available to the Administrative Agent to pay fully all amounts of principal, unreimbursed LC Disbursements, interest and fees of a Class then due hereunder, such funds shall be applied (i) first, to pay interest and fees of such Class then due hereunder, ratably among the parties entitled thereto in accordance with the amounts of interest and fees of such Class then due</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8" w:name="page159"/>
    <w:bookmarkEnd w:id="158"/>
    <w:p>
      <w:pPr>
        <w:jc w:val="both"/>
        <w:spacing w:after="0"/>
        <w:rPr>
          <w:sz w:val="20"/>
          <w:szCs w:val="20"/>
          <w:color w:val="auto"/>
        </w:rPr>
      </w:pPr>
      <w:r>
        <w:rPr>
          <w:rFonts w:ascii="Arial" w:cs="Arial" w:eastAsia="Arial" w:hAnsi="Arial"/>
          <w:sz w:val="22"/>
          <w:szCs w:val="22"/>
          <w:color w:val="auto"/>
        </w:rPr>
        <w:t>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86" w:lineRule="exact"/>
        <w:rPr>
          <w:sz w:val="20"/>
          <w:szCs w:val="20"/>
          <w:color w:val="auto"/>
        </w:rPr>
      </w:pPr>
    </w:p>
    <w:p>
      <w:pPr>
        <w:jc w:val="both"/>
        <w:ind w:firstLine="1505"/>
        <w:spacing w:after="0" w:line="268" w:lineRule="auto"/>
        <w:tabs>
          <w:tab w:leader="none" w:pos="1943"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Pro Rata Treatment</w:t>
      </w:r>
      <w:r>
        <w:rPr>
          <w:rFonts w:ascii="Arial" w:cs="Arial" w:eastAsia="Arial" w:hAnsi="Arial"/>
          <w:sz w:val="19"/>
          <w:szCs w:val="19"/>
          <w:color w:val="auto"/>
        </w:rPr>
        <w:t xml:space="preserve">. Except to the extent otherwise provided herein: (i) (x) other than with respect any Syndicated Borrowing requested pursuant to </w:t>
      </w:r>
      <w:r>
        <w:rPr>
          <w:rFonts w:ascii="Arial" w:cs="Arial" w:eastAsia="Arial" w:hAnsi="Arial"/>
          <w:sz w:val="19"/>
          <w:szCs w:val="19"/>
          <w:u w:val="single" w:color="auto"/>
          <w:color w:val="auto"/>
        </w:rPr>
        <w:t>Section 2.20(a)(i)</w:t>
      </w:r>
      <w:r>
        <w:rPr>
          <w:rFonts w:ascii="Arial" w:cs="Arial" w:eastAsia="Arial" w:hAnsi="Arial"/>
          <w:sz w:val="19"/>
          <w:szCs w:val="19"/>
          <w:color w:val="auto"/>
        </w:rPr>
        <w:t xml:space="preserve">, each Syndicated Borrowing of a Class shall be made from the Lenders of such Class of Commitments, (y) other than the payment of a commitment fee to a Non-Extending Lender on its applicable Non-Extending Commitment Termination Date, each payment of commitment fee under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be made for account of the Lenders of the applicable Class, and (z) other than with respect to any termination or reduction of Commitments or prepayment of Loans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each termination or reduction of the amount of the Commitments of a Class under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shall be applied to the respective Commitments of the Lenders of such Class, in each case pro rata according to the amounts of their respective Commitments of such Class; (ii) other than with respect to any Syndicated Borrowing requested pursuant to </w:t>
      </w:r>
      <w:r>
        <w:rPr>
          <w:rFonts w:ascii="Arial" w:cs="Arial" w:eastAsia="Arial" w:hAnsi="Arial"/>
          <w:sz w:val="19"/>
          <w:szCs w:val="19"/>
          <w:u w:val="single" w:color="auto"/>
          <w:color w:val="auto"/>
        </w:rPr>
        <w:t>Section 2.20(a)(i)</w:t>
      </w:r>
      <w:r>
        <w:rPr>
          <w:rFonts w:ascii="Arial" w:cs="Arial" w:eastAsia="Arial" w:hAnsi="Arial"/>
          <w:sz w:val="19"/>
          <w:szCs w:val="19"/>
          <w:color w:val="auto"/>
        </w:rPr>
        <w:t xml:space="preserve">, each Syndicated Borrowing of a Class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other than in connection with a termination or reduction of Commitments or prepayment of Loans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the payment of a Non-Extending Lender’s Non-Extending Loans on such Non-Extending Lender’s Non-Extending Final Maturity Date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or a mandatory prepayment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each payment or prepayment of principal of Syndicated Loans of a Class by the Borrower shall be made for account of the Lenders of such Class pro rata in accordance with the respective unpaid principal amounts of the Syndicated Loans of such Class held by them; and (iv) other than the payment of interest to a Non-Extending Lender on its applicable Non-Extending Final Maturity Date, each payment of interest on Syndicated Loans of a Class by the Borrower shall be made for account of the Lenders of such Class pro rata in accordance with the amounts of interest on such Loans of such Class then due and payable to the respective Lenders. Each Syndicated Borrowing requested pursuant to </w:t>
      </w:r>
      <w:r>
        <w:rPr>
          <w:rFonts w:ascii="Arial" w:cs="Arial" w:eastAsia="Arial" w:hAnsi="Arial"/>
          <w:sz w:val="19"/>
          <w:szCs w:val="19"/>
          <w:u w:val="single" w:color="auto"/>
          <w:color w:val="auto"/>
        </w:rPr>
        <w:t>Section 2.20(a)(i)</w:t>
      </w:r>
      <w:r>
        <w:rPr>
          <w:rFonts w:ascii="Arial" w:cs="Arial" w:eastAsia="Arial" w:hAnsi="Arial"/>
          <w:sz w:val="19"/>
          <w:szCs w:val="19"/>
          <w:color w:val="auto"/>
        </w:rPr>
        <w:t xml:space="preserve"> shall be made from each Extending Lender on a pro rata basis according to the amounts of their respective Commitments. Any termination or reduction of Commitments or prepayment of Loans made in accordance with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(including any payment or prepayment of principal of Syndicated Loans in connection therewith), shall be applied to the applicable Non-Extending Lender(s) on a pro rata basis according to the amounts of their respective Commitments or Loans, as applicable, (iii) any payment of Non-Extending Loans on a Non-Extending Final Maturity Date pursuant to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shall be made for the account of each Non-Extending Lender for which the applicable Non-Extending Final Maturity Date shall have occurred pro rata in accordance with the respective unpaid principal amounts of the Non-Extending Loans held by them and (iv) any mandatory prepayment of Non-Extending Loans pursuant to </w:t>
      </w:r>
      <w:r>
        <w:rPr>
          <w:rFonts w:ascii="Arial" w:cs="Arial" w:eastAsia="Arial" w:hAnsi="Arial"/>
          <w:sz w:val="19"/>
          <w:szCs w:val="19"/>
          <w:u w:val="single" w:color="auto"/>
          <w:color w:val="auto"/>
        </w:rPr>
        <w:t>Section 2.10(e)</w:t>
      </w:r>
      <w:r>
        <w:rPr>
          <w:rFonts w:ascii="Arial" w:cs="Arial" w:eastAsia="Arial" w:hAnsi="Arial"/>
          <w:sz w:val="19"/>
          <w:szCs w:val="19"/>
          <w:color w:val="auto"/>
        </w:rPr>
        <w:t xml:space="preserve"> shall be made for account of each Non-Extending Lender for which the applicable Non-Extending Commitment Termination Date shall have occurred pro rata in accordance with the respective unpaid principal amounts of the Non-Extending Loans held by them. For the avoidance of doubt, no payments shall be allocated solely to Non-Extending Lenders following the occurrence and during the continuance of a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9" w:name="page160"/>
    <w:bookmarkEnd w:id="159"/>
    <w:p>
      <w:pPr>
        <w:jc w:val="both"/>
        <w:ind w:firstLine="1505"/>
        <w:spacing w:after="0" w:line="270" w:lineRule="auto"/>
        <w:tabs>
          <w:tab w:leader="none" w:pos="1943"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Sharing of Payments by Lenders</w:t>
      </w:r>
      <w:r>
        <w:rPr>
          <w:rFonts w:ascii="Arial" w:cs="Arial" w:eastAsia="Arial" w:hAnsi="Arial"/>
          <w:sz w:val="19"/>
          <w:szCs w:val="19"/>
          <w:color w:val="auto"/>
        </w:rPr>
        <w:t xml:space="preserve">. If any Lender of any Class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 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5" w:lineRule="exact"/>
        <w:rPr>
          <w:rFonts w:ascii="Arial" w:cs="Arial" w:eastAsia="Arial" w:hAnsi="Arial"/>
          <w:sz w:val="19"/>
          <w:szCs w:val="19"/>
          <w:color w:val="auto"/>
        </w:rPr>
      </w:pPr>
    </w:p>
    <w:p>
      <w:pPr>
        <w:jc w:val="both"/>
        <w:ind w:firstLine="1505"/>
        <w:spacing w:after="0" w:line="245" w:lineRule="auto"/>
        <w:tabs>
          <w:tab w:leader="none" w:pos="1929"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Presumptions of Payment</w:t>
      </w:r>
      <w:r>
        <w:rPr>
          <w:rFonts w:ascii="Arial" w:cs="Arial" w:eastAsia="Arial" w:hAnsi="Arial"/>
          <w:sz w:val="21"/>
          <w:szCs w:val="21"/>
          <w:color w:val="auto"/>
        </w:rPr>
        <w:t>. Unless the Administrative Agent shall have received notice from the Borrower prior to the date on which any payment is due to the Administrative Agent for account of the Lenders or the Issuing Bank hereunder that the Borrower will not make such payment, the Administrative Agent may assume that the Borrower has made such payment on such date in accordance herewith and may,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forthwith on demand the amount so distributed to such Lender or the Issuing Bank with interest thereon, for each day from and including the date such amount is distributed to it to but excluding the date of payment to the Administrative Agent at the Federal Funds Effective Rate.</w:t>
      </w:r>
    </w:p>
    <w:p>
      <w:pPr>
        <w:spacing w:after="0" w:line="184" w:lineRule="exact"/>
        <w:rPr>
          <w:rFonts w:ascii="Arial" w:cs="Arial" w:eastAsia="Arial" w:hAnsi="Arial"/>
          <w:sz w:val="21"/>
          <w:szCs w:val="21"/>
          <w:color w:val="auto"/>
        </w:rPr>
      </w:pPr>
    </w:p>
    <w:p>
      <w:pPr>
        <w:jc w:val="both"/>
        <w:ind w:firstLine="1505"/>
        <w:spacing w:after="0" w:line="287" w:lineRule="auto"/>
        <w:tabs>
          <w:tab w:leader="none" w:pos="192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Certain Deductions by the Administrative Agent</w:t>
      </w:r>
      <w:r>
        <w:rPr>
          <w:rFonts w:ascii="Arial" w:cs="Arial" w:eastAsia="Arial" w:hAnsi="Arial"/>
          <w:sz w:val="19"/>
          <w:szCs w:val="19"/>
          <w:color w:val="auto"/>
        </w:rPr>
        <w:t xml:space="preserve">. If any Lender shall fail to make any payment required to be made by it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2.05(e)</w:t>
      </w:r>
      <w:r>
        <w:rPr>
          <w:rFonts w:ascii="Arial" w:cs="Arial" w:eastAsia="Arial" w:hAnsi="Arial"/>
          <w:sz w:val="19"/>
          <w:szCs w:val="19"/>
          <w:color w:val="auto"/>
        </w:rPr>
        <w:t xml:space="preserve">, </w:t>
      </w:r>
      <w:r>
        <w:rPr>
          <w:rFonts w:ascii="Arial" w:cs="Arial" w:eastAsia="Arial" w:hAnsi="Arial"/>
          <w:sz w:val="19"/>
          <w:szCs w:val="19"/>
          <w:u w:val="single" w:color="auto"/>
          <w:color w:val="auto"/>
        </w:rPr>
        <w:t>2.06(a)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2.17(e)</w:t>
      </w:r>
      <w:r>
        <w:rPr>
          <w:rFonts w:ascii="Arial" w:cs="Arial" w:eastAsia="Arial" w:hAnsi="Arial"/>
          <w:sz w:val="19"/>
          <w:szCs w:val="19"/>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0" w:name="page161"/>
    <w:bookmarkEnd w:id="160"/>
    <w:p>
      <w:pPr>
        <w:ind w:left="1500"/>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Mitigation Obligations; Replacement of Lenders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1929"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the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as the case may 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57" w:lineRule="exact"/>
        <w:rPr>
          <w:rFonts w:ascii="Arial" w:cs="Arial" w:eastAsia="Arial" w:hAnsi="Arial"/>
          <w:sz w:val="19"/>
          <w:szCs w:val="19"/>
          <w:color w:val="auto"/>
        </w:rPr>
      </w:pPr>
    </w:p>
    <w:p>
      <w:pPr>
        <w:jc w:val="both"/>
        <w:ind w:firstLine="1505"/>
        <w:spacing w:after="0" w:line="268" w:lineRule="auto"/>
        <w:tabs>
          <w:tab w:leader="none" w:pos="1943" w:val="left"/>
        </w:tabs>
        <w:numPr>
          <w:ilvl w:val="1"/>
          <w:numId w:val="141"/>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if the Borrower is required to pay any additional amount to any Lender or any Governmental Authority for account of any Lender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and, in each case, such Lender has declined or is unable to designate a different lending office in accordance with Section 2.18(a), or if any Lender becomes a Defaulting Lender or is a Non-Consenting Lender (as provided in </w:t>
      </w:r>
      <w:r>
        <w:rPr>
          <w:rFonts w:ascii="Arial" w:cs="Arial" w:eastAsia="Arial" w:hAnsi="Arial"/>
          <w:sz w:val="19"/>
          <w:szCs w:val="19"/>
          <w:u w:val="single" w:color="auto"/>
          <w:color w:val="auto"/>
        </w:rPr>
        <w:t>Section 9.02(d)</w:t>
      </w:r>
      <w:r>
        <w:rPr>
          <w:rFonts w:ascii="Arial" w:cs="Arial" w:eastAsia="Arial" w:hAnsi="Arial"/>
          <w:sz w:val="19"/>
          <w:szCs w:val="19"/>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all its interests, rights (other than its existing rights to payments pursuant to Section 2.14 or Section 2.16) and obligations under this Agreement to an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Borrower shall have received the prior written consent of the Administrative Agent (and, if a Commitment is being assigned, the Issuing Bank and the Swingline Lender), which consent shall not unreasonably be withheld,</w:t>
      </w:r>
    </w:p>
    <w:p>
      <w:pPr>
        <w:spacing w:after="0" w:line="8" w:lineRule="exact"/>
        <w:rPr>
          <w:rFonts w:ascii="Arial" w:cs="Arial" w:eastAsia="Arial" w:hAnsi="Arial"/>
          <w:sz w:val="19"/>
          <w:szCs w:val="19"/>
          <w:color w:val="auto"/>
        </w:rPr>
      </w:pPr>
    </w:p>
    <w:p>
      <w:pPr>
        <w:jc w:val="both"/>
        <w:ind w:firstLine="8"/>
        <w:spacing w:after="0" w:line="273" w:lineRule="auto"/>
        <w:tabs>
          <w:tab w:leader="none" w:pos="333"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5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2.19. </w:t>
      </w:r>
      <w:r>
        <w:rPr>
          <w:rFonts w:ascii="Arial" w:cs="Arial" w:eastAsia="Arial" w:hAnsi="Arial"/>
          <w:sz w:val="22"/>
          <w:szCs w:val="22"/>
          <w:u w:val="single" w:color="auto"/>
          <w:color w:val="auto"/>
        </w:rPr>
        <w:t>Defaulting Lenders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29"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Defaulting Lender Adjustments</w:t>
      </w:r>
      <w:r>
        <w:rPr>
          <w:rFonts w:ascii="Arial" w:cs="Arial" w:eastAsia="Arial" w:hAnsi="Arial"/>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86" w:lineRule="exact"/>
        <w:rPr>
          <w:sz w:val="20"/>
          <w:szCs w:val="20"/>
          <w:color w:val="auto"/>
        </w:rPr>
      </w:pPr>
    </w:p>
    <w:p>
      <w:pPr>
        <w:jc w:val="both"/>
        <w:ind w:left="760" w:firstLine="745"/>
        <w:spacing w:after="0"/>
        <w:tabs>
          <w:tab w:leader="none" w:pos="1981"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Defaulting Lender Waterfall</w:t>
      </w:r>
      <w:r>
        <w:rPr>
          <w:rFonts w:ascii="Arial" w:cs="Arial" w:eastAsia="Arial" w:hAnsi="Arial"/>
          <w:sz w:val="22"/>
          <w:szCs w:val="22"/>
          <w:color w:val="auto"/>
        </w:rPr>
        <w:t xml:space="preserve">. Any payment of principal, interest, fees or other amounts received by Administrative Agent for the account of such Defaulting Lender (whether voluntary or mandatory, at maturity, pursuant to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or otherwise) or</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1" w:name="page162"/>
    <w:bookmarkEnd w:id="161"/>
    <w:p>
      <w:pPr>
        <w:jc w:val="both"/>
        <w:spacing w:after="0" w:line="269" w:lineRule="auto"/>
        <w:rPr>
          <w:sz w:val="20"/>
          <w:szCs w:val="20"/>
          <w:color w:val="auto"/>
        </w:rPr>
      </w:pPr>
      <w:r>
        <w:rPr>
          <w:rFonts w:ascii="Arial" w:cs="Arial" w:eastAsia="Arial" w:hAnsi="Arial"/>
          <w:sz w:val="19"/>
          <w:szCs w:val="19"/>
          <w:color w:val="auto"/>
        </w:rPr>
        <w:t xml:space="preserve">received by Administrative Agent from a Defaulting Lender pursuant to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shall be applied at such time or times as may be determined by Administrative Agent as follows: </w:t>
      </w:r>
      <w:r>
        <w:rPr>
          <w:rFonts w:ascii="Arial" w:cs="Arial" w:eastAsia="Arial" w:hAnsi="Arial"/>
          <w:sz w:val="19"/>
          <w:szCs w:val="19"/>
          <w:i w:val="1"/>
          <w:iCs w:val="1"/>
          <w:color w:val="auto"/>
        </w:rPr>
        <w:t>first</w:t>
      </w:r>
      <w:r>
        <w:rPr>
          <w:rFonts w:ascii="Arial" w:cs="Arial" w:eastAsia="Arial" w:hAnsi="Arial"/>
          <w:sz w:val="19"/>
          <w:szCs w:val="19"/>
          <w:color w:val="auto"/>
        </w:rPr>
        <w:t xml:space="preserve">, to the payment of any amounts owing by such Defaulting Lender to Administrative Agent hereunder; </w:t>
      </w:r>
      <w:r>
        <w:rPr>
          <w:rFonts w:ascii="Arial" w:cs="Arial" w:eastAsia="Arial" w:hAnsi="Arial"/>
          <w:sz w:val="19"/>
          <w:szCs w:val="19"/>
          <w:i w:val="1"/>
          <w:iCs w:val="1"/>
          <w:color w:val="auto"/>
        </w:rPr>
        <w:t>second</w:t>
      </w:r>
      <w:r>
        <w:rPr>
          <w:rFonts w:ascii="Arial" w:cs="Arial" w:eastAsia="Arial" w:hAnsi="Arial"/>
          <w:sz w:val="19"/>
          <w:szCs w:val="19"/>
          <w:color w:val="auto"/>
        </w:rPr>
        <w:t xml:space="preserve">, to the payment on a pro rata basis of any amounts owing by such Defaulting Lender to Issuing Bank or Swingline Lender hereunder; </w:t>
      </w:r>
      <w:r>
        <w:rPr>
          <w:rFonts w:ascii="Arial" w:cs="Arial" w:eastAsia="Arial" w:hAnsi="Arial"/>
          <w:sz w:val="19"/>
          <w:szCs w:val="19"/>
          <w:i w:val="1"/>
          <w:iCs w:val="1"/>
          <w:color w:val="auto"/>
        </w:rPr>
        <w:t>third</w:t>
      </w:r>
      <w:r>
        <w:rPr>
          <w:rFonts w:ascii="Arial" w:cs="Arial" w:eastAsia="Arial" w:hAnsi="Arial"/>
          <w:sz w:val="19"/>
          <w:szCs w:val="19"/>
          <w:color w:val="auto"/>
        </w:rPr>
        <w:t xml:space="preserve">, to Cash Collateralize Issuing Bank’s Fronting Exposure with respect to such Defaulting Lender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fourth</w:t>
      </w:r>
      <w:r>
        <w:rPr>
          <w:rFonts w:ascii="Arial" w:cs="Arial" w:eastAsia="Arial" w:hAnsi="Arial"/>
          <w:sz w:val="19"/>
          <w:szCs w:val="19"/>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9"/>
          <w:szCs w:val="19"/>
          <w:i w:val="1"/>
          <w:iCs w:val="1"/>
          <w:color w:val="auto"/>
        </w:rPr>
        <w:t>fifth</w:t>
      </w:r>
      <w:r>
        <w:rPr>
          <w:rFonts w:ascii="Arial" w:cs="Arial" w:eastAsia="Arial" w:hAnsi="Arial"/>
          <w:sz w:val="19"/>
          <w:szCs w:val="19"/>
          <w:color w:val="auto"/>
        </w:rPr>
        <w:t xml:space="preserve">, if so determined by Administrative Agent and Borrower, to be held in a deposit account and released pro rata in order to (x) satisfy such Defaulting Lender’s potential future funding obligations with respect to Loans under this Agreement and (y) Cash Collateralize Issuing Bank’s future Fronting Exposure with respect to such Defaulting Lender with respect to future Letters of Credit issued under this Agreement, in the manner described in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w:t>
      </w:r>
      <w:r>
        <w:rPr>
          <w:rFonts w:ascii="Arial" w:cs="Arial" w:eastAsia="Arial" w:hAnsi="Arial"/>
          <w:sz w:val="19"/>
          <w:szCs w:val="19"/>
          <w:i w:val="1"/>
          <w:iCs w:val="1"/>
          <w:color w:val="auto"/>
        </w:rPr>
        <w:t>sixth</w:t>
      </w:r>
      <w:r>
        <w:rPr>
          <w:rFonts w:ascii="Arial" w:cs="Arial" w:eastAsia="Arial" w:hAnsi="Arial"/>
          <w:sz w:val="19"/>
          <w:szCs w:val="19"/>
          <w:color w:val="auto"/>
        </w:rPr>
        <w:t xml:space="preserve">, to the payment of any amounts owing to the Lenders, Issuing Bank or 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9"/>
          <w:szCs w:val="19"/>
          <w:i w:val="1"/>
          <w:iCs w:val="1"/>
          <w:color w:val="auto"/>
        </w:rPr>
        <w:t>seventh</w:t>
      </w:r>
      <w:r>
        <w:rPr>
          <w:rFonts w:ascii="Arial" w:cs="Arial" w:eastAsia="Arial" w:hAnsi="Arial"/>
          <w:sz w:val="19"/>
          <w:szCs w:val="19"/>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9"/>
          <w:szCs w:val="19"/>
          <w:i w:val="1"/>
          <w:iCs w:val="1"/>
          <w:color w:val="auto"/>
        </w:rPr>
        <w:t>eighth</w:t>
      </w:r>
      <w:r>
        <w:rPr>
          <w:rFonts w:ascii="Arial" w:cs="Arial" w:eastAsia="Arial" w:hAnsi="Arial"/>
          <w:sz w:val="19"/>
          <w:szCs w:val="19"/>
          <w:color w:val="auto"/>
        </w:rPr>
        <w:t xml:space="preserve">, to such Defaulting Lender or as otherwise directed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9"/>
          <w:szCs w:val="19"/>
          <w:u w:val="single" w:color="auto"/>
          <w:color w:val="auto"/>
        </w:rPr>
        <w:t>Section 2.19(a)(i)</w:t>
      </w:r>
      <w:r>
        <w:rPr>
          <w:rFonts w:ascii="Arial" w:cs="Arial" w:eastAsia="Arial" w:hAnsi="Arial"/>
          <w:sz w:val="19"/>
          <w:szCs w:val="19"/>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6" w:lineRule="exact"/>
        <w:rPr>
          <w:sz w:val="20"/>
          <w:szCs w:val="20"/>
          <w:color w:val="auto"/>
        </w:rPr>
      </w:pPr>
    </w:p>
    <w:p>
      <w:pPr>
        <w:ind w:left="1180" w:hanging="435"/>
        <w:spacing w:after="0"/>
        <w:tabs>
          <w:tab w:leader="none" w:pos="118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Certain Fees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740" w:firstLine="754"/>
        <w:spacing w:after="0" w:line="236" w:lineRule="auto"/>
        <w:tabs>
          <w:tab w:leader="none" w:pos="1921" w:val="left"/>
        </w:tabs>
        <w:numPr>
          <w:ilvl w:val="1"/>
          <w:numId w:val="145"/>
        </w:numPr>
        <w:rPr>
          <w:rFonts w:ascii="Arial" w:cs="Arial" w:eastAsia="Arial" w:hAnsi="Arial"/>
          <w:sz w:val="22"/>
          <w:szCs w:val="22"/>
          <w:color w:val="auto"/>
        </w:rPr>
      </w:pPr>
      <w:r>
        <w:rPr>
          <w:rFonts w:ascii="Arial" w:cs="Arial" w:eastAsia="Arial" w:hAnsi="Arial"/>
          <w:sz w:val="22"/>
          <w:szCs w:val="22"/>
          <w:color w:val="auto"/>
        </w:rPr>
        <w:t xml:space="preserve">No Defaulting Lender shall be entitled to receive any fee pursuant to </w:t>
      </w:r>
      <w:r>
        <w:rPr>
          <w:rFonts w:ascii="Arial" w:cs="Arial" w:eastAsia="Arial" w:hAnsi="Arial"/>
          <w:sz w:val="22"/>
          <w:szCs w:val="22"/>
          <w:u w:val="single" w:color="auto"/>
          <w:color w:val="auto"/>
        </w:rPr>
        <w:t>Sections 2.11(a)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for any period during which that Lender is a Defaulting Lender (and Borrower shall not be required to pay any such fee that otherwise would have been required to have been paid to that Defaulting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Defaulting Lender shall be entitled to receive fees pursuant to </w:t>
      </w:r>
      <w:r>
        <w:rPr>
          <w:rFonts w:ascii="Arial" w:cs="Arial" w:eastAsia="Arial" w:hAnsi="Arial"/>
          <w:sz w:val="22"/>
          <w:szCs w:val="22"/>
          <w:u w:val="single" w:color="auto"/>
          <w:color w:val="auto"/>
        </w:rPr>
        <w:t>Section 2.11(b)</w:t>
      </w:r>
      <w:r>
        <w:rPr>
          <w:rFonts w:ascii="Arial" w:cs="Arial" w:eastAsia="Arial" w:hAnsi="Arial"/>
          <w:sz w:val="22"/>
          <w:szCs w:val="22"/>
          <w:color w:val="auto"/>
        </w:rPr>
        <w:t xml:space="preserve"> for any period during which that Lender is a Defaulting Lender only to</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162" w:name="page163"/>
    <w:bookmarkEnd w:id="162"/>
    <w:p>
      <w:pPr>
        <w:ind w:left="740"/>
        <w:spacing w:after="0" w:line="250" w:lineRule="auto"/>
        <w:rPr>
          <w:sz w:val="20"/>
          <w:szCs w:val="20"/>
          <w:color w:val="auto"/>
        </w:rPr>
      </w:pPr>
      <w:r>
        <w:rPr>
          <w:rFonts w:ascii="Arial" w:cs="Arial" w:eastAsia="Arial" w:hAnsi="Arial"/>
          <w:sz w:val="22"/>
          <w:szCs w:val="22"/>
          <w:color w:val="auto"/>
        </w:rPr>
        <w:t xml:space="preserve">extent allocable to its Applicable Percentage of the stated amount of Letters of Credit for which it (but not the Borrower) has provided Cash Collateral pursuant to </w:t>
      </w:r>
      <w:r>
        <w:rPr>
          <w:rFonts w:ascii="Arial" w:cs="Arial" w:eastAsia="Arial" w:hAnsi="Arial"/>
          <w:sz w:val="22"/>
          <w:szCs w:val="22"/>
          <w:u w:val="single" w:color="auto"/>
          <w:color w:val="auto"/>
        </w:rPr>
        <w:t>Section 2.19(d)</w:t>
      </w:r>
      <w:r>
        <w:rPr>
          <w:rFonts w:ascii="Arial" w:cs="Arial" w:eastAsia="Arial" w:hAnsi="Arial"/>
          <w:sz w:val="22"/>
          <w:szCs w:val="22"/>
          <w:color w:val="auto"/>
        </w:rPr>
        <w:t>.</w:t>
      </w:r>
    </w:p>
    <w:p>
      <w:pPr>
        <w:spacing w:after="0" w:line="175" w:lineRule="exact"/>
        <w:rPr>
          <w:sz w:val="20"/>
          <w:szCs w:val="20"/>
          <w:color w:val="auto"/>
        </w:rPr>
      </w:pPr>
    </w:p>
    <w:p>
      <w:pPr>
        <w:jc w:val="both"/>
        <w:ind w:left="740" w:firstLine="754"/>
        <w:spacing w:after="0" w:line="246" w:lineRule="auto"/>
        <w:tabs>
          <w:tab w:leader="none" w:pos="1921" w:val="left"/>
        </w:tabs>
        <w:numPr>
          <w:ilvl w:val="1"/>
          <w:numId w:val="146"/>
        </w:numPr>
        <w:rPr>
          <w:rFonts w:ascii="Arial" w:cs="Arial" w:eastAsia="Arial" w:hAnsi="Arial"/>
          <w:sz w:val="21"/>
          <w:szCs w:val="21"/>
          <w:color w:val="auto"/>
        </w:rPr>
      </w:pPr>
      <w:r>
        <w:rPr>
          <w:rFonts w:ascii="Arial" w:cs="Arial" w:eastAsia="Arial" w:hAnsi="Arial"/>
          <w:sz w:val="21"/>
          <w:szCs w:val="21"/>
          <w:color w:val="auto"/>
        </w:rPr>
        <w:t xml:space="preserve">With respect to any </w:t>
      </w:r>
      <w:r>
        <w:rPr>
          <w:rFonts w:ascii="Arial" w:cs="Arial" w:eastAsia="Arial" w:hAnsi="Arial"/>
          <w:sz w:val="21"/>
          <w:szCs w:val="21"/>
          <w:u w:val="single" w:color="auto"/>
          <w:color w:val="auto"/>
        </w:rPr>
        <w:t>Section 2.11(b)</w:t>
      </w:r>
      <w:r>
        <w:rPr>
          <w:rFonts w:ascii="Arial" w:cs="Arial" w:eastAsia="Arial" w:hAnsi="Arial"/>
          <w:sz w:val="21"/>
          <w:szCs w:val="21"/>
          <w:color w:val="auto"/>
        </w:rPr>
        <w:t xml:space="preserve"> fees not required to be paid to any Defaulting Lender pursuant to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below, (y) pay to Issuing Bank the amount of any such fee otherwise payable to such Defaulting Lender to the extent allocable to Issuing Bank’s Fronting Exposure to such Defaulting Lender, and (z) not be required to pay the remaining amount of any such fee.</w:t>
      </w:r>
    </w:p>
    <w:p>
      <w:pPr>
        <w:spacing w:after="0" w:line="184" w:lineRule="exact"/>
        <w:rPr>
          <w:rFonts w:ascii="Arial" w:cs="Arial" w:eastAsia="Arial" w:hAnsi="Arial"/>
          <w:sz w:val="21"/>
          <w:szCs w:val="21"/>
          <w:color w:val="auto"/>
        </w:rPr>
      </w:pPr>
    </w:p>
    <w:p>
      <w:pPr>
        <w:jc w:val="both"/>
        <w:ind w:firstLine="745"/>
        <w:spacing w:after="0" w:line="272" w:lineRule="auto"/>
        <w:tabs>
          <w:tab w:leader="none" w:pos="1194"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Reallocation of Participations to Reduce Fronting Exposure</w:t>
      </w:r>
      <w:r>
        <w:rPr>
          <w:rFonts w:ascii="Arial" w:cs="Arial" w:eastAsia="Arial" w:hAnsi="Arial"/>
          <w:sz w:val="19"/>
          <w:szCs w:val="19"/>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9"/>
          <w:szCs w:val="19"/>
          <w:u w:val="single" w:color="auto"/>
          <w:color w:val="auto"/>
        </w:rPr>
        <w:t>Section 9.16</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745"/>
        <w:spacing w:after="0" w:line="244" w:lineRule="auto"/>
        <w:tabs>
          <w:tab w:leader="none" w:pos="1181"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Cash Collateral; Repayment of Swingline Loans</w:t>
      </w:r>
      <w:r>
        <w:rPr>
          <w:rFonts w:ascii="Arial" w:cs="Arial" w:eastAsia="Arial" w:hAnsi="Arial"/>
          <w:sz w:val="21"/>
          <w:szCs w:val="21"/>
          <w:color w:val="auto"/>
        </w:rPr>
        <w:t xml:space="preserve">. If the reallocation described in </w:t>
      </w:r>
      <w:r>
        <w:rPr>
          <w:rFonts w:ascii="Arial" w:cs="Arial" w:eastAsia="Arial" w:hAnsi="Arial"/>
          <w:sz w:val="21"/>
          <w:szCs w:val="21"/>
          <w:u w:val="single" w:color="auto"/>
          <w:color w:val="auto"/>
        </w:rPr>
        <w:t>clause (iii)</w:t>
      </w:r>
      <w:r>
        <w:rPr>
          <w:rFonts w:ascii="Arial" w:cs="Arial" w:eastAsia="Arial" w:hAnsi="Arial"/>
          <w:sz w:val="21"/>
          <w:szCs w:val="21"/>
          <w:color w:val="auto"/>
        </w:rPr>
        <w:t xml:space="preserve"> above cannot, or can only partially, be effected, the Borrower shall not later than two (2) Business Days after demand by the Administrative Agent (at the direction of the Issuing Bank and/or the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the Issuing Bank’s Fronting Exposure in accordance with the procedures set forth in </w:t>
      </w:r>
      <w:r>
        <w:rPr>
          <w:rFonts w:ascii="Arial" w:cs="Arial" w:eastAsia="Arial" w:hAnsi="Arial"/>
          <w:sz w:val="21"/>
          <w:szCs w:val="21"/>
          <w:u w:val="single" w:color="auto"/>
          <w:color w:val="auto"/>
        </w:rPr>
        <w:t>Section 2.19(d)</w:t>
      </w:r>
      <w:r>
        <w:rPr>
          <w:rFonts w:ascii="Arial" w:cs="Arial" w:eastAsia="Arial" w:hAnsi="Arial"/>
          <w:sz w:val="21"/>
          <w:szCs w:val="21"/>
          <w:color w:val="auto"/>
        </w:rPr>
        <w:t xml:space="preserve"> or (z) make other arrangements reasonably satisfactory to the Administrative Agent, the Issuing Bank and the Swingline Lender in their sole discretion to protect them against the risk of non-payment by such Defaulting Lender.</w:t>
      </w:r>
    </w:p>
    <w:p>
      <w:pPr>
        <w:spacing w:after="0" w:line="196"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163" w:name="page164"/>
    <w:bookmarkEnd w:id="163"/>
    <w:p>
      <w:pPr>
        <w:jc w:val="both"/>
        <w:ind w:firstLine="1505"/>
        <w:spacing w:after="0" w:line="272" w:lineRule="auto"/>
        <w:tabs>
          <w:tab w:leader="none" w:pos="1929"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Issuing Bank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Borrower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46" w:lineRule="auto"/>
        <w:tabs>
          <w:tab w:leader="none" w:pos="1943"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New Swingline Loans/Letters of Credit</w:t>
      </w:r>
      <w:r>
        <w:rPr>
          <w:rFonts w:ascii="Arial" w:cs="Arial" w:eastAsia="Arial" w:hAnsi="Arial"/>
          <w:sz w:val="21"/>
          <w:szCs w:val="21"/>
          <w:color w:val="auto"/>
        </w:rPr>
        <w:t xml:space="preserve">. So long as any Lender is a Defaulting Lender, (i) the Swingline Lender shall not be required to fund any Swingline Loans unless it is satisfied that the participations therein will be fully allocated among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the Defaulting Lender shall not participate therein and (ii) the Issuing Bank shall not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21"/>
          <w:szCs w:val="21"/>
          <w:u w:val="single" w:color="auto"/>
          <w:color w:val="auto"/>
        </w:rPr>
        <w:t>clause (a)(iii)</w:t>
      </w:r>
      <w:r>
        <w:rPr>
          <w:rFonts w:ascii="Arial" w:cs="Arial" w:eastAsia="Arial" w:hAnsi="Arial"/>
          <w:sz w:val="21"/>
          <w:szCs w:val="21"/>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21"/>
          <w:szCs w:val="21"/>
          <w:u w:val="single" w:color="auto"/>
          <w:color w:val="auto"/>
        </w:rPr>
        <w:t>Section 2.19(d)</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jc w:val="both"/>
        <w:ind w:firstLine="1505"/>
        <w:spacing w:after="0" w:line="287" w:lineRule="auto"/>
        <w:tabs>
          <w:tab w:leader="none" w:pos="195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Cash Collateral</w:t>
      </w:r>
      <w:r>
        <w:rPr>
          <w:rFonts w:ascii="Arial" w:cs="Arial" w:eastAsia="Arial" w:hAnsi="Arial"/>
          <w:sz w:val="19"/>
          <w:szCs w:val="19"/>
          <w:color w:val="auto"/>
        </w:rPr>
        <w:t xml:space="preserve">. At any time that there shall exist a Defaulting Lender, promptly following the written request of Administrative Agent or Issuing Bank (with a copy to Administrative Agent) Borrower shall Cash Collateralize Issuing Bank’s Fronting Exposure with respect to such Defaulting Lender (determined after giving effect to </w:t>
      </w:r>
      <w:r>
        <w:rPr>
          <w:rFonts w:ascii="Arial" w:cs="Arial" w:eastAsia="Arial" w:hAnsi="Arial"/>
          <w:sz w:val="19"/>
          <w:szCs w:val="19"/>
          <w:u w:val="single" w:color="auto"/>
          <w:color w:val="auto"/>
        </w:rPr>
        <w:t>Section 2.19(a)(iii)</w:t>
      </w:r>
      <w:r>
        <w:rPr>
          <w:rFonts w:ascii="Arial" w:cs="Arial" w:eastAsia="Arial" w:hAnsi="Arial"/>
          <w:sz w:val="19"/>
          <w:szCs w:val="19"/>
          <w:color w:val="auto"/>
        </w:rPr>
        <w:t xml:space="preserve"> and any Cash Collateral provided by such Defaulting Lender) in an amount not less than the Minimum Collateral Amount.</w:t>
      </w:r>
    </w:p>
    <w:p>
      <w:pPr>
        <w:spacing w:after="0" w:line="143" w:lineRule="exact"/>
        <w:rPr>
          <w:sz w:val="20"/>
          <w:szCs w:val="20"/>
          <w:color w:val="auto"/>
        </w:rPr>
      </w:pPr>
    </w:p>
    <w:p>
      <w:pPr>
        <w:jc w:val="both"/>
        <w:ind w:left="760" w:firstLine="745"/>
        <w:spacing w:after="0" w:line="245" w:lineRule="auto"/>
        <w:tabs>
          <w:tab w:leader="none" w:pos="1941" w:val="left"/>
        </w:tabs>
        <w:numPr>
          <w:ilvl w:val="0"/>
          <w:numId w:val="149"/>
        </w:numPr>
        <w:rPr>
          <w:rFonts w:ascii="Arial" w:cs="Arial" w:eastAsia="Arial" w:hAnsi="Arial"/>
          <w:sz w:val="21"/>
          <w:szCs w:val="21"/>
          <w:color w:val="auto"/>
        </w:rPr>
      </w:pPr>
      <w:r>
        <w:rPr>
          <w:rFonts w:ascii="Arial" w:cs="Arial" w:eastAsia="Arial" w:hAnsi="Arial"/>
          <w:sz w:val="21"/>
          <w:szCs w:val="21"/>
          <w:u w:val="single" w:color="auto"/>
          <w:color w:val="auto"/>
        </w:rPr>
        <w:t>Grant of Security Interest</w:t>
      </w:r>
      <w:r>
        <w:rPr>
          <w:rFonts w:ascii="Arial" w:cs="Arial" w:eastAsia="Arial" w:hAnsi="Arial"/>
          <w:sz w:val="21"/>
          <w:szCs w:val="21"/>
          <w:color w:val="auto"/>
        </w:rPr>
        <w:t xml:space="preserve">. Borrower, and to the extent provided by any Defaulting Lender, such Defaulting Lender, hereby grants to (and subjects to the control of) Administrative Agent, for the benefit of Issuing Bank,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below. If at any time Administrative Agent determines that Cash Collateral is subject to any right or claim of any Person other than Administrative Agent and Issuing Bank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w:t>
      </w:r>
    </w:p>
    <w:p>
      <w:pPr>
        <w:spacing w:after="0" w:line="19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4" w:name="page165"/>
    <w:bookmarkEnd w:id="164"/>
    <w:p>
      <w:pPr>
        <w:jc w:val="both"/>
        <w:spacing w:after="0" w:line="238" w:lineRule="auto"/>
        <w:rPr>
          <w:sz w:val="20"/>
          <w:szCs w:val="20"/>
          <w:color w:val="auto"/>
        </w:rPr>
      </w:pPr>
      <w:r>
        <w:rPr>
          <w:rFonts w:ascii="Arial" w:cs="Arial" w:eastAsia="Arial" w:hAnsi="Arial"/>
          <w:sz w:val="22"/>
          <w:szCs w:val="22"/>
          <w:color w:val="auto"/>
        </w:rPr>
        <w:t>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85" w:lineRule="exact"/>
        <w:rPr>
          <w:sz w:val="20"/>
          <w:szCs w:val="20"/>
          <w:color w:val="auto"/>
        </w:rPr>
      </w:pPr>
    </w:p>
    <w:p>
      <w:pPr>
        <w:jc w:val="both"/>
        <w:ind w:firstLine="745"/>
        <w:spacing w:after="0" w:line="282" w:lineRule="auto"/>
        <w:tabs>
          <w:tab w:leader="none" w:pos="118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pplication</w:t>
      </w:r>
      <w:r>
        <w:rPr>
          <w:rFonts w:ascii="Arial" w:cs="Arial" w:eastAsia="Arial" w:hAnsi="Arial"/>
          <w:sz w:val="19"/>
          <w:szCs w:val="19"/>
          <w:color w:val="auto"/>
        </w:rPr>
        <w:t xml:space="preserve">. Notwithstanding anything to the contrary contained in this Agreement, Cash Collateral provided under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147" w:lineRule="exact"/>
        <w:rPr>
          <w:rFonts w:ascii="Arial" w:cs="Arial" w:eastAsia="Arial" w:hAnsi="Arial"/>
          <w:sz w:val="19"/>
          <w:szCs w:val="19"/>
          <w:color w:val="auto"/>
        </w:rPr>
      </w:pPr>
    </w:p>
    <w:p>
      <w:pPr>
        <w:jc w:val="both"/>
        <w:ind w:firstLine="745"/>
        <w:spacing w:after="0" w:line="275" w:lineRule="auto"/>
        <w:tabs>
          <w:tab w:leader="none" w:pos="1221"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of Requirement</w:t>
      </w:r>
      <w:r>
        <w:rPr>
          <w:rFonts w:ascii="Arial" w:cs="Arial" w:eastAsia="Arial" w:hAnsi="Arial"/>
          <w:sz w:val="19"/>
          <w:szCs w:val="19"/>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9"/>
          <w:szCs w:val="19"/>
          <w:u w:val="single" w:color="auto"/>
          <w:color w:val="auto"/>
        </w:rPr>
        <w:t>Section 2.19</w:t>
      </w:r>
      <w:r>
        <w:rPr>
          <w:rFonts w:ascii="Arial" w:cs="Arial" w:eastAsia="Arial" w:hAnsi="Arial"/>
          <w:sz w:val="19"/>
          <w:szCs w:val="19"/>
          <w:color w:val="auto"/>
        </w:rPr>
        <w:t xml:space="preserve"> following (i) the elimination of the applicable Fronting Exposure (including by the termination of Defaulting Lender status of the applicable Lender or giving effect to Section 2.19(a)(iii)) or (ii) the determination by Administrative Agent and Issuing Bank that there exists excess Cash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subject to the other provisions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2.19</w:t>
      </w:r>
      <w:r>
        <w:rPr>
          <w:rFonts w:ascii="Arial" w:cs="Arial" w:eastAsia="Arial" w:hAnsi="Arial"/>
          <w:sz w:val="19"/>
          <w:szCs w:val="19"/>
          <w:color w:val="auto"/>
        </w:rPr>
        <w:t xml:space="preserve">, the Person providing Cash Collateral and Issuing Bank may agree that Cash Collateral shall be held to support future anticipated Fronting Exposure;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to the extent that such Cash Collateral was provided by Borrower, such Cash Collateral shall remain subject to the security interest granted pursuant to the Loan Documents.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2.20. </w:t>
      </w:r>
      <w:r>
        <w:rPr>
          <w:rFonts w:ascii="Arial" w:cs="Arial" w:eastAsia="Arial" w:hAnsi="Arial"/>
          <w:sz w:val="22"/>
          <w:szCs w:val="22"/>
          <w:u w:val="single" w:color="auto"/>
          <w:color w:val="auto"/>
        </w:rPr>
        <w:t>Reallocation Following a Non-Extended Commitment Termination Date</w:t>
      </w:r>
      <w:r>
        <w:rPr>
          <w:rFonts w:ascii="Arial" w:cs="Arial" w:eastAsia="Arial" w:hAnsi="Arial"/>
          <w:sz w:val="22"/>
          <w:szCs w:val="22"/>
          <w:color w:val="auto"/>
        </w:rPr>
        <w:t>.</w:t>
      </w:r>
    </w:p>
    <w:p>
      <w:pPr>
        <w:spacing w:after="0" w:line="206" w:lineRule="exact"/>
        <w:rPr>
          <w:sz w:val="20"/>
          <w:szCs w:val="20"/>
          <w:color w:val="auto"/>
        </w:rPr>
      </w:pPr>
    </w:p>
    <w:p>
      <w:pPr>
        <w:ind w:left="1180" w:hanging="435"/>
        <w:spacing w:after="0"/>
        <w:tabs>
          <w:tab w:leader="none" w:pos="1180" w:val="left"/>
        </w:tabs>
        <w:numPr>
          <w:ilvl w:val="0"/>
          <w:numId w:val="151"/>
        </w:numPr>
        <w:rPr>
          <w:rFonts w:ascii="Arial" w:cs="Arial" w:eastAsia="Arial" w:hAnsi="Arial"/>
          <w:sz w:val="22"/>
          <w:szCs w:val="22"/>
          <w:color w:val="auto"/>
        </w:rPr>
      </w:pPr>
      <w:r>
        <w:rPr>
          <w:rFonts w:ascii="Arial" w:cs="Arial" w:eastAsia="Arial" w:hAnsi="Arial"/>
          <w:sz w:val="22"/>
          <w:szCs w:val="22"/>
          <w:u w:val="single" w:color="auto"/>
          <w:color w:val="auto"/>
        </w:rPr>
        <w:t>Reallocation of Participations and Loans</w:t>
      </w:r>
      <w:r>
        <w:rPr>
          <w:rFonts w:ascii="Arial" w:cs="Arial" w:eastAsia="Arial" w:hAnsi="Arial"/>
          <w:sz w:val="22"/>
          <w:szCs w:val="22"/>
          <w:color w:val="auto"/>
        </w:rPr>
        <w:t>.</w:t>
      </w:r>
    </w:p>
    <w:p>
      <w:pPr>
        <w:spacing w:after="0" w:line="206" w:lineRule="exact"/>
        <w:rPr>
          <w:sz w:val="20"/>
          <w:szCs w:val="20"/>
          <w:color w:val="auto"/>
        </w:rPr>
      </w:pPr>
    </w:p>
    <w:p>
      <w:pPr>
        <w:jc w:val="both"/>
        <w:ind w:firstLine="745"/>
        <w:spacing w:after="0" w:line="244" w:lineRule="auto"/>
        <w:tabs>
          <w:tab w:leader="none" w:pos="1181" w:val="left"/>
        </w:tabs>
        <w:numPr>
          <w:ilvl w:val="0"/>
          <w:numId w:val="152"/>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herein, in connection with the reduction or termination of any Non-Extending Lender’s Commitments in accordance with </w:t>
      </w:r>
      <w:r>
        <w:rPr>
          <w:rFonts w:ascii="Arial" w:cs="Arial" w:eastAsia="Arial" w:hAnsi="Arial"/>
          <w:sz w:val="21"/>
          <w:szCs w:val="21"/>
          <w:u w:val="single" w:color="auto"/>
          <w:color w:val="auto"/>
        </w:rPr>
        <w:t>Section 2.08(f)</w:t>
      </w:r>
      <w:r>
        <w:rPr>
          <w:rFonts w:ascii="Arial" w:cs="Arial" w:eastAsia="Arial" w:hAnsi="Arial"/>
          <w:sz w:val="21"/>
          <w:szCs w:val="21"/>
          <w:color w:val="auto"/>
        </w:rPr>
        <w:t xml:space="preserve"> on any date prior to the Non-Extended Commitment Termination Date for such Non-Extending Lender, the Borrower shall be permitted to request, and each Lender other than such Non-Extending Lender agrees to provide, one or more Dollar Loans be made ratably among the Extending Lenders and Non-Extending Lenders for which the Non-Extended Commitment Termination Date shall not have occurred in accordance with the provisions of </w:t>
      </w:r>
      <w:r>
        <w:rPr>
          <w:rFonts w:ascii="Arial" w:cs="Arial" w:eastAsia="Arial" w:hAnsi="Arial"/>
          <w:sz w:val="21"/>
          <w:szCs w:val="21"/>
          <w:u w:val="single" w:color="auto"/>
          <w:color w:val="auto"/>
        </w:rPr>
        <w:t>Sections 2.02</w:t>
      </w:r>
      <w:r>
        <w:rPr>
          <w:rFonts w:ascii="Arial" w:cs="Arial" w:eastAsia="Arial" w:hAnsi="Arial"/>
          <w:sz w:val="21"/>
          <w:szCs w:val="21"/>
          <w:color w:val="auto"/>
        </w:rPr>
        <w:t xml:space="preserve">, </w:t>
      </w:r>
      <w:r>
        <w:rPr>
          <w:rFonts w:ascii="Arial" w:cs="Arial" w:eastAsia="Arial" w:hAnsi="Arial"/>
          <w:sz w:val="21"/>
          <w:szCs w:val="21"/>
          <w:u w:val="single" w:color="auto"/>
          <w:color w:val="auto"/>
        </w:rPr>
        <w:t>2.03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2.17(c)</w:t>
      </w:r>
      <w:r>
        <w:rPr>
          <w:rFonts w:ascii="Arial" w:cs="Arial" w:eastAsia="Arial" w:hAnsi="Arial"/>
          <w:sz w:val="21"/>
          <w:szCs w:val="21"/>
          <w:color w:val="auto"/>
        </w:rPr>
        <w:t xml:space="preserve"> in an amount up to the amount by which such Non-Extending Lender’s Revolving Credit Exposure would exceed such Non-Extending Lender’s Commitments after giving effect to such Commitment reduction, in each case, so long as (x) the conditions set forth in </w:t>
      </w:r>
      <w:r>
        <w:rPr>
          <w:rFonts w:ascii="Arial" w:cs="Arial" w:eastAsia="Arial" w:hAnsi="Arial"/>
          <w:sz w:val="21"/>
          <w:szCs w:val="21"/>
          <w:u w:val="single" w:color="auto"/>
          <w:color w:val="auto"/>
        </w:rPr>
        <w:t>Section 4.02</w:t>
      </w:r>
      <w:r>
        <w:rPr>
          <w:rFonts w:ascii="Arial" w:cs="Arial" w:eastAsia="Arial" w:hAnsi="Arial"/>
          <w:sz w:val="21"/>
          <w:szCs w:val="21"/>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w:t>
      </w:r>
    </w:p>
    <w:p>
      <w:pPr>
        <w:spacing w:after="0" w:line="19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165" w:name="page166"/>
    <w:bookmarkEnd w:id="165"/>
    <w:p>
      <w:pPr>
        <w:jc w:val="both"/>
        <w:ind w:left="760"/>
        <w:spacing w:after="0" w:line="236" w:lineRule="auto"/>
        <w:rPr>
          <w:sz w:val="20"/>
          <w:szCs w:val="20"/>
          <w:color w:val="auto"/>
        </w:rPr>
      </w:pPr>
      <w:r>
        <w:rPr>
          <w:rFonts w:ascii="Arial" w:cs="Arial" w:eastAsia="Arial" w:hAnsi="Arial"/>
          <w:sz w:val="22"/>
          <w:szCs w:val="22"/>
          <w:color w:val="auto"/>
        </w:rPr>
        <w:t>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187" w:lineRule="exact"/>
        <w:rPr>
          <w:sz w:val="20"/>
          <w:szCs w:val="20"/>
          <w:color w:val="auto"/>
        </w:rPr>
      </w:pPr>
    </w:p>
    <w:p>
      <w:pPr>
        <w:jc w:val="both"/>
        <w:ind w:left="760" w:firstLine="745"/>
        <w:spacing w:after="0" w:line="271" w:lineRule="auto"/>
        <w:tabs>
          <w:tab w:leader="none" w:pos="1941"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64" w:lineRule="exact"/>
        <w:rPr>
          <w:sz w:val="20"/>
          <w:szCs w:val="20"/>
          <w:color w:val="auto"/>
        </w:rPr>
      </w:pPr>
    </w:p>
    <w:p>
      <w:pPr>
        <w:jc w:val="both"/>
        <w:ind w:firstLine="1505"/>
        <w:spacing w:after="0" w:line="271" w:lineRule="auto"/>
        <w:tabs>
          <w:tab w:leader="none" w:pos="1943"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Cash Collateral; Repayment of Swingline Loans</w:t>
      </w:r>
      <w:r>
        <w:rPr>
          <w:rFonts w:ascii="Arial" w:cs="Arial" w:eastAsia="Arial" w:hAnsi="Arial"/>
          <w:sz w:val="19"/>
          <w:szCs w:val="19"/>
          <w:color w:val="auto"/>
        </w:rPr>
        <w:t xml:space="preserve">. If any Loan related to the reduction or termination of a Non-Extending Lender’s Commitment prior to the Non-Extended Commitment Termination Date described in </w:t>
      </w:r>
      <w:r>
        <w:rPr>
          <w:rFonts w:ascii="Arial" w:cs="Arial" w:eastAsia="Arial" w:hAnsi="Arial"/>
          <w:sz w:val="19"/>
          <w:szCs w:val="19"/>
          <w:u w:val="single" w:color="auto"/>
          <w:color w:val="auto"/>
        </w:rPr>
        <w:t>clause (a)(i)</w:t>
      </w:r>
      <w:r>
        <w:rPr>
          <w:rFonts w:ascii="Arial" w:cs="Arial" w:eastAsia="Arial" w:hAnsi="Arial"/>
          <w:sz w:val="19"/>
          <w:szCs w:val="19"/>
          <w:color w:val="auto"/>
        </w:rPr>
        <w:t xml:space="preserve"> above or any reallocation described in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9"/>
          <w:szCs w:val="19"/>
          <w:u w:val="single" w:color="auto"/>
          <w:color w:val="auto"/>
        </w:rPr>
        <w:t>clause (a)(ii)</w:t>
      </w:r>
      <w:r>
        <w:rPr>
          <w:rFonts w:ascii="Arial" w:cs="Arial" w:eastAsia="Arial" w:hAnsi="Arial"/>
          <w:sz w:val="19"/>
          <w:szCs w:val="19"/>
          <w:color w:val="auto"/>
        </w:rPr>
        <w:t xml:space="preserve"> above and/or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9"/>
          <w:szCs w:val="19"/>
          <w:u w:val="single" w:color="auto"/>
          <w:color w:val="auto"/>
        </w:rPr>
        <w:t>clause (a)(i)(z) above</w:t>
      </w:r>
      <w:r>
        <w:rPr>
          <w:rFonts w:ascii="Arial" w:cs="Arial" w:eastAsia="Arial" w:hAnsi="Arial"/>
          <w:sz w:val="19"/>
          <w:szCs w:val="19"/>
          <w:color w:val="auto"/>
        </w:rPr>
        <w:t xml:space="preserve"> exceeds such</w:t>
      </w:r>
    </w:p>
    <w:p>
      <w:pPr>
        <w:spacing w:after="0" w:line="167"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6" w:name="page167"/>
    <w:bookmarkEnd w:id="166"/>
    <w:p>
      <w:pPr>
        <w:spacing w:after="0" w:line="250" w:lineRule="auto"/>
        <w:rPr>
          <w:sz w:val="20"/>
          <w:szCs w:val="20"/>
          <w:color w:val="auto"/>
        </w:rPr>
      </w:pPr>
      <w:r>
        <w:rPr>
          <w:rFonts w:ascii="Arial" w:cs="Arial" w:eastAsia="Arial" w:hAnsi="Arial"/>
          <w:sz w:val="22"/>
          <w:szCs w:val="22"/>
          <w:color w:val="auto"/>
        </w:rPr>
        <w:t>Non-Extending Lender’s Commitment after giving effect to any reduction in such Non-Extending Lender’s Commitment, as applicable.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SECTION 2.21. [</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1" w:lineRule="auto"/>
        <w:tabs>
          <w:tab w:leader="none" w:pos="1929"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Benchmark Replacement.</w:t>
      </w:r>
      <w:r>
        <w:rPr>
          <w:rFonts w:ascii="Arial" w:cs="Arial" w:eastAsia="Arial" w:hAnsi="Arial"/>
          <w:sz w:val="19"/>
          <w:szCs w:val="19"/>
          <w:color w:val="auto"/>
        </w:rPr>
        <w:t xml:space="preserve"> Notwithstanding anything to the contrary herein or in any other Loan Document, if a Benchmark Transition Event and its related Benchmark Replacement Date have occurred prior to any setting of the then-current Benchmark for a 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other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other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 If the Benchmark Replacement is Daily Simple SOFR, all interest payments will be payable on a quarterly basis.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505"/>
        <w:spacing w:after="0" w:line="249" w:lineRule="auto"/>
        <w:tabs>
          <w:tab w:leader="none" w:pos="1956"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rFonts w:ascii="Arial" w:cs="Arial" w:eastAsia="Arial" w:hAnsi="Arial"/>
          <w:sz w:val="21"/>
          <w:szCs w:val="21"/>
          <w:color w:val="auto"/>
        </w:rPr>
      </w:pPr>
    </w:p>
    <w:p>
      <w:pPr>
        <w:jc w:val="both"/>
        <w:ind w:firstLine="1505"/>
        <w:spacing w:after="0" w:line="245" w:lineRule="auto"/>
        <w:tabs>
          <w:tab w:leader="none" w:pos="1929"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Notices; Standards for Decisions and Determinations</w:t>
      </w:r>
      <w:r>
        <w:rPr>
          <w:rFonts w:ascii="Arial" w:cs="Arial" w:eastAsia="Arial" w:hAnsi="Arial"/>
          <w:sz w:val="21"/>
          <w:szCs w:val="21"/>
          <w:color w:val="auto"/>
        </w:rPr>
        <w:t xml:space="preserve">. The Administrative Agent will promptly notify the Borrower and the Lenders of (i) any occurrence of a Benchmark Transition Event,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Arial" w:cs="Arial" w:eastAsia="Arial" w:hAnsi="Arial"/>
          <w:sz w:val="21"/>
          <w:szCs w:val="21"/>
          <w:u w:val="single" w:color="auto"/>
          <w:color w:val="auto"/>
        </w:rPr>
        <w:t>clause (d)</w:t>
      </w:r>
      <w:r>
        <w:rPr>
          <w:rFonts w:ascii="Arial" w:cs="Arial" w:eastAsia="Arial" w:hAnsi="Arial"/>
          <w:sz w:val="21"/>
          <w:szCs w:val="21"/>
          <w:color w:val="auto"/>
        </w:rPr>
        <w:t xml:space="preserve"> below and (y) the commencement or conclusion of any Benchmark Unavailability Period. Any determination, decision or election that may be made by the Administrative Agent or, if applicable, any Lender (or group of Lenders) pursuant to this </w:t>
      </w:r>
      <w:r>
        <w:rPr>
          <w:rFonts w:ascii="Arial" w:cs="Arial" w:eastAsia="Arial" w:hAnsi="Arial"/>
          <w:sz w:val="21"/>
          <w:szCs w:val="21"/>
          <w:u w:val="single" w:color="auto"/>
          <w:color w:val="auto"/>
        </w:rPr>
        <w:t>Section 2.22</w:t>
      </w:r>
      <w:r>
        <w:rPr>
          <w:rFonts w:ascii="Arial" w:cs="Arial" w:eastAsia="Arial" w:hAnsi="Arial"/>
          <w:sz w:val="21"/>
          <w:szCs w:val="21"/>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w:t>
      </w:r>
    </w:p>
    <w:p>
      <w:pPr>
        <w:spacing w:after="0" w:line="188"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89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7" w:name="page168"/>
    <w:bookmarkEnd w:id="167"/>
    <w:p>
      <w:pPr>
        <w:ind w:right="20"/>
        <w:spacing w:after="0" w:line="250" w:lineRule="auto"/>
        <w:rPr>
          <w:sz w:val="20"/>
          <w:szCs w:val="20"/>
          <w:color w:val="auto"/>
        </w:rPr>
      </w:pPr>
      <w:r>
        <w:rPr>
          <w:rFonts w:ascii="Arial" w:cs="Arial" w:eastAsia="Arial" w:hAnsi="Arial"/>
          <w:sz w:val="22"/>
          <w:szCs w:val="22"/>
          <w:color w:val="auto"/>
        </w:rPr>
        <w:t xml:space="preserve">from any other party to this Agreement or any other Loan Document, except, in each case, as expressly required pursuant to this </w:t>
      </w:r>
      <w:r>
        <w:rPr>
          <w:rFonts w:ascii="Arial" w:cs="Arial" w:eastAsia="Arial" w:hAnsi="Arial"/>
          <w:sz w:val="22"/>
          <w:szCs w:val="22"/>
          <w:u w:val="single" w:color="auto"/>
          <w:color w:val="auto"/>
        </w:rPr>
        <w:t>Section 2.22</w:t>
      </w:r>
      <w:r>
        <w:rPr>
          <w:rFonts w:ascii="Arial" w:cs="Arial" w:eastAsia="Arial" w:hAnsi="Arial"/>
          <w:sz w:val="22"/>
          <w:szCs w:val="22"/>
          <w:color w:val="auto"/>
        </w:rPr>
        <w:t>.</w:t>
      </w:r>
    </w:p>
    <w:p>
      <w:pPr>
        <w:spacing w:after="0" w:line="175" w:lineRule="exact"/>
        <w:rPr>
          <w:sz w:val="20"/>
          <w:szCs w:val="20"/>
          <w:color w:val="auto"/>
        </w:rPr>
      </w:pPr>
    </w:p>
    <w:p>
      <w:pPr>
        <w:jc w:val="both"/>
        <w:ind w:firstLine="1505"/>
        <w:spacing w:after="0" w:line="271" w:lineRule="auto"/>
        <w:tabs>
          <w:tab w:leader="none" w:pos="1943"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64" w:lineRule="exact"/>
        <w:rPr>
          <w:rFonts w:ascii="Arial" w:cs="Arial" w:eastAsia="Arial" w:hAnsi="Arial"/>
          <w:sz w:val="19"/>
          <w:szCs w:val="19"/>
          <w:color w:val="auto"/>
        </w:rPr>
      </w:pPr>
    </w:p>
    <w:p>
      <w:pPr>
        <w:jc w:val="both"/>
        <w:ind w:firstLine="1505"/>
        <w:spacing w:after="0" w:line="270" w:lineRule="auto"/>
        <w:tabs>
          <w:tab w:leader="none" w:pos="1956"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Borrower’s receipt of notice of the commencement of a Benchmark Unavailability Period, the Borrower may revoke any pending request for a Term Benchmark Borrowing or RFR Borrowing of, conversion to or continuation of Term Benchmark Loans or RFR Loans in each affected Currency to be made, converted or continued during any Benchmark Unavailability Period and, failing that, (i) any Interest Election Request that requests the conversion of any Borrowing to, or the continuation of any Borrowing as, a Term Benchmark Borrowing, denominated in the affected Currency shall be ineffective and, if the affected Currency is Dollars, such Borrowing (unless prepaid) shall be continued as, or converted to an ABR Borrowing at the end of the applicable Interest Period, (ii) if the affected Currency is Dollars and any Borrowing Request requests a Term Benchmark Borrowing denominated in Dollars, such Borrowing shall be made as an ABR Borrowing, (iii) if the affected Currency is a Foreign Currency other than Canadian Dollars, (A) any Borrowing Request that requests a Term Benchmark Borrowing or RFR Borrowing denominated in the affected Currency shall be made as a Borrowing bearing interest at the Central Bank Rate for the applicable Agreed Foreign Currency; provided, that if the Administrative Agent determines (which determination shall be conclusive and binding absent manifest error) that the Central Bank Rate for the applicable Foreign Currency cannot be determined, such Borrowing Request shall be ineffective, and (B) any outstanding Term Benchmark Borrowing or RFR Borrowing in the affected Currency, at the Borrower’s election, shall either (1) be converted to a Borrowing bearing interest at the Central Bank Rate for the applicable Agreed Foreign Currency; provided that, if the Administrative Agent determines (which determination shall be conclusive and binding absent manifest error) that the Central Bank Rate for the applicable Agreed Foreign Currency cannot be determined, such Borrowing shall be converted into an ABR Borrowing denominated in Dollars (in an amount equal to the Dollar Equivalent of such affected Currency) immediately in the case of an RFR Borrowing or, in the case of a Term Benchmark Borrowing, at the end of the applicable Interest Period, (2)</w:t>
      </w:r>
    </w:p>
    <w:p>
      <w:pPr>
        <w:spacing w:after="0" w:line="17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90</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8" w:name="page169"/>
    <w:bookmarkEnd w:id="168"/>
    <w:p>
      <w:pPr>
        <w:jc w:val="both"/>
        <w:spacing w:after="0" w:line="270" w:lineRule="auto"/>
        <w:rPr>
          <w:sz w:val="20"/>
          <w:szCs w:val="20"/>
          <w:color w:val="auto"/>
        </w:rPr>
      </w:pPr>
      <w:r>
        <w:rPr>
          <w:rFonts w:ascii="Arial" w:cs="Arial" w:eastAsia="Arial" w:hAnsi="Arial"/>
          <w:sz w:val="19"/>
          <w:szCs w:val="19"/>
          <w:color w:val="auto"/>
        </w:rPr>
        <w:t xml:space="preserve">be converted into an ABR Borrowing denominated in Dollars (in an amount equal to the Dollar Equivalent of such affected Currency) immediately in the case of an RFR Borrowing or, in the case of a Term Benchmark Borrowing, at the end of the applicable Interest Period, or (3) be prepaid in full immediately in the case of an RFR Borrowing or, in the case of a Term Benchmark Borrowing, at the end of the applicable Interest Period, and (iv) if the affected Currency is Canadian Dollars, (A) any Borrowing Request that requests a Term Benchmark Borrowing denominated in Canadian Dollars shall be made as a Term Benchmark Borrowing with a Term Benchmark Rate equal to the Canadian Prime Rate; provided, that if the Administrative Agent determines (which determination shall be conclusive and binding absent manifest error) that the Canadian Prime Rate cannot be determined, such Borrowing Request shall be ineffective, and (B) any outstanding Term Benchmark Borrowing in Canadian Dollars, at the Borrower’s election, shall either (1) be converted to a Term Benchmark Borrowing denominated in Canadian Dollars with a Term Benchmark Rate equal to the Canadian Prime Rate at the end of applicable Interest Period; provided that, if the Administrative Agent determines (which determination shall be conclusive and binding absent manifest error) that the Canadian Prime Rate cannot be determined, such Borrowing shall be converted into an ABR Borrowing denominated in Dollars (in an amount equal to the Dollar Equivalent of such affected Currency) at the end of the applicable Interest Period, (2) be converted into an ABR Borrowing denominated in Dollars (in an amount equal to the Dollar Equivalent of such affected Currency) at the end of the applicable Interest Period, or (3) be prepaid in full at the end of the applicable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election is made by the Borrower by the date that is three Business Days after receipt by the Borrower of such notice or, in the case of a Term Benchmark Borrowing, the last day of the current Interest Period for the applicable Term Benchmark Loan, if earlier, the Borrower shall be deemed to have elected clause (iii)(B(1) or (iv)(B)(1) above, as applicable.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ind w:left="1500" w:right="3660" w:firstLine="2153"/>
        <w:spacing w:after="0" w:line="504" w:lineRule="auto"/>
        <w:rPr>
          <w:sz w:val="20"/>
          <w:szCs w:val="20"/>
          <w:color w:val="auto"/>
        </w:rPr>
      </w:pPr>
      <w:r>
        <w:rPr>
          <w:rFonts w:ascii="Arial" w:cs="Arial" w:eastAsia="Arial" w:hAnsi="Arial"/>
          <w:sz w:val="19"/>
          <w:szCs w:val="19"/>
          <w:color w:val="auto"/>
        </w:rPr>
        <w:t>REPRESENTATIONS AND WARRANTIES The Borrower represents and warrants to the Lenders that:</w:t>
      </w:r>
    </w:p>
    <w:p>
      <w:pPr>
        <w:jc w:val="both"/>
        <w:ind w:firstLine="1497"/>
        <w:spacing w:after="0" w:line="282"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 Subsidiary, as applicable.</w:t>
      </w:r>
    </w:p>
    <w:p>
      <w:pPr>
        <w:spacing w:after="0" w:line="147"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will constitute, a legal, valid and binding obligation of the Borrower, enforceable in</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91</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9" w:name="page170"/>
    <w:bookmarkEnd w:id="169"/>
    <w:p>
      <w:pPr>
        <w:jc w:val="both"/>
        <w:spacing w:after="0" w:line="257" w:lineRule="auto"/>
        <w:rPr>
          <w:sz w:val="20"/>
          <w:szCs w:val="20"/>
          <w:color w:val="auto"/>
        </w:rPr>
      </w:pPr>
      <w:r>
        <w:rPr>
          <w:rFonts w:ascii="Arial" w:cs="Arial" w:eastAsia="Arial" w:hAnsi="Arial"/>
          <w:sz w:val="21"/>
          <w:szCs w:val="21"/>
          <w:color w:val="auto"/>
        </w:rPr>
        <w:t>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69"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 (c)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Condition; No Material Adverse Change</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82" w:lineRule="auto"/>
        <w:tabs>
          <w:tab w:leader="none" w:pos="195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Borrower has heretofore delivered to the Lenders the audited consolidated balance sheet and statements of assets and liabilities, operations, changes in net assets and cash flows of the Borrower and its Subsidiaries as of and for the year ended September 30, 2013,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47" w:lineRule="exact"/>
        <w:rPr>
          <w:rFonts w:ascii="Arial" w:cs="Arial" w:eastAsia="Arial" w:hAnsi="Arial"/>
          <w:sz w:val="19"/>
          <w:szCs w:val="19"/>
          <w:color w:val="auto"/>
        </w:rPr>
      </w:pPr>
    </w:p>
    <w:p>
      <w:pPr>
        <w:jc w:val="both"/>
        <w:ind w:firstLine="1505"/>
        <w:spacing w:after="0" w:line="246" w:lineRule="auto"/>
        <w:tabs>
          <w:tab w:leader="none" w:pos="1929"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No Material Adverse Change</w:t>
      </w:r>
      <w:r>
        <w:rPr>
          <w:rFonts w:ascii="Arial" w:cs="Arial" w:eastAsia="Arial" w:hAnsi="Arial"/>
          <w:sz w:val="21"/>
          <w:szCs w:val="21"/>
          <w:color w:val="auto"/>
        </w:rPr>
        <w:t>. Since the date of the most recent Applicable Financial Statements, there has not been any event, development or circumstance (herein, a “</w:t>
      </w:r>
      <w:r>
        <w:rPr>
          <w:rFonts w:ascii="Arial" w:cs="Arial" w:eastAsia="Arial" w:hAnsi="Arial"/>
          <w:sz w:val="21"/>
          <w:szCs w:val="21"/>
          <w:u w:val="single" w:color="auto"/>
          <w:color w:val="auto"/>
        </w:rPr>
        <w:t>Material Adverse Change</w:t>
      </w:r>
      <w:r>
        <w:rPr>
          <w:rFonts w:ascii="Arial" w:cs="Arial" w:eastAsia="Arial" w:hAnsi="Arial"/>
          <w:sz w:val="21"/>
          <w:szCs w:val="21"/>
          <w:color w:val="auto"/>
        </w:rPr>
        <w:t>”) that has had or could reasonably be expected to have a material adverse effect on (i) the business, Portfolio Investments and other assets, liabilities and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84"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w:t>
      </w:r>
      <w:r>
        <w:rPr>
          <w:rFonts w:ascii="Arial" w:cs="Arial" w:eastAsia="Arial" w:hAnsi="Arial"/>
          <w:sz w:val="22"/>
          <w:szCs w:val="22"/>
          <w:color w:val="auto"/>
        </w:rPr>
        <w:t>. 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Each of the Borrower and its Subsidiaries is in compliance with all laws, regulations and orders of any Governmental</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92</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0" w:name="page171"/>
    <w:bookmarkEnd w:id="170"/>
    <w:p>
      <w:pPr>
        <w:jc w:val="both"/>
        <w:spacing w:after="0" w:line="287" w:lineRule="auto"/>
        <w:rPr>
          <w:sz w:val="20"/>
          <w:szCs w:val="20"/>
          <w:color w:val="auto"/>
        </w:rPr>
      </w:pPr>
      <w:r>
        <w:rPr>
          <w:rFonts w:ascii="Arial" w:cs="Arial" w:eastAsia="Arial" w:hAnsi="Arial"/>
          <w:sz w:val="19"/>
          <w:szCs w:val="19"/>
          <w:color w:val="auto"/>
        </w:rPr>
        <w:t>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43"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u w:val="single" w:color="auto"/>
          <w:color w:val="auto"/>
        </w:rPr>
        <w:t>Taxes</w:t>
      </w:r>
      <w:r>
        <w:rPr>
          <w:rFonts w:ascii="Arial" w:cs="Arial" w:eastAsia="Arial" w:hAnsi="Arial"/>
          <w:sz w:val="22"/>
          <w:szCs w:val="22"/>
          <w:color w:val="auto"/>
        </w:rPr>
        <w:t>. 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Disclosure</w:t>
      </w:r>
      <w:r>
        <w:rPr>
          <w:rFonts w:ascii="Arial" w:cs="Arial" w:eastAsia="Arial" w:hAnsi="Arial"/>
          <w:sz w:val="21"/>
          <w:szCs w:val="21"/>
          <w:color w:val="auto"/>
        </w:rPr>
        <w:t xml:space="preserve">. 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and, as of the Fifth Amendment Effective Date, the information included in the Beneficial Ownership Certification is true and correct in all material respects.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the Borrower represents only that such information was prepared in good faith based upon assumptions believed to be reasonable at the time.</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Investment Company Act; Margin Regulations</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328" w:lineRule="auto"/>
        <w:tabs>
          <w:tab w:leader="none" w:pos="1929"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Status as Business Development Company</w:t>
      </w:r>
      <w:r>
        <w:rPr>
          <w:rFonts w:ascii="Arial" w:cs="Arial" w:eastAsia="Arial" w:hAnsi="Arial"/>
          <w:sz w:val="19"/>
          <w:szCs w:val="19"/>
          <w:color w:val="auto"/>
        </w:rPr>
        <w:t>. The Borrower is an “investment company” that has elected to be regulated as a “business development company” within the meaning of the Investment Company Act and qualifies as a RIC.</w:t>
      </w:r>
    </w:p>
    <w:p>
      <w:pPr>
        <w:spacing w:after="0" w:line="104" w:lineRule="exact"/>
        <w:rPr>
          <w:rFonts w:ascii="Arial" w:cs="Arial" w:eastAsia="Arial" w:hAnsi="Arial"/>
          <w:sz w:val="19"/>
          <w:szCs w:val="19"/>
          <w:color w:val="auto"/>
        </w:rPr>
      </w:pPr>
    </w:p>
    <w:p>
      <w:pPr>
        <w:jc w:val="both"/>
        <w:ind w:firstLine="1505"/>
        <w:spacing w:after="0" w:line="287" w:lineRule="auto"/>
        <w:tabs>
          <w:tab w:leader="none" w:pos="1956"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Compliance with Investment Company Act</w:t>
      </w:r>
      <w:r>
        <w:rPr>
          <w:rFonts w:ascii="Arial" w:cs="Arial" w:eastAsia="Arial" w:hAnsi="Arial"/>
          <w:sz w:val="19"/>
          <w:szCs w:val="19"/>
          <w:color w:val="auto"/>
        </w:rPr>
        <w:t>. The business and other activities of the Borrower and its Subsidiaries, including the making of the Loans hereunder, the application of the proceeds and repayment thereof by the Borrower and the consummation of the Transactions contemplated by the Loan Documents do not result in a violation or breach in any material respect of the provisions of the Investment Company Act or any rules, regulations or orders issued by the</w:t>
      </w:r>
    </w:p>
    <w:p>
      <w:pPr>
        <w:spacing w:after="0" w:line="150"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93</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1" w:name="page172"/>
    <w:bookmarkEnd w:id="171"/>
    <w:p>
      <w:pPr>
        <w:spacing w:after="0"/>
        <w:rPr>
          <w:sz w:val="20"/>
          <w:szCs w:val="20"/>
          <w:color w:val="auto"/>
        </w:rPr>
      </w:pPr>
      <w:r>
        <w:rPr>
          <w:rFonts w:ascii="Arial" w:cs="Arial" w:eastAsia="Arial" w:hAnsi="Arial"/>
          <w:sz w:val="21"/>
          <w:szCs w:val="21"/>
          <w:color w:val="auto"/>
        </w:rPr>
        <w:t>Securities and Exchange Commission thereunder, in each case that are applicable to the Borrower and its Subsidiaries.</w:t>
      </w:r>
    </w:p>
    <w:p>
      <w:pPr>
        <w:spacing w:after="0" w:line="218" w:lineRule="exact"/>
        <w:rPr>
          <w:sz w:val="20"/>
          <w:szCs w:val="20"/>
          <w:color w:val="auto"/>
        </w:rPr>
      </w:pPr>
    </w:p>
    <w:p>
      <w:pPr>
        <w:ind w:firstLine="1505"/>
        <w:spacing w:after="0" w:line="250" w:lineRule="auto"/>
        <w:tabs>
          <w:tab w:leader="none" w:pos="1943"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Investment Policies</w:t>
      </w:r>
      <w:r>
        <w:rPr>
          <w:rFonts w:ascii="Arial" w:cs="Arial" w:eastAsia="Arial" w:hAnsi="Arial"/>
          <w:sz w:val="22"/>
          <w:szCs w:val="22"/>
          <w:color w:val="auto"/>
        </w:rPr>
        <w:t>. The Borrower is in compliance in all material respects with the Investment Policies (after giving effect to any Permitted Policy Amendments).</w:t>
      </w:r>
    </w:p>
    <w:p>
      <w:pPr>
        <w:spacing w:after="0" w:line="174" w:lineRule="exact"/>
        <w:rPr>
          <w:rFonts w:ascii="Arial" w:cs="Arial" w:eastAsia="Arial" w:hAnsi="Arial"/>
          <w:sz w:val="22"/>
          <w:szCs w:val="22"/>
          <w:color w:val="auto"/>
        </w:rPr>
      </w:pPr>
    </w:p>
    <w:p>
      <w:pPr>
        <w:jc w:val="both"/>
        <w:ind w:firstLine="1505"/>
        <w:spacing w:after="0" w:line="238" w:lineRule="auto"/>
        <w:tabs>
          <w:tab w:leader="none" w:pos="1943"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Use of Credit</w:t>
      </w:r>
      <w:r>
        <w:rPr>
          <w:rFonts w:ascii="Arial" w:cs="Arial" w:eastAsia="Arial" w:hAnsi="Arial"/>
          <w:sz w:val="22"/>
          <w:szCs w:val="22"/>
          <w:color w:val="auto"/>
        </w:rPr>
        <w:t>. Neither the Borrower nor any of its Subsidiaries is engaged principally, or as one of its important activities, in the business of extending credit for the purpose, whether immediate, incidental or ultimate, of buying or carrying Margin Stock, and no part of the proceeds of any extension of credit hereunder will be used to buy or carry any Margin Stock.</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Material Agreements and Liens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9" w:lineRule="auto"/>
        <w:tabs>
          <w:tab w:leader="none" w:pos="1929"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Material Agreements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 xml:space="preserve"> is a complete and correct list, as of the date hereof, of each credit 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on the Fifth Amendment Effective Date (other than Indebtedness hereunder or under any other Loan Document), and the aggregate principal or face amount outstanding or that is, or may become, outstanding under each such arrangement is correctly described in </w:t>
      </w:r>
      <w:r>
        <w:rPr>
          <w:rFonts w:ascii="Arial" w:cs="Arial" w:eastAsia="Arial" w:hAnsi="Arial"/>
          <w:sz w:val="19"/>
          <w:szCs w:val="19"/>
          <w:u w:val="single" w:color="auto"/>
          <w:color w:val="auto"/>
        </w:rPr>
        <w:t>Part A</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Schedule 3.11</w:t>
      </w:r>
      <w:r>
        <w:rPr>
          <w:rFonts w:ascii="Arial" w:cs="Arial" w:eastAsia="Arial" w:hAnsi="Arial"/>
          <w:sz w:val="19"/>
          <w:szCs w:val="19"/>
          <w:color w:val="auto"/>
        </w:rPr>
        <w:t>.</w:t>
      </w:r>
    </w:p>
    <w:p>
      <w:pPr>
        <w:spacing w:after="0" w:line="150" w:lineRule="exact"/>
        <w:rPr>
          <w:rFonts w:ascii="Arial" w:cs="Arial" w:eastAsia="Arial" w:hAnsi="Arial"/>
          <w:sz w:val="19"/>
          <w:szCs w:val="19"/>
          <w:color w:val="auto"/>
        </w:rPr>
      </w:pPr>
    </w:p>
    <w:p>
      <w:pPr>
        <w:jc w:val="both"/>
        <w:ind w:firstLine="1505"/>
        <w:spacing w:after="0" w:line="236" w:lineRule="auto"/>
        <w:tabs>
          <w:tab w:leader="none" w:pos="1929"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is a complete and correct list, as of the Fifth Amendment Effective Date, of each Lien securing Indebtedness of any Person outstanding on the Fifth Amendment Effective Date (other than Indebtedness hereunder or under any other Loan Document) covering any property of the Borrower or any of its Subsidiaries, and the aggregate Indebtedness secured (or that may be secured) by each such Lien and the property covered by each such Lien is correctly described in </w:t>
      </w:r>
      <w:r>
        <w:rPr>
          <w:rFonts w:ascii="Arial" w:cs="Arial" w:eastAsia="Arial" w:hAnsi="Arial"/>
          <w:sz w:val="22"/>
          <w:szCs w:val="22"/>
          <w:u w:val="single" w:color="auto"/>
          <w:color w:val="auto"/>
        </w:rPr>
        <w:t>Part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Subsidiaries and Investments</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50" w:lineRule="auto"/>
        <w:tabs>
          <w:tab w:leader="none" w:pos="1970"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Subsidiaries</w:t>
      </w:r>
      <w:r>
        <w:rPr>
          <w:rFonts w:ascii="Arial" w:cs="Arial" w:eastAsia="Arial" w:hAnsi="Arial"/>
          <w:sz w:val="22"/>
          <w:szCs w:val="22"/>
          <w:color w:val="auto"/>
        </w:rPr>
        <w:t xml:space="preserve">. Set forth on </w:t>
      </w:r>
      <w:r>
        <w:rPr>
          <w:rFonts w:ascii="Arial" w:cs="Arial" w:eastAsia="Arial" w:hAnsi="Arial"/>
          <w:sz w:val="22"/>
          <w:szCs w:val="22"/>
          <w:u w:val="single" w:color="auto"/>
          <w:color w:val="auto"/>
        </w:rPr>
        <w:t>Schedule 3.12(a)</w:t>
      </w:r>
      <w:r>
        <w:rPr>
          <w:rFonts w:ascii="Arial" w:cs="Arial" w:eastAsia="Arial" w:hAnsi="Arial"/>
          <w:sz w:val="22"/>
          <w:szCs w:val="22"/>
          <w:color w:val="auto"/>
        </w:rPr>
        <w:t xml:space="preserve"> is a list of the Borrower’s Subsidiaries as of the Fifth Amendment Effective Date.</w:t>
      </w:r>
    </w:p>
    <w:p>
      <w:pPr>
        <w:spacing w:after="0" w:line="174" w:lineRule="exact"/>
        <w:rPr>
          <w:rFonts w:ascii="Arial" w:cs="Arial" w:eastAsia="Arial" w:hAnsi="Arial"/>
          <w:sz w:val="22"/>
          <w:szCs w:val="22"/>
          <w:color w:val="auto"/>
        </w:rPr>
      </w:pPr>
    </w:p>
    <w:p>
      <w:pPr>
        <w:jc w:val="both"/>
        <w:ind w:firstLine="1505"/>
        <w:spacing w:after="0" w:line="246" w:lineRule="auto"/>
        <w:tabs>
          <w:tab w:leader="none" w:pos="1956" w:val="left"/>
        </w:tabs>
        <w:numPr>
          <w:ilvl w:val="0"/>
          <w:numId w:val="161"/>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Set forth in </w:t>
      </w:r>
      <w:r>
        <w:rPr>
          <w:rFonts w:ascii="Arial" w:cs="Arial" w:eastAsia="Arial" w:hAnsi="Arial"/>
          <w:sz w:val="21"/>
          <w:szCs w:val="21"/>
          <w:u w:val="single" w:color="auto"/>
          <w:color w:val="auto"/>
        </w:rPr>
        <w:t>Schedule 3.12(b)</w:t>
      </w:r>
      <w:r>
        <w:rPr>
          <w:rFonts w:ascii="Arial" w:cs="Arial" w:eastAsia="Arial" w:hAnsi="Arial"/>
          <w:sz w:val="21"/>
          <w:szCs w:val="21"/>
          <w:color w:val="auto"/>
        </w:rPr>
        <w:t xml:space="preserve"> is a complete and correct list, as of the Fifth Amendment Effective Date, of all Investments (other than Investments of the types referred to in </w:t>
      </w:r>
      <w:r>
        <w:rPr>
          <w:rFonts w:ascii="Arial" w:cs="Arial" w:eastAsia="Arial" w:hAnsi="Arial"/>
          <w:sz w:val="21"/>
          <w:szCs w:val="21"/>
          <w:u w:val="single" w:color="auto"/>
          <w:color w:val="auto"/>
        </w:rPr>
        <w:t>clauses (b)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xml:space="preserve"> of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held by the Borrower or any of its Subsidiaries (other than any Financing Subsidiary) in any Person on the Fifth Amendment Effective Date and, for each such Investment, (x) the identity of the Person or Persons holding such Investment and (y) the nature of such Investment. Except as disclosed in </w:t>
      </w:r>
      <w:r>
        <w:rPr>
          <w:rFonts w:ascii="Arial" w:cs="Arial" w:eastAsia="Arial" w:hAnsi="Arial"/>
          <w:sz w:val="21"/>
          <w:szCs w:val="21"/>
          <w:u w:val="single" w:color="auto"/>
          <w:color w:val="auto"/>
        </w:rPr>
        <w:t>Schedule 3.12</w:t>
      </w:r>
      <w:r>
        <w:rPr>
          <w:rFonts w:ascii="Arial" w:cs="Arial" w:eastAsia="Arial" w:hAnsi="Arial"/>
          <w:sz w:val="21"/>
          <w:szCs w:val="21"/>
          <w:color w:val="auto"/>
        </w:rPr>
        <w:t>, as of the Fifth Amendment Effective Date, each of the Borrower and its Subsidiaries (other than any Financing Subsidiary) owns, free and clear of all Liens (other than Liens created pursuant to this Agreement or the Security Documents), all such Investments.</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Properties</w:t>
      </w:r>
      <w:r>
        <w:rPr>
          <w:rFonts w:ascii="Arial" w:cs="Arial" w:eastAsia="Arial" w:hAnsi="Arial"/>
          <w:sz w:val="22"/>
          <w:szCs w:val="22"/>
          <w:color w:val="auto"/>
        </w:rPr>
        <w:t>.</w:t>
      </w:r>
    </w:p>
    <w:p>
      <w:pPr>
        <w:spacing w:after="0" w:line="206" w:lineRule="exact"/>
        <w:rPr>
          <w:sz w:val="20"/>
          <w:szCs w:val="20"/>
          <w:color w:val="auto"/>
        </w:rPr>
      </w:pPr>
    </w:p>
    <w:p>
      <w:pPr>
        <w:ind w:firstLine="1505"/>
        <w:spacing w:after="0" w:line="250" w:lineRule="auto"/>
        <w:tabs>
          <w:tab w:leader="none" w:pos="1970"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Title Generally</w:t>
      </w:r>
      <w:r>
        <w:rPr>
          <w:rFonts w:ascii="Arial" w:cs="Arial" w:eastAsia="Arial" w:hAnsi="Arial"/>
          <w:sz w:val="22"/>
          <w:szCs w:val="22"/>
          <w:color w:val="auto"/>
        </w:rPr>
        <w:t>. Each of the Borrower and its Subsidiaries (other than any Financing Subsidiary or Immaterial Subsidiary) has good title to, or valid leasehold interests in,</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94</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2" w:name="page173"/>
    <w:bookmarkEnd w:id="172"/>
    <w:p>
      <w:pPr>
        <w:spacing w:after="0" w:line="250" w:lineRule="auto"/>
        <w:rPr>
          <w:sz w:val="20"/>
          <w:szCs w:val="20"/>
          <w:color w:val="auto"/>
        </w:rPr>
      </w:pPr>
      <w:r>
        <w:rPr>
          <w:rFonts w:ascii="Arial" w:cs="Arial" w:eastAsia="Arial" w:hAnsi="Arial"/>
          <w:sz w:val="22"/>
          <w:szCs w:val="22"/>
          <w:color w:val="auto"/>
        </w:rPr>
        <w:t>all its real and personal property material to its business, except for minor defects in title that do not interfere with its ability to conduct its business as currently conducted or to utilize such properties for their intended purposes.</w:t>
      </w:r>
    </w:p>
    <w:p>
      <w:pPr>
        <w:spacing w:after="0" w:line="175" w:lineRule="exact"/>
        <w:rPr>
          <w:sz w:val="20"/>
          <w:szCs w:val="20"/>
          <w:color w:val="auto"/>
        </w:rPr>
      </w:pPr>
    </w:p>
    <w:p>
      <w:pPr>
        <w:jc w:val="both"/>
        <w:ind w:firstLine="1505"/>
        <w:spacing w:after="0" w:line="236" w:lineRule="auto"/>
        <w:tabs>
          <w:tab w:leader="none" w:pos="1956"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8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SECTION 3.14. </w:t>
      </w:r>
      <w:r>
        <w:rPr>
          <w:rFonts w:ascii="Arial" w:cs="Arial" w:eastAsia="Arial" w:hAnsi="Arial"/>
          <w:sz w:val="22"/>
          <w:szCs w:val="22"/>
          <w:u w:val="single" w:color="auto"/>
          <w:color w:val="auto"/>
        </w:rPr>
        <w:t>Affiliate Agreements</w:t>
      </w:r>
      <w:r>
        <w:rPr>
          <w:rFonts w:ascii="Arial" w:cs="Arial" w:eastAsia="Arial" w:hAnsi="Arial"/>
          <w:sz w:val="22"/>
          <w:szCs w:val="22"/>
          <w:color w:val="auto"/>
        </w:rPr>
        <w:t>. As of the date hereof, the Borrower has heretofore delivered to each of the Lenders true and complete copies of each of the Affiliate Agreements (including and schedules and exhibits thereto, and any amendments, supplements or waivers executed and delivered thereunder). As of the date of hereof, each of the Affiliate Agreements is in full force and effect.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3.15. </w:t>
      </w:r>
      <w:r>
        <w:rPr>
          <w:rFonts w:ascii="Arial" w:cs="Arial" w:eastAsia="Arial" w:hAnsi="Arial"/>
          <w:sz w:val="22"/>
          <w:szCs w:val="22"/>
          <w:u w:val="single" w:color="auto"/>
          <w:color w:val="auto"/>
        </w:rPr>
        <w:t>Sanctions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8" w:lineRule="auto"/>
        <w:tabs>
          <w:tab w:leader="none" w:pos="192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None of the Borrower or any of its Subsidiaries, nor, to the knowledge of the Borrower, any of their respective directors, officers or authorized signors (i) is a person on the list of Specially Designated Nationals and Blocked Persons or subject to, or the subject or target of, the limitations or prohibitions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under (A) any U.S. Department of Treasury’s Office of Foreign Assets Control (“</w:t>
      </w:r>
      <w:r>
        <w:rPr>
          <w:rFonts w:ascii="Arial" w:cs="Arial" w:eastAsia="Arial" w:hAnsi="Arial"/>
          <w:sz w:val="21"/>
          <w:szCs w:val="21"/>
          <w:u w:val="single" w:color="auto"/>
          <w:color w:val="auto"/>
        </w:rPr>
        <w:t>OFAC</w:t>
      </w:r>
      <w:r>
        <w:rPr>
          <w:rFonts w:ascii="Arial" w:cs="Arial" w:eastAsia="Arial" w:hAnsi="Arial"/>
          <w:sz w:val="21"/>
          <w:szCs w:val="21"/>
          <w:color w:val="auto"/>
        </w:rPr>
        <w:t>”)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176" w:lineRule="exact"/>
        <w:rPr>
          <w:rFonts w:ascii="Arial" w:cs="Arial" w:eastAsia="Arial" w:hAnsi="Arial"/>
          <w:sz w:val="21"/>
          <w:szCs w:val="21"/>
          <w:color w:val="auto"/>
        </w:rPr>
      </w:pPr>
    </w:p>
    <w:p>
      <w:pPr>
        <w:jc w:val="both"/>
        <w:ind w:firstLine="1505"/>
        <w:spacing w:after="0"/>
        <w:tabs>
          <w:tab w:leader="none" w:pos="192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8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Patriot Act</w:t>
      </w:r>
      <w:r>
        <w:rPr>
          <w:rFonts w:ascii="Arial" w:cs="Arial" w:eastAsia="Arial" w:hAnsi="Arial"/>
          <w:sz w:val="19"/>
          <w:szCs w:val="19"/>
          <w:color w:val="auto"/>
        </w:rPr>
        <w:t>. Each of the Borrower and its Subsidiaries is in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w:t>
      </w:r>
      <w:r>
        <w:rPr>
          <w:rFonts w:ascii="Arial" w:cs="Arial" w:eastAsia="Arial" w:hAnsi="Arial"/>
          <w:sz w:val="19"/>
          <w:szCs w:val="19"/>
          <w:u w:val="single" w:color="auto"/>
          <w:color w:val="auto"/>
        </w:rPr>
        <w:t>Anti-Corruption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Laws</w:t>
      </w:r>
      <w:r>
        <w:rPr>
          <w:rFonts w:ascii="Arial" w:cs="Arial" w:eastAsia="Arial" w:hAnsi="Arial"/>
          <w:sz w:val="19"/>
          <w:szCs w:val="19"/>
          <w:color w:val="auto"/>
        </w:rPr>
        <w:t>”) or (ii) for the purpose of financing the activities in or with any Sanctioned</w:t>
      </w:r>
    </w:p>
    <w:p>
      <w:pPr>
        <w:spacing w:after="0" w:line="16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95</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3" w:name="page174"/>
    <w:bookmarkEnd w:id="173"/>
    <w:p>
      <w:pPr>
        <w:jc w:val="both"/>
        <w:spacing w:after="0" w:line="328" w:lineRule="auto"/>
        <w:rPr>
          <w:sz w:val="20"/>
          <w:szCs w:val="20"/>
          <w:color w:val="auto"/>
        </w:rPr>
      </w:pPr>
      <w:r>
        <w:rPr>
          <w:rFonts w:ascii="Arial" w:cs="Arial" w:eastAsia="Arial" w:hAnsi="Arial"/>
          <w:sz w:val="19"/>
          <w:szCs w:val="19"/>
          <w:color w:val="auto"/>
        </w:rPr>
        <w:t>Country, or of any Person, at the time of such financing (A) subject to, or the subject of, any Sanctions or (B) located, organized or resident in a Sanctioned Country, in each case as would result in a violation of Sanctions by any party hereto.</w:t>
      </w:r>
    </w:p>
    <w:p>
      <w:pPr>
        <w:spacing w:after="0" w:line="10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SECTION 3.17. </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xml:space="preserve">. The provisions of the Security Documents are effective to create in favor of the Collateral Agent a legal, valid and enforceable first priority Lien (subject to Liens permitted by </w:t>
      </w:r>
      <w:r>
        <w:rPr>
          <w:rFonts w:ascii="Arial" w:cs="Arial" w:eastAsia="Arial" w:hAnsi="Arial"/>
          <w:sz w:val="22"/>
          <w:szCs w:val="22"/>
          <w:u w:val="single" w:color="auto"/>
          <w:color w:val="auto"/>
        </w:rPr>
        <w:t>Section 6.02</w:t>
      </w:r>
      <w:r>
        <w:rPr>
          <w:rFonts w:ascii="Arial" w:cs="Arial" w:eastAsia="Arial" w:hAnsi="Arial"/>
          <w:sz w:val="22"/>
          <w:szCs w:val="22"/>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87" w:lineRule="exact"/>
        <w:rPr>
          <w:sz w:val="20"/>
          <w:szCs w:val="20"/>
          <w:color w:val="auto"/>
        </w:rPr>
      </w:pPr>
    </w:p>
    <w:p>
      <w:pPr>
        <w:ind w:left="1500"/>
        <w:spacing w:after="0"/>
        <w:tabs>
          <w:tab w:leader="none" w:pos="5600" w:val="left"/>
        </w:tabs>
        <w:rPr>
          <w:sz w:val="20"/>
          <w:szCs w:val="20"/>
          <w:color w:val="auto"/>
        </w:rPr>
      </w:pPr>
      <w:r>
        <w:rPr>
          <w:rFonts w:ascii="Arial" w:cs="Arial" w:eastAsia="Arial" w:hAnsi="Arial"/>
          <w:sz w:val="22"/>
          <w:szCs w:val="22"/>
          <w:color w:val="auto"/>
        </w:rPr>
        <w:t xml:space="preserve">SECTION 3.18. </w:t>
      </w:r>
      <w:r>
        <w:rPr>
          <w:rFonts w:ascii="Arial" w:cs="Arial" w:eastAsia="Arial" w:hAnsi="Arial"/>
          <w:sz w:val="22"/>
          <w:szCs w:val="22"/>
          <w:u w:val="single" w:color="auto"/>
          <w:color w:val="auto"/>
        </w:rPr>
        <w:t>EEA Financial Institutions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Neither the Borrower nor any Subsidiary is an EEA Financial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Institution.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Effective Date</w:t>
      </w:r>
      <w:r>
        <w:rPr>
          <w:rFonts w:ascii="Arial" w:cs="Arial" w:eastAsia="Arial" w:hAnsi="Arial"/>
          <w:sz w:val="19"/>
          <w:szCs w:val="19"/>
          <w:color w:val="auto"/>
        </w:rPr>
        <w:t xml:space="preserve">. The effectiveness of this Agreement and of the obligations of the Lenders to make Loans and of the Issuing Bank to issue Letters of Credit hereunder shall not become effective until completion of each of the following conditions precedent (unless a condition shall have been waived in accordance with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134" w:lineRule="exact"/>
        <w:rPr>
          <w:sz w:val="20"/>
          <w:szCs w:val="20"/>
          <w:color w:val="auto"/>
        </w:rPr>
      </w:pPr>
    </w:p>
    <w:p>
      <w:pPr>
        <w:ind w:firstLine="1505"/>
        <w:spacing w:after="0" w:line="328" w:lineRule="auto"/>
        <w:tabs>
          <w:tab w:leader="none" w:pos="1943"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Documents</w:t>
      </w:r>
      <w:r>
        <w:rPr>
          <w:rFonts w:ascii="Arial" w:cs="Arial" w:eastAsia="Arial" w:hAnsi="Arial"/>
          <w:sz w:val="19"/>
          <w:szCs w:val="19"/>
          <w:color w:val="auto"/>
        </w:rPr>
        <w:t>. Administrative Agent shall have received each of the following documents, each of which shall be satisfactory to the Administrative Agent (and to the extent specified below to each Lender) in form and substance:</w:t>
      </w:r>
    </w:p>
    <w:p>
      <w:pPr>
        <w:spacing w:after="0" w:line="105" w:lineRule="exact"/>
        <w:rPr>
          <w:sz w:val="20"/>
          <w:szCs w:val="20"/>
          <w:color w:val="auto"/>
        </w:rPr>
      </w:pPr>
    </w:p>
    <w:p>
      <w:pPr>
        <w:jc w:val="both"/>
        <w:ind w:left="760" w:firstLine="745"/>
        <w:spacing w:after="0" w:line="297" w:lineRule="auto"/>
        <w:tabs>
          <w:tab w:leader="none" w:pos="1941"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Executed Counterparts</w:t>
      </w:r>
      <w:r>
        <w:rPr>
          <w:rFonts w:ascii="Arial" w:cs="Arial" w:eastAsia="Arial" w:hAnsi="Arial"/>
          <w:sz w:val="19"/>
          <w:szCs w:val="19"/>
          <w:color w:val="auto"/>
        </w:rPr>
        <w:t>. From each party hereto either (i) a counterpart of this Agreement signed on behalf of such party or (ii) written evidence satisfactory to the Administrative Agent (which may include telecopy transmission of a signed signature page to this Agreement) that such party has signed a counterpart of this Agreement.</w:t>
      </w:r>
    </w:p>
    <w:p>
      <w:pPr>
        <w:spacing w:after="0" w:line="133" w:lineRule="exact"/>
        <w:rPr>
          <w:rFonts w:ascii="Arial" w:cs="Arial" w:eastAsia="Arial" w:hAnsi="Arial"/>
          <w:sz w:val="19"/>
          <w:szCs w:val="19"/>
          <w:color w:val="auto"/>
        </w:rPr>
      </w:pPr>
    </w:p>
    <w:p>
      <w:pPr>
        <w:jc w:val="both"/>
        <w:ind w:left="760" w:firstLine="745"/>
        <w:spacing w:after="0" w:line="252" w:lineRule="auto"/>
        <w:tabs>
          <w:tab w:leader="none" w:pos="1941" w:val="left"/>
        </w:tabs>
        <w:numPr>
          <w:ilvl w:val="0"/>
          <w:numId w:val="166"/>
        </w:numPr>
        <w:rPr>
          <w:rFonts w:ascii="Arial" w:cs="Arial" w:eastAsia="Arial" w:hAnsi="Arial"/>
          <w:sz w:val="21"/>
          <w:szCs w:val="21"/>
          <w:color w:val="auto"/>
        </w:rPr>
      </w:pPr>
      <w:r>
        <w:rPr>
          <w:rFonts w:ascii="Arial" w:cs="Arial" w:eastAsia="Arial" w:hAnsi="Arial"/>
          <w:sz w:val="21"/>
          <w:szCs w:val="21"/>
          <w:u w:val="single" w:color="auto"/>
          <w:color w:val="auto"/>
        </w:rPr>
        <w:t>Opinion of Counsel to the Borrower</w:t>
      </w:r>
      <w:r>
        <w:rPr>
          <w:rFonts w:ascii="Arial" w:cs="Arial" w:eastAsia="Arial" w:hAnsi="Arial"/>
          <w:sz w:val="21"/>
          <w:szCs w:val="21"/>
          <w:color w:val="auto"/>
        </w:rPr>
        <w:t>. A favorable written opinion (addressed to the Administrative Agent and the Lenders and dated the Effective Date) of Dechert LLP, New York and Maryland counsel for the Borrower, in form and substance reasonably acceptable to the Administrative Agent (and the Borrower hereby instructs such counsel to deliver such opinion to the Lenders and the Administrative Agent).</w:t>
      </w:r>
    </w:p>
    <w:p>
      <w:pPr>
        <w:spacing w:after="0" w:line="173" w:lineRule="exact"/>
        <w:rPr>
          <w:rFonts w:ascii="Arial" w:cs="Arial" w:eastAsia="Arial" w:hAnsi="Arial"/>
          <w:sz w:val="21"/>
          <w:szCs w:val="21"/>
          <w:color w:val="auto"/>
        </w:rPr>
      </w:pPr>
    </w:p>
    <w:p>
      <w:pPr>
        <w:jc w:val="both"/>
        <w:ind w:left="760" w:firstLine="745"/>
        <w:spacing w:after="0" w:line="238" w:lineRule="auto"/>
        <w:tabs>
          <w:tab w:leader="none" w:pos="1954"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Corporate Documents</w:t>
      </w:r>
      <w:r>
        <w:rPr>
          <w:rFonts w:ascii="Arial" w:cs="Arial" w:eastAsia="Arial" w:hAnsi="Arial"/>
          <w:sz w:val="22"/>
          <w:szCs w:val="22"/>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84" w:lineRule="exact"/>
        <w:rPr>
          <w:rFonts w:ascii="Arial" w:cs="Arial" w:eastAsia="Arial" w:hAnsi="Arial"/>
          <w:sz w:val="22"/>
          <w:szCs w:val="22"/>
          <w:color w:val="auto"/>
        </w:rPr>
      </w:pPr>
    </w:p>
    <w:p>
      <w:pPr>
        <w:jc w:val="both"/>
        <w:ind w:left="760" w:firstLine="745"/>
        <w:spacing w:after="0"/>
        <w:tabs>
          <w:tab w:leader="none" w:pos="1941"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A certificate, dated the Effective Date and signed by the President, a Vice President or a Financial Officer of the Borrower, confirming compliance with the conditions set forth in the lettered clauses of the first sentence of </w:t>
      </w:r>
      <w:r>
        <w:rPr>
          <w:rFonts w:ascii="Arial" w:cs="Arial" w:eastAsia="Arial" w:hAnsi="Arial"/>
          <w:sz w:val="22"/>
          <w:szCs w:val="22"/>
          <w:u w:val="single" w:color="auto"/>
          <w:color w:val="auto"/>
        </w:rPr>
        <w:t>Section 4.02</w:t>
      </w:r>
      <w:r>
        <w:rPr>
          <w:rFonts w:ascii="Arial" w:cs="Arial" w:eastAsia="Arial" w:hAnsi="Arial"/>
          <w:sz w:val="22"/>
          <w:szCs w:val="22"/>
          <w:color w:val="auto"/>
        </w:rPr>
        <w:t>.</w:t>
      </w:r>
    </w:p>
    <w:p>
      <w:pPr>
        <w:spacing w:after="0" w:line="193"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96</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4" w:name="page175"/>
    <w:bookmarkEnd w:id="174"/>
    <w:p>
      <w:pPr>
        <w:ind w:left="760" w:right="20" w:firstLine="745"/>
        <w:spacing w:after="0" w:line="250" w:lineRule="auto"/>
        <w:tabs>
          <w:tab w:leader="none" w:pos="1941"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Guarantee and Security Agreement</w:t>
      </w:r>
      <w:r>
        <w:rPr>
          <w:rFonts w:ascii="Arial" w:cs="Arial" w:eastAsia="Arial" w:hAnsi="Arial"/>
          <w:sz w:val="22"/>
          <w:szCs w:val="22"/>
          <w:color w:val="auto"/>
        </w:rPr>
        <w:t>. The Guarantee and Security Agreement, duly executed and delivered by each of the parties to the Guarantee and Security Agreement.</w:t>
      </w:r>
    </w:p>
    <w:p>
      <w:pPr>
        <w:spacing w:after="0" w:line="174" w:lineRule="exact"/>
        <w:rPr>
          <w:rFonts w:ascii="Arial" w:cs="Arial" w:eastAsia="Arial" w:hAnsi="Arial"/>
          <w:sz w:val="22"/>
          <w:szCs w:val="22"/>
          <w:color w:val="auto"/>
        </w:rPr>
      </w:pPr>
    </w:p>
    <w:p>
      <w:pPr>
        <w:ind w:left="760" w:firstLine="745"/>
        <w:spacing w:after="0" w:line="250" w:lineRule="auto"/>
        <w:tabs>
          <w:tab w:leader="none" w:pos="1941"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A Borrowing Base Certificate showing a calculation of the Borrowing Base as of May 31, 2014.</w:t>
      </w:r>
    </w:p>
    <w:p>
      <w:pPr>
        <w:spacing w:after="0" w:line="175" w:lineRule="exact"/>
        <w:rPr>
          <w:sz w:val="20"/>
          <w:szCs w:val="20"/>
          <w:color w:val="auto"/>
        </w:rPr>
      </w:pPr>
    </w:p>
    <w:p>
      <w:pPr>
        <w:jc w:val="both"/>
        <w:ind w:firstLine="1505"/>
        <w:spacing w:after="0" w:line="275" w:lineRule="auto"/>
        <w:tabs>
          <w:tab w:leader="none" w:pos="197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Liens</w:t>
      </w:r>
      <w:r>
        <w:rPr>
          <w:rFonts w:ascii="Arial" w:cs="Arial" w:eastAsia="Arial" w:hAnsi="Arial"/>
          <w:sz w:val="19"/>
          <w:szCs w:val="19"/>
          <w:color w:val="auto"/>
        </w:rPr>
        <w:t xml:space="preserve">. The Administrative Agent shall have received results of a recent lien search in each relevant jurisdiction with respect to the Borrower and its Subsidiaries (other than Financing Subsidiaries), confirming the priority of the Liens in favor of the Collateral Agent created pursuant to the Security Documents and revealing no liens on any of the assets of the Borrower or its Subsidiaries (other than Financing Subsidiaries) except for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liens to be discharged on or prior to the Effective Date pursuant to documentation satisfactory to the Administrative Agent. All UCC financing statements and similar documents required to be filed in order to create in favor of the Administrative Agent, for the benefit of the Lenders, a first priority perfected security interest in the Collateral (to the extent that such a security interest may be perfected by a filing under the Uniform Commercial Code) shall have been properly filed in each jurisdiction required.</w:t>
      </w:r>
    </w:p>
    <w:p>
      <w:pPr>
        <w:spacing w:after="0" w:line="157" w:lineRule="exact"/>
        <w:rPr>
          <w:rFonts w:ascii="Arial" w:cs="Arial" w:eastAsia="Arial" w:hAnsi="Arial"/>
          <w:sz w:val="19"/>
          <w:szCs w:val="19"/>
          <w:color w:val="auto"/>
        </w:rPr>
      </w:pPr>
    </w:p>
    <w:p>
      <w:pPr>
        <w:jc w:val="both"/>
        <w:ind w:firstLine="1505"/>
        <w:spacing w:after="0" w:line="248" w:lineRule="auto"/>
        <w:tabs>
          <w:tab w:leader="none" w:pos="1929"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Consents</w:t>
      </w:r>
      <w:r>
        <w:rPr>
          <w:rFonts w:ascii="Arial" w:cs="Arial" w:eastAsia="Arial" w:hAnsi="Arial"/>
          <w:sz w:val="21"/>
          <w:szCs w:val="21"/>
          <w:color w:val="auto"/>
        </w:rPr>
        <w:t>. The Borrower shall have obtained and delivered to the Administrative Agent certified copies of all consents, approvals, authorizations, registrations, or filings required to be made or obtained by the Borrower and all guarantors in connection with the Transactions and any transaction being financed with the proceeds of the Loans, and such consents, approvals, authorizations, registrations, filings and orders shall be in full force and effect and all applicable waiting periods shall have expired and no investigation or inquiry by any Governmental Authority regarding the Transactions or any transaction being financed with the proceeds of the Loans shall be ongoing.</w:t>
      </w:r>
    </w:p>
    <w:p>
      <w:pPr>
        <w:spacing w:after="0" w:line="176" w:lineRule="exact"/>
        <w:rPr>
          <w:rFonts w:ascii="Arial" w:cs="Arial" w:eastAsia="Arial" w:hAnsi="Arial"/>
          <w:sz w:val="21"/>
          <w:szCs w:val="21"/>
          <w:color w:val="auto"/>
        </w:rPr>
      </w:pPr>
    </w:p>
    <w:p>
      <w:pPr>
        <w:ind w:firstLine="1505"/>
        <w:spacing w:after="0" w:line="250" w:lineRule="auto"/>
        <w:tabs>
          <w:tab w:leader="none" w:pos="1929"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Fees and Expenses</w:t>
      </w:r>
      <w:r>
        <w:rPr>
          <w:rFonts w:ascii="Arial" w:cs="Arial" w:eastAsia="Arial" w:hAnsi="Arial"/>
          <w:sz w:val="22"/>
          <w:szCs w:val="22"/>
          <w:color w:val="auto"/>
        </w:rPr>
        <w:t>. The Borrower shall have paid in full to the Administrative Agent all fees and expenses related to this Agreement owing on the Effective Date.</w:t>
      </w:r>
    </w:p>
    <w:p>
      <w:pPr>
        <w:spacing w:after="0" w:line="174" w:lineRule="exact"/>
        <w:rPr>
          <w:rFonts w:ascii="Arial" w:cs="Arial" w:eastAsia="Arial" w:hAnsi="Arial"/>
          <w:sz w:val="22"/>
          <w:szCs w:val="22"/>
          <w:color w:val="auto"/>
        </w:rPr>
      </w:pPr>
    </w:p>
    <w:p>
      <w:pPr>
        <w:ind w:right="20" w:firstLine="1505"/>
        <w:spacing w:after="0" w:line="328" w:lineRule="auto"/>
        <w:tabs>
          <w:tab w:leader="none" w:pos="2010"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The Administrative Agent shall have received such other documents as the Administrative Agent or any Lender may reasonably request in form and substance satisfactory to the Administrative Agent.</w:t>
      </w:r>
    </w:p>
    <w:p>
      <w:pPr>
        <w:spacing w:after="0" w:line="105"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Each Credit Event</w:t>
      </w:r>
      <w:r>
        <w:rPr>
          <w:rFonts w:ascii="Arial" w:cs="Arial" w:eastAsia="Arial" w:hAnsi="Arial"/>
          <w:sz w:val="19"/>
          <w:szCs w:val="19"/>
          <w:color w:val="auto"/>
        </w:rPr>
        <w:t>. The obligation of each Lender to make any Loan, and of the Issuing Bank to issue, amend, renew or extend any Letter of Credit, is additionally subject to the satisfaction of the following conditions:</w:t>
      </w:r>
    </w:p>
    <w:p>
      <w:pPr>
        <w:spacing w:after="0" w:line="105" w:lineRule="exact"/>
        <w:rPr>
          <w:sz w:val="20"/>
          <w:szCs w:val="20"/>
          <w:color w:val="auto"/>
        </w:rPr>
      </w:pPr>
    </w:p>
    <w:p>
      <w:pPr>
        <w:jc w:val="both"/>
        <w:ind w:firstLine="1505"/>
        <w:spacing w:after="0" w:line="236" w:lineRule="auto"/>
        <w:tabs>
          <w:tab w:leader="none" w:pos="1929" w:val="left"/>
        </w:tabs>
        <w:numPr>
          <w:ilvl w:val="0"/>
          <w:numId w:val="169"/>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94"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97</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5" w:name="page176"/>
    <w:bookmarkEnd w:id="175"/>
    <w:p>
      <w:pPr>
        <w:ind w:right="20" w:firstLine="1505"/>
        <w:spacing w:after="0" w:line="250" w:lineRule="auto"/>
        <w:tabs>
          <w:tab w:leader="none" w:pos="192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Loan or the issuance, amendment, renewal or extension of such Letter of Credit, as applicable, no Default shall have occurred and be continuing; and</w:t>
      </w:r>
    </w:p>
    <w:p>
      <w:pPr>
        <w:spacing w:after="0" w:line="174" w:lineRule="exact"/>
        <w:rPr>
          <w:rFonts w:ascii="Arial" w:cs="Arial" w:eastAsia="Arial" w:hAnsi="Arial"/>
          <w:sz w:val="22"/>
          <w:szCs w:val="22"/>
          <w:color w:val="auto"/>
        </w:rPr>
      </w:pPr>
    </w:p>
    <w:p>
      <w:pPr>
        <w:jc w:val="both"/>
        <w:ind w:firstLine="1505"/>
        <w:spacing w:after="0" w:line="276" w:lineRule="auto"/>
        <w:tabs>
          <w:tab w:leader="none" w:pos="1929" w:val="left"/>
        </w:tabs>
        <w:numPr>
          <w:ilvl w:val="1"/>
          <w:numId w:val="170"/>
        </w:numPr>
        <w:rPr>
          <w:rFonts w:ascii="Arial" w:cs="Arial" w:eastAsia="Arial" w:hAnsi="Arial"/>
          <w:sz w:val="19"/>
          <w:szCs w:val="19"/>
          <w:color w:val="auto"/>
        </w:rPr>
      </w:pPr>
      <w:r>
        <w:rPr>
          <w:rFonts w:ascii="Arial" w:cs="Arial" w:eastAsia="Arial" w:hAnsi="Arial"/>
          <w:sz w:val="19"/>
          <w:szCs w:val="19"/>
          <w:color w:val="auto"/>
        </w:rPr>
        <w:t>either (i) the aggregate Covered Debt Amount (after giving effect to such extension of credit) shall not exceed the Borrowing Base reflected on the Borrowing Base Certificate most recently delivered to the Administrative Agent or</w:t>
      </w:r>
    </w:p>
    <w:p>
      <w:pPr>
        <w:spacing w:after="0" w:line="1" w:lineRule="exact"/>
        <w:rPr>
          <w:rFonts w:ascii="Arial" w:cs="Arial" w:eastAsia="Arial" w:hAnsi="Arial"/>
          <w:sz w:val="19"/>
          <w:szCs w:val="19"/>
          <w:color w:val="auto"/>
        </w:rPr>
      </w:pPr>
    </w:p>
    <w:p>
      <w:pPr>
        <w:jc w:val="both"/>
        <w:ind w:firstLine="8"/>
        <w:spacing w:after="0" w:line="287" w:lineRule="auto"/>
        <w:tabs>
          <w:tab w:leader="none" w:pos="319"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w:t>
      </w:r>
    </w:p>
    <w:p>
      <w:pPr>
        <w:spacing w:after="0" w:line="143"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Each Borrowing and each issuance, amendment, renewal or extension of a Letter of Credit shall be deemed to constitute a representation and warranty by the Borrower on the date thereof as to the matters specified in the preceding sentence. For the avoidance of doubt, the conversion or continuation of a Borrowing as the same or a different Type (without an increase in the principal amount thereof) shall not be considered the making of a Loan.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The Borrower will furnish to the Administrative Agent and each Lender:</w:t>
      </w:r>
    </w:p>
    <w:p>
      <w:pPr>
        <w:spacing w:after="0" w:line="175" w:lineRule="exact"/>
        <w:rPr>
          <w:sz w:val="20"/>
          <w:szCs w:val="20"/>
          <w:color w:val="auto"/>
        </w:rPr>
      </w:pPr>
    </w:p>
    <w:p>
      <w:pPr>
        <w:jc w:val="both"/>
        <w:ind w:firstLine="1505"/>
        <w:spacing w:after="0" w:line="246" w:lineRule="auto"/>
        <w:tabs>
          <w:tab w:leader="none" w:pos="192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within 90 days after the end of each fiscal year of the Borrower, the audited consolidated statements of assets and liabilities, operations, 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requirements set forth in this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may be fulfilled by providing to the Administrative Agent and the Lenders the report of the Borrower to the SEC on Form 10-K for the applicable fiscal year;</w:t>
      </w:r>
    </w:p>
    <w:p>
      <w:pPr>
        <w:spacing w:after="0" w:line="179" w:lineRule="exact"/>
        <w:rPr>
          <w:rFonts w:ascii="Arial" w:cs="Arial" w:eastAsia="Arial" w:hAnsi="Arial"/>
          <w:sz w:val="21"/>
          <w:szCs w:val="21"/>
          <w:color w:val="auto"/>
        </w:rPr>
      </w:pPr>
    </w:p>
    <w:p>
      <w:pPr>
        <w:jc w:val="both"/>
        <w:ind w:firstLine="1505"/>
        <w:spacing w:after="0" w:line="252" w:lineRule="auto"/>
        <w:tabs>
          <w:tab w:leader="none" w:pos="1929" w:val="left"/>
        </w:tabs>
        <w:numPr>
          <w:ilvl w:val="0"/>
          <w:numId w:val="172"/>
        </w:numPr>
        <w:rPr>
          <w:rFonts w:ascii="Arial" w:cs="Arial" w:eastAsia="Arial" w:hAnsi="Arial"/>
          <w:sz w:val="21"/>
          <w:szCs w:val="21"/>
          <w:color w:val="auto"/>
        </w:rPr>
      </w:pPr>
      <w:r>
        <w:rPr>
          <w:rFonts w:ascii="Arial" w:cs="Arial" w:eastAsia="Arial" w:hAnsi="Arial"/>
          <w:sz w:val="21"/>
          <w:szCs w:val="21"/>
          <w:color w:val="auto"/>
        </w:rPr>
        <w:t>within 45 days after the end of each of the first three fiscal quarters of each fiscal year of the Borrower, the consolidated statements of assets and liabilities,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w:t>
      </w:r>
    </w:p>
    <w:p>
      <w:pPr>
        <w:spacing w:after="0" w:line="181"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98</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6" w:name="page177"/>
    <w:bookmarkEnd w:id="176"/>
    <w:p>
      <w:pPr>
        <w:jc w:val="both"/>
        <w:spacing w:after="0" w:line="282" w:lineRule="auto"/>
        <w:rPr>
          <w:sz w:val="20"/>
          <w:szCs w:val="20"/>
          <w:color w:val="auto"/>
        </w:rPr>
      </w:pPr>
      <w:r>
        <w:rPr>
          <w:rFonts w:ascii="Arial" w:cs="Arial" w:eastAsia="Arial" w:hAnsi="Arial"/>
          <w:sz w:val="19"/>
          <w:szCs w:val="19"/>
          <w:color w:val="auto"/>
        </w:rPr>
        <w:t xml:space="preserve">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requirements set forth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may be fulfilled by providing to the Lenders the report of the Borrower to the SEC on Form 10-Q for the applicable quarterly period;</w:t>
      </w:r>
    </w:p>
    <w:p>
      <w:pPr>
        <w:spacing w:after="0" w:line="147" w:lineRule="exact"/>
        <w:rPr>
          <w:sz w:val="20"/>
          <w:szCs w:val="20"/>
          <w:color w:val="auto"/>
        </w:rPr>
      </w:pPr>
    </w:p>
    <w:p>
      <w:pPr>
        <w:jc w:val="both"/>
        <w:ind w:firstLine="1505"/>
        <w:spacing w:after="0" w:line="275" w:lineRule="auto"/>
        <w:tabs>
          <w:tab w:leader="none" w:pos="1929"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concurrently with any delivery of financial statements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and (iv) stating whether any change in GAAP as applied by (or in the application of GAAP by) the Borrower has occurred since the Effective Date and, if any such change has occurred, specifying the effect as determined by the Borrower of such change on the financial statements accompanying such certificate;</w:t>
      </w:r>
    </w:p>
    <w:p>
      <w:pPr>
        <w:spacing w:after="0" w:line="157" w:lineRule="exact"/>
        <w:rPr>
          <w:rFonts w:ascii="Arial" w:cs="Arial" w:eastAsia="Arial" w:hAnsi="Arial"/>
          <w:sz w:val="19"/>
          <w:szCs w:val="19"/>
          <w:color w:val="auto"/>
        </w:rPr>
      </w:pPr>
    </w:p>
    <w:p>
      <w:pPr>
        <w:jc w:val="both"/>
        <w:ind w:firstLine="1505"/>
        <w:spacing w:after="0"/>
        <w:tabs>
          <w:tab w:leader="none" w:pos="19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as soon as available and in any event not later than 20 days after the end of each monthly accounting period (ending on the last day of each calendar month) of the Borrower and its Subsidiaries, a Borrowing Base Certificate as at the last day of such accounting period;</w:t>
      </w:r>
    </w:p>
    <w:p>
      <w:pPr>
        <w:spacing w:after="0" w:line="186" w:lineRule="exact"/>
        <w:rPr>
          <w:rFonts w:ascii="Arial" w:cs="Arial" w:eastAsia="Arial" w:hAnsi="Arial"/>
          <w:sz w:val="22"/>
          <w:szCs w:val="22"/>
          <w:color w:val="auto"/>
        </w:rPr>
      </w:pPr>
    </w:p>
    <w:p>
      <w:pPr>
        <w:jc w:val="both"/>
        <w:ind w:firstLine="1505"/>
        <w:spacing w:after="0" w:line="235" w:lineRule="auto"/>
        <w:tabs>
          <w:tab w:leader="none" w:pos="19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obtained knowledge of such deficiency and the amount of the Borrowing Base Deficiency as of the date not earlier than one Business Day prior to the date the Borrowing Base Certificate is delivered pursuant to this paragraph;</w:t>
      </w:r>
    </w:p>
    <w:p>
      <w:pPr>
        <w:spacing w:after="0" w:line="187" w:lineRule="exact"/>
        <w:rPr>
          <w:rFonts w:ascii="Arial" w:cs="Arial" w:eastAsia="Arial" w:hAnsi="Arial"/>
          <w:sz w:val="22"/>
          <w:szCs w:val="22"/>
          <w:color w:val="auto"/>
        </w:rPr>
      </w:pPr>
    </w:p>
    <w:p>
      <w:pPr>
        <w:jc w:val="both"/>
        <w:ind w:right="20" w:firstLine="1505"/>
        <w:spacing w:after="0" w:line="238" w:lineRule="auto"/>
        <w:tabs>
          <w:tab w:leader="none" w:pos="19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promptly upon receipt thereof copies of all significant reports submitted by the Borrower’s independent public accountants in connection with each annual, interim or special audit or review of any type of the financial statements or related internal control systems of the Borrower or any of its Subsidiaries delivered by such accountants to the management or board of directors of the Borrower;</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of its Subsidiaries with the Securities and Exchange Commission, or any Governmental Authority succeeding to any or all of the functions of said Commission, or with any national securities exchange, as the case may be; and</w:t>
      </w:r>
    </w:p>
    <w:p>
      <w:pPr>
        <w:spacing w:after="0" w:line="18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173"/>
        </w:numPr>
        <w:rPr>
          <w:rFonts w:ascii="Arial" w:cs="Arial" w:eastAsia="Arial" w:hAnsi="Arial"/>
          <w:sz w:val="22"/>
          <w:szCs w:val="22"/>
          <w:color w:val="auto"/>
        </w:rPr>
      </w:pPr>
      <w:r>
        <w:rPr>
          <w:rFonts w:ascii="Arial" w:cs="Arial" w:eastAsia="Arial" w:hAnsi="Arial"/>
          <w:sz w:val="22"/>
          <w:szCs w:val="22"/>
          <w:color w:val="auto"/>
        </w:rPr>
        <w:t>promptly following any request therefor, such other information regarding the operations, business affairs and financial condition of the Borrower or any of its Subsidiaries, or</w:t>
      </w:r>
    </w:p>
    <w:p>
      <w:pPr>
        <w:spacing w:after="0" w:line="182" w:lineRule="exact"/>
        <w:rPr>
          <w:sz w:val="20"/>
          <w:szCs w:val="20"/>
          <w:color w:val="auto"/>
        </w:rPr>
      </w:pPr>
    </w:p>
    <w:p>
      <w:pPr>
        <w:jc w:val="right"/>
        <w:ind w:right="40"/>
        <w:spacing w:after="0"/>
        <w:tabs>
          <w:tab w:leader="none" w:pos="2240" w:val="left"/>
        </w:tabs>
        <w:rPr>
          <w:sz w:val="20"/>
          <w:szCs w:val="20"/>
          <w:color w:val="auto"/>
        </w:rPr>
      </w:pPr>
      <w:r>
        <w:rPr>
          <w:rFonts w:ascii="Arial" w:cs="Arial" w:eastAsia="Arial" w:hAnsi="Arial"/>
          <w:sz w:val="14"/>
          <w:szCs w:val="14"/>
          <w:color w:val="auto"/>
        </w:rPr>
        <w:t>DOCVARIABLE #DNDocID \* MERGEFORMAT 748401849 99</w:t>
      </w:r>
      <w:r>
        <w:rPr>
          <w:sz w:val="20"/>
          <w:szCs w:val="20"/>
          <w:color w:val="auto"/>
        </w:rPr>
        <w:tab/>
      </w:r>
      <w:r>
        <w:rPr>
          <w:rFonts w:ascii="Arial" w:cs="Arial" w:eastAsia="Arial" w:hAnsi="Arial"/>
          <w:sz w:val="15"/>
          <w:szCs w:val="15"/>
          <w:i w:val="1"/>
          <w:iCs w:val="1"/>
          <w:color w:val="auto"/>
        </w:rPr>
        <w:t>Second Amended and Restated</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7" w:name="page178"/>
    <w:bookmarkEnd w:id="177"/>
    <w:p>
      <w:pPr>
        <w:spacing w:after="0" w:line="250" w:lineRule="auto"/>
        <w:rPr>
          <w:sz w:val="20"/>
          <w:szCs w:val="20"/>
          <w:color w:val="auto"/>
        </w:rPr>
      </w:pPr>
      <w:r>
        <w:rPr>
          <w:rFonts w:ascii="Arial" w:cs="Arial" w:eastAsia="Arial" w:hAnsi="Arial"/>
          <w:sz w:val="22"/>
          <w:szCs w:val="22"/>
          <w:color w:val="auto"/>
        </w:rPr>
        <w:t>compliance with the terms of this Agreement, the other Loan Documents and the Beneficial Ownership Regulation, as the Administrative Agent or any Lender may reasonably request.</w:t>
      </w:r>
    </w:p>
    <w:p>
      <w:pPr>
        <w:spacing w:after="0" w:line="175" w:lineRule="exact"/>
        <w:rPr>
          <w:sz w:val="20"/>
          <w:szCs w:val="20"/>
          <w:color w:val="auto"/>
        </w:rPr>
      </w:pPr>
    </w:p>
    <w:p>
      <w:pPr>
        <w:jc w:val="both"/>
        <w:ind w:firstLine="1505"/>
        <w:spacing w:after="0" w:line="245" w:lineRule="auto"/>
        <w:tabs>
          <w:tab w:leader="none" w:pos="1929" w:val="left"/>
        </w:tabs>
        <w:numPr>
          <w:ilvl w:val="0"/>
          <w:numId w:val="174"/>
        </w:numPr>
        <w:rPr>
          <w:rFonts w:ascii="Arial" w:cs="Arial" w:eastAsia="Arial" w:hAnsi="Arial"/>
          <w:sz w:val="21"/>
          <w:szCs w:val="21"/>
          <w:color w:val="auto"/>
        </w:rPr>
      </w:pPr>
      <w:r>
        <w:rPr>
          <w:rFonts w:ascii="Arial" w:cs="Arial" w:eastAsia="Arial" w:hAnsi="Arial"/>
          <w:sz w:val="21"/>
          <w:szCs w:val="21"/>
          <w:color w:val="auto"/>
        </w:rPr>
        <w:t xml:space="preserve">Borrower and each Lender acknowledge that certain of the Lenders may be Public Lenders and, if documents or notices required to be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or otherwise are being distributed through IntraLinks™/IntraAgency, SyndTrak or another relevant website or other information platform (the “Platform”),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21"/>
          <w:szCs w:val="21"/>
          <w:u w:val="single" w:color="auto"/>
          <w:color w:val="auto"/>
        </w:rPr>
        <w:t>Section 5.01</w:t>
      </w:r>
      <w:r>
        <w:rPr>
          <w:rFonts w:ascii="Arial" w:cs="Arial" w:eastAsia="Arial" w:hAnsi="Arial"/>
          <w:sz w:val="21"/>
          <w:szCs w:val="21"/>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21"/>
          <w:szCs w:val="21"/>
          <w:u w:val="single" w:color="auto"/>
          <w:color w:val="auto"/>
        </w:rPr>
        <w:t>Section 5.13</w:t>
      </w:r>
      <w:r>
        <w:rPr>
          <w:rFonts w:ascii="Arial" w:cs="Arial" w:eastAsia="Arial" w:hAnsi="Arial"/>
          <w:sz w:val="21"/>
          <w:szCs w:val="21"/>
          <w:color w:val="auto"/>
        </w:rPr>
        <w:t xml:space="preserve"> of this Agreement).</w:t>
      </w:r>
    </w:p>
    <w:p>
      <w:pPr>
        <w:spacing w:after="0" w:line="180" w:lineRule="exact"/>
        <w:rPr>
          <w:rFonts w:ascii="Arial" w:cs="Arial" w:eastAsia="Arial" w:hAnsi="Arial"/>
          <w:sz w:val="21"/>
          <w:szCs w:val="21"/>
          <w:color w:val="auto"/>
        </w:rPr>
      </w:pPr>
    </w:p>
    <w:p>
      <w:pPr>
        <w:jc w:val="both"/>
        <w:ind w:firstLine="1505"/>
        <w:spacing w:after="0" w:line="238" w:lineRule="auto"/>
        <w:tabs>
          <w:tab w:leader="none" w:pos="1929" w:val="left"/>
        </w:tabs>
        <w:numPr>
          <w:ilvl w:val="0"/>
          <w:numId w:val="174"/>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herein, the requirements to deliver documents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will be fulfilled by filing by the Borrower of the applicable documents for public availability on the SEC’s Electronic Data Gathering and Retrieval system; provided, that the Borrower shall notify the Administrative Agent (by telecopier or electronic mail) of the posting of any such documents.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Notices of Material Events</w:t>
      </w:r>
      <w:r>
        <w:rPr>
          <w:rFonts w:ascii="Arial" w:cs="Arial" w:eastAsia="Arial" w:hAnsi="Arial"/>
          <w:sz w:val="19"/>
          <w:szCs w:val="19"/>
          <w:color w:val="auto"/>
        </w:rPr>
        <w:t>. The Borrower will furnish to the Administrative Agent and each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 prompt written notice upon any Responsible Officer obtaining actual knowledge of the following:</w:t>
      </w:r>
    </w:p>
    <w:p>
      <w:pPr>
        <w:spacing w:after="0" w:line="188" w:lineRule="exact"/>
        <w:rPr>
          <w:sz w:val="20"/>
          <w:szCs w:val="20"/>
          <w:color w:val="auto"/>
        </w:rPr>
      </w:pPr>
    </w:p>
    <w:p>
      <w:pPr>
        <w:ind w:left="1940" w:hanging="435"/>
        <w:spacing w:after="0"/>
        <w:tabs>
          <w:tab w:leader="none" w:pos="19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occurrence of any Default;</w:t>
      </w:r>
    </w:p>
    <w:p>
      <w:pPr>
        <w:spacing w:after="0" w:line="206" w:lineRule="exact"/>
        <w:rPr>
          <w:rFonts w:ascii="Arial" w:cs="Arial" w:eastAsia="Arial" w:hAnsi="Arial"/>
          <w:sz w:val="22"/>
          <w:szCs w:val="22"/>
          <w:color w:val="auto"/>
        </w:rPr>
      </w:pPr>
    </w:p>
    <w:p>
      <w:pPr>
        <w:jc w:val="both"/>
        <w:ind w:firstLine="1505"/>
        <w:spacing w:after="0"/>
        <w:tabs>
          <w:tab w:leader="none" w:pos="192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86" w:lineRule="exact"/>
        <w:rPr>
          <w:rFonts w:ascii="Arial" w:cs="Arial" w:eastAsia="Arial" w:hAnsi="Arial"/>
          <w:sz w:val="22"/>
          <w:szCs w:val="22"/>
          <w:color w:val="auto"/>
        </w:rPr>
      </w:pPr>
    </w:p>
    <w:p>
      <w:pPr>
        <w:jc w:val="both"/>
        <w:ind w:firstLine="1505"/>
        <w:spacing w:after="0"/>
        <w:tabs>
          <w:tab w:leader="none" w:pos="192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occurrence of any ERISA Event that, alone or together with any other ERISA Events that have occurred after the Second Amendment Effective Date, could reasonably be expected to result in liability of the Borrower and its Subsidiaries in an aggregate amount exceeding $7,500,000; and</w:t>
      </w:r>
    </w:p>
    <w:p>
      <w:pPr>
        <w:spacing w:after="0" w:line="186" w:lineRule="exact"/>
        <w:rPr>
          <w:rFonts w:ascii="Arial" w:cs="Arial" w:eastAsia="Arial" w:hAnsi="Arial"/>
          <w:sz w:val="22"/>
          <w:szCs w:val="22"/>
          <w:color w:val="auto"/>
        </w:rPr>
      </w:pPr>
    </w:p>
    <w:p>
      <w:pPr>
        <w:jc w:val="both"/>
        <w:ind w:right="20" w:firstLine="1505"/>
        <w:spacing w:after="0"/>
        <w:tabs>
          <w:tab w:leader="none" w:pos="1929"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8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9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8" w:name="page179"/>
    <w:bookmarkEnd w:id="178"/>
    <w:p>
      <w:pPr>
        <w:jc w:val="both"/>
        <w:ind w:firstLine="1497"/>
        <w:spacing w:after="0" w:line="28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consolidation, liquidation or dissolution permitted under </w:t>
      </w:r>
      <w:r>
        <w:rPr>
          <w:rFonts w:ascii="Arial" w:cs="Arial" w:eastAsia="Arial" w:hAnsi="Arial"/>
          <w:sz w:val="19"/>
          <w:szCs w:val="19"/>
          <w:u w:val="single" w:color="auto"/>
          <w:color w:val="auto"/>
        </w:rPr>
        <w:t>Section 6.03</w:t>
      </w:r>
      <w:r>
        <w:rPr>
          <w:rFonts w:ascii="Arial" w:cs="Arial" w:eastAsia="Arial" w:hAnsi="Arial"/>
          <w:sz w:val="19"/>
          <w:szCs w:val="19"/>
          <w:color w:val="auto"/>
        </w:rPr>
        <w:t>.</w:t>
      </w:r>
    </w:p>
    <w:p>
      <w:pPr>
        <w:spacing w:after="0" w:line="143"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w:t>
      </w:r>
    </w:p>
    <w:p>
      <w:pPr>
        <w:spacing w:after="0" w:line="1" w:lineRule="exact"/>
        <w:rPr>
          <w:sz w:val="20"/>
          <w:szCs w:val="20"/>
          <w:color w:val="auto"/>
        </w:rPr>
      </w:pPr>
    </w:p>
    <w:p>
      <w:pPr>
        <w:jc w:val="both"/>
        <w:ind w:firstLine="8"/>
        <w:spacing w:after="0" w:line="248" w:lineRule="auto"/>
        <w:tabs>
          <w:tab w:leader="none" w:pos="343"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validity or amount thereof is being contested in good faith by appropriate proceedings, (b) the Borrower or such Subsidiary has set aside on its books adequate reserves with respect thereto in accordance with GAAP and (c) the failure to make payment pending such contest could not reasonably be expected to result in a Material Adverse Effect.</w:t>
      </w:r>
    </w:p>
    <w:p>
      <w:pPr>
        <w:spacing w:after="0" w:line="178"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Maintenance of Properties; Insurance</w:t>
      </w:r>
      <w:r>
        <w:rPr>
          <w:rFonts w:ascii="Arial" w:cs="Arial" w:eastAsia="Arial" w:hAnsi="Arial"/>
          <w:sz w:val="22"/>
          <w:szCs w:val="22"/>
          <w:color w:val="auto"/>
        </w:rPr>
        <w:t>. 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Books and Records; Inspection and Audit Rights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1929"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Books and Records; Inspection Rights</w:t>
      </w:r>
      <w:r>
        <w:rPr>
          <w:rFonts w:ascii="Arial" w:cs="Arial" w:eastAsia="Arial" w:hAnsi="Arial"/>
          <w:sz w:val="19"/>
          <w:szCs w:val="19"/>
          <w:color w:val="auto"/>
        </w:rPr>
        <w:t xml:space="preserve">. The Borrower will, and will cause each of its Subsidiaries to, keep books of record and account in accordance with GAAP. The Borrower will, and will cause each of its Subsidiaries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or such Subsidiary shall be entitled to have its representatives and advisors present during any inspection of its books and records.</w:t>
      </w:r>
    </w:p>
    <w:p>
      <w:pPr>
        <w:spacing w:after="0" w:line="157" w:lineRule="exact"/>
        <w:rPr>
          <w:rFonts w:ascii="Arial" w:cs="Arial" w:eastAsia="Arial" w:hAnsi="Arial"/>
          <w:sz w:val="19"/>
          <w:szCs w:val="19"/>
          <w:color w:val="auto"/>
        </w:rPr>
      </w:pPr>
    </w:p>
    <w:p>
      <w:pPr>
        <w:jc w:val="both"/>
        <w:ind w:firstLine="1505"/>
        <w:spacing w:after="0" w:line="275" w:lineRule="auto"/>
        <w:tabs>
          <w:tab w:leader="none" w:pos="1943"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Audit Rights</w:t>
      </w:r>
      <w:r>
        <w:rPr>
          <w:rFonts w:ascii="Arial" w:cs="Arial" w:eastAsia="Arial" w:hAnsi="Arial"/>
          <w:sz w:val="19"/>
          <w:szCs w:val="19"/>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all at such reasonable times and as often as reasonably requested. The Borrower shall pay the reasonable fees and expenses of any representatives retained by the Administrative Agent to conduct any such evaluation or appraisal;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 required to pay such fees and expenses for more than one such evaluation or appraisal during any calendar year unless an Event of Default has occurred and is continuing at the time of any subsequent evaluation or appraisal during such calendar year. The Borrower also agrees to</w:t>
      </w:r>
    </w:p>
    <w:p>
      <w:pPr>
        <w:spacing w:after="0" w:line="16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9" w:name="page180"/>
    <w:bookmarkEnd w:id="179"/>
    <w:p>
      <w:pPr>
        <w:jc w:val="both"/>
        <w:spacing w:after="0" w:line="257" w:lineRule="auto"/>
        <w:rPr>
          <w:sz w:val="20"/>
          <w:szCs w:val="20"/>
          <w:color w:val="auto"/>
        </w:rPr>
      </w:pPr>
      <w:r>
        <w:rPr>
          <w:rFonts w:ascii="Arial" w:cs="Arial" w:eastAsia="Arial" w:hAnsi="Arial"/>
          <w:sz w:val="21"/>
          <w:szCs w:val="21"/>
          <w:color w:val="auto"/>
        </w:rPr>
        <w:t xml:space="preserve">modify or adjust the computation of the Borrowing Base to the extent required by the Administrative Agent or the Required Lenders as a result of any such evaluation or appraisal;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Borrower demonstrates that such evaluation or appraisal is incorrect, the Borrower shall be permitted to re-adjust its computation of the Borrowing Base.</w:t>
      </w:r>
    </w:p>
    <w:p>
      <w:pPr>
        <w:spacing w:after="0" w:line="169" w:lineRule="exact"/>
        <w:rPr>
          <w:sz w:val="20"/>
          <w:szCs w:val="20"/>
          <w:color w:val="auto"/>
        </w:rPr>
      </w:pPr>
    </w:p>
    <w:p>
      <w:pPr>
        <w:jc w:val="both"/>
        <w:ind w:firstLine="1497"/>
        <w:spacing w:after="0" w:line="274"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 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 The Borrower will maintain policies, procedures and internal controls reasonably designed to ensure compliance with the economic sanctions and trade embargo regulations promulgated by OFAC, the U.S. Department of State, the United Nations Security Council, Her Majesty’s Treasury or the European Union and Anti-Corruption Laws.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u w:val="single" w:color="auto"/>
          <w:color w:val="auto"/>
        </w:rPr>
        <w:t>Certain Obligations Respecting Subsidiaries; Further Assurances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9" w:lineRule="auto"/>
        <w:tabs>
          <w:tab w:leader="none" w:pos="1929"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Subsidiary Guarantors</w:t>
      </w:r>
      <w:r>
        <w:rPr>
          <w:rFonts w:ascii="Arial" w:cs="Arial" w:eastAsia="Arial" w:hAnsi="Arial"/>
          <w:sz w:val="19"/>
          <w:szCs w:val="19"/>
          <w:color w:val="auto"/>
        </w:rPr>
        <w:t xml:space="preserve">. In the event that the Borrower or any of its Subsidiaries shall form or acquire any new Subsidiary (other than a Financing Subsidiary, a Foreign Subsidiary or an Immaterial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upon the Effective Date or as the Administrative Agent shall have reasonably requested.</w:t>
      </w:r>
    </w:p>
    <w:p>
      <w:pPr>
        <w:spacing w:after="0" w:line="150" w:lineRule="exact"/>
        <w:rPr>
          <w:rFonts w:ascii="Arial" w:cs="Arial" w:eastAsia="Arial" w:hAnsi="Arial"/>
          <w:sz w:val="19"/>
          <w:szCs w:val="19"/>
          <w:color w:val="auto"/>
        </w:rPr>
      </w:pPr>
    </w:p>
    <w:p>
      <w:pPr>
        <w:ind w:firstLine="1505"/>
        <w:spacing w:after="0" w:line="274" w:lineRule="auto"/>
        <w:tabs>
          <w:tab w:leader="none" w:pos="1929" w:val="left"/>
        </w:tabs>
        <w:numPr>
          <w:ilvl w:val="0"/>
          <w:numId w:val="178"/>
        </w:numPr>
        <w:rPr>
          <w:rFonts w:ascii="Arial" w:cs="Arial" w:eastAsia="Arial" w:hAnsi="Arial"/>
          <w:sz w:val="21"/>
          <w:szCs w:val="21"/>
          <w:color w:val="auto"/>
        </w:rPr>
      </w:pPr>
      <w:r>
        <w:rPr>
          <w:rFonts w:ascii="Arial" w:cs="Arial" w:eastAsia="Arial" w:hAnsi="Arial"/>
          <w:sz w:val="21"/>
          <w:szCs w:val="21"/>
          <w:u w:val="single" w:color="auto"/>
          <w:color w:val="auto"/>
        </w:rPr>
        <w:t>Ownership of Subsidiaries</w:t>
      </w:r>
      <w:r>
        <w:rPr>
          <w:rFonts w:ascii="Arial" w:cs="Arial" w:eastAsia="Arial" w:hAnsi="Arial"/>
          <w:sz w:val="21"/>
          <w:szCs w:val="21"/>
          <w:color w:val="auto"/>
        </w:rPr>
        <w:t>. The Borrower will, and will cause each of its Subsidiaries to, take such action from time to time as shall be necessary to ensure that each of its Subsidiaries is a wholly owned Subsidiary.</w:t>
      </w:r>
    </w:p>
    <w:p>
      <w:pPr>
        <w:spacing w:after="0" w:line="150" w:lineRule="exact"/>
        <w:rPr>
          <w:rFonts w:ascii="Arial" w:cs="Arial" w:eastAsia="Arial" w:hAnsi="Arial"/>
          <w:sz w:val="21"/>
          <w:szCs w:val="21"/>
          <w:color w:val="auto"/>
        </w:rPr>
      </w:pPr>
    </w:p>
    <w:p>
      <w:pPr>
        <w:jc w:val="both"/>
        <w:ind w:firstLine="1505"/>
        <w:spacing w:after="0" w:line="273" w:lineRule="auto"/>
        <w:tabs>
          <w:tab w:leader="none" w:pos="1943"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The Borrower will, and will cause each of the Subsidiary Guarantors to, take such action from time to time as 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Secured Parties (as defined in the Guarantee and Security Agreement), perfected security interests and Liens in the Collateral;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security interest or Lien shall be subject to the relevant requirements of the Security Documents, (ii) to cause any bank or securities intermediary (within the meaning of the Uniform Commercial Code) to enter into such arrangements with the Collateral Agent as shall be appropriate in order that the Collateral Agent has “</w:t>
      </w:r>
      <w:r>
        <w:rPr>
          <w:rFonts w:ascii="Arial" w:cs="Arial" w:eastAsia="Arial" w:hAnsi="Arial"/>
          <w:sz w:val="19"/>
          <w:szCs w:val="19"/>
          <w:u w:val="single" w:color="auto"/>
          <w:color w:val="auto"/>
        </w:rPr>
        <w:t>control</w:t>
      </w:r>
      <w:r>
        <w:rPr>
          <w:rFonts w:ascii="Arial" w:cs="Arial" w:eastAsia="Arial" w:hAnsi="Arial"/>
          <w:sz w:val="19"/>
          <w:szCs w:val="19"/>
          <w:color w:val="auto"/>
        </w:rPr>
        <w:t>” (within the meaning of the Uniform Commercial Code) over each bank account or securities account of the Obligors (other than</w:t>
      </w:r>
    </w:p>
    <w:p>
      <w:pPr>
        <w:spacing w:after="0" w:line="16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0" w:name="page181"/>
    <w:bookmarkEnd w:id="180"/>
    <w:p>
      <w:pPr>
        <w:jc w:val="both"/>
        <w:spacing w:after="0" w:line="270" w:lineRule="auto"/>
        <w:rPr>
          <w:sz w:val="20"/>
          <w:szCs w:val="20"/>
          <w:color w:val="auto"/>
        </w:rPr>
      </w:pPr>
      <w:r>
        <w:rPr>
          <w:rFonts w:ascii="Arial" w:cs="Arial" w:eastAsia="Arial" w:hAnsi="Arial"/>
          <w:sz w:val="19"/>
          <w:szCs w:val="19"/>
          <w:color w:val="auto"/>
        </w:rPr>
        <w:t xml:space="preserve">“Excluded Accounts” as defined in the Guarantee and Security Agreement), and in that connection, the Borrower agrees to cause all cash and other proceeds of Portfolio Investments received by any Obligor to be promptly deposited into such an account (or otherwise delivered to, or registered in the name of, the Collateral Agent) and, until such deposit, delivery or registration such cash and other proceeds shall be held in trust by the Borrower for and as the property of the Collateral Agent and shall not be commingled with any other finds or property of such Obligor, (iii) in the case of any Portfolio Investment consisting of a Bank Loan (as defined in </w:t>
      </w:r>
      <w:r>
        <w:rPr>
          <w:rFonts w:ascii="Arial" w:cs="Arial" w:eastAsia="Arial" w:hAnsi="Arial"/>
          <w:sz w:val="19"/>
          <w:szCs w:val="19"/>
          <w:u w:val="single" w:color="auto"/>
          <w:color w:val="auto"/>
        </w:rPr>
        <w:t>Section 5.13</w:t>
      </w:r>
      <w:r>
        <w:rPr>
          <w:rFonts w:ascii="Arial" w:cs="Arial" w:eastAsia="Arial" w:hAnsi="Arial"/>
          <w:sz w:val="19"/>
          <w:szCs w:val="19"/>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w:t>
      </w:r>
      <w:r>
        <w:rPr>
          <w:rFonts w:ascii="Arial" w:cs="Arial" w:eastAsia="Arial" w:hAnsi="Arial"/>
          <w:sz w:val="19"/>
          <w:szCs w:val="19"/>
          <w:u w:val="single" w:color="auto"/>
          <w:color w:val="auto"/>
        </w:rPr>
        <w:t>lender</w:t>
      </w:r>
      <w:r>
        <w:rPr>
          <w:rFonts w:ascii="Arial" w:cs="Arial" w:eastAsia="Arial" w:hAnsi="Arial"/>
          <w:sz w:val="19"/>
          <w:szCs w:val="19"/>
          <w:color w:val="auto"/>
        </w:rPr>
        <w:t>”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(iv)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(v) to cause the closing sets and all executed amendments, consents, forbearances and other modifications and assignment agreements relating to any Portfolio Investment and any other documents relating to any Portfolio Investment requested by the Collateral Agent, in each case to be held by the Collateral Agent or a custodian pursuant to the terms of a custodian agreement reasonably satisfactory to the Collateral Agent.</w:t>
      </w:r>
    </w:p>
    <w:p>
      <w:pPr>
        <w:spacing w:after="0" w:line="200" w:lineRule="exact"/>
        <w:rPr>
          <w:sz w:val="20"/>
          <w:szCs w:val="20"/>
          <w:color w:val="auto"/>
        </w:rPr>
      </w:pPr>
    </w:p>
    <w:p>
      <w:pPr>
        <w:spacing w:after="0" w:line="209"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Borrower will use the proceeds of the Loans only for general corporate purposes of the Borrower in the ordinary course of business, including the acquisition and funding (either directly or through one or more wholly-owned Subsidiaries) of leveraged loans, mezzanine loans, high-yield securities, convertible securities, preferred stock, common stock and other Portfolio Investments;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Administrative Agent nor any Lender shall have any responsibility as to the use of any of such proceeds. No part of the proceeds of any Loan will be used in violation of applicable law or, directly or indirectly, for the purpose, whether immediate, incidental or ultimate, of buying or carrying any Margin Stock. Margin Stock shall be purchased by the Obligors only with the proceeds of Indebtedness not directly or indirectly secured by Margin Stock, or with the proceeds of equity capital of the Borrower. No Obligor will directly or knowingly indirectly use the proceeds of the Loans or otherwise make available such proceeds (i) to any Person for the purpose of financing the activities of any Person on the list of Specially Designated Nationals and Blocked Persons or that is subject to, or the subject or target of, Sanctions, or in any Sanctioned Country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w:t>
      </w:r>
    </w:p>
    <w:p>
      <w:pPr>
        <w:spacing w:after="0" w:line="15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Status of RIC and BDC</w:t>
      </w:r>
      <w:r>
        <w:rPr>
          <w:rFonts w:ascii="Arial" w:cs="Arial" w:eastAsia="Arial" w:hAnsi="Arial"/>
          <w:sz w:val="22"/>
          <w:szCs w:val="22"/>
          <w:color w:val="auto"/>
        </w:rPr>
        <w:t>. The Borrower shall at all times maintain its status as a RIC under the Code, and as a “business development company” under the Investment Company Act.</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103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1" w:name="page182"/>
    <w:bookmarkEnd w:id="181"/>
    <w:p>
      <w:pPr>
        <w:jc w:val="both"/>
        <w:ind w:firstLine="1497"/>
        <w:spacing w:after="0" w:line="282"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Investment Policies</w:t>
      </w:r>
      <w:r>
        <w:rPr>
          <w:rFonts w:ascii="Arial" w:cs="Arial" w:eastAsia="Arial" w:hAnsi="Arial"/>
          <w:sz w:val="19"/>
          <w:szCs w:val="19"/>
          <w:color w:val="auto"/>
        </w:rPr>
        <w:t xml:space="preserve">. The Borrower shall at all times be in compliance in all material respects with its Investment Policies (after giving effect to any Permitted Policy Amendments);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not be deemed a material change in the Investment Policies if (i) investment size (which as of the Effective Date is to normally range from between $5,000,000 and $50,000,000) proportionately increases as the size of the Borrower’s capital base changes or (ii) the Borrower and its Subsidiaries, taken as a whole, invest up to 30% of their assets in non-U.S. companies.</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Portfolio Valuation and Diversification Etc</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48" w:lineRule="auto"/>
        <w:tabs>
          <w:tab w:leader="none" w:pos="1929" w:val="left"/>
        </w:tabs>
        <w:numPr>
          <w:ilvl w:val="0"/>
          <w:numId w:val="179"/>
        </w:numPr>
        <w:rPr>
          <w:rFonts w:ascii="Arial" w:cs="Arial" w:eastAsia="Arial" w:hAnsi="Arial"/>
          <w:sz w:val="21"/>
          <w:szCs w:val="21"/>
          <w:color w:val="auto"/>
        </w:rPr>
      </w:pPr>
      <w:r>
        <w:rPr>
          <w:rFonts w:ascii="Arial" w:cs="Arial" w:eastAsia="Arial" w:hAnsi="Arial"/>
          <w:sz w:val="21"/>
          <w:szCs w:val="21"/>
          <w:u w:val="single" w:color="auto"/>
          <w:color w:val="auto"/>
        </w:rPr>
        <w:t>Industry Classification Groups</w:t>
      </w:r>
      <w:r>
        <w:rPr>
          <w:rFonts w:ascii="Arial" w:cs="Arial" w:eastAsia="Arial" w:hAnsi="Arial"/>
          <w:sz w:val="21"/>
          <w:szCs w:val="21"/>
          <w:color w:val="auto"/>
        </w:rPr>
        <w:t>. For purposes of this Agreement, the Borrower shall assign each Portfolio Investment to an Industry 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176" w:lineRule="exact"/>
        <w:rPr>
          <w:rFonts w:ascii="Arial" w:cs="Arial" w:eastAsia="Arial" w:hAnsi="Arial"/>
          <w:sz w:val="21"/>
          <w:szCs w:val="21"/>
          <w:color w:val="auto"/>
        </w:rPr>
      </w:pPr>
    </w:p>
    <w:p>
      <w:pPr>
        <w:ind w:left="1940" w:hanging="435"/>
        <w:spacing w:after="0"/>
        <w:tabs>
          <w:tab w:leader="none" w:pos="1940" w:val="left"/>
        </w:tabs>
        <w:numPr>
          <w:ilvl w:val="0"/>
          <w:numId w:val="179"/>
        </w:numPr>
        <w:rPr>
          <w:rFonts w:ascii="Arial" w:cs="Arial" w:eastAsia="Arial" w:hAnsi="Arial"/>
          <w:sz w:val="22"/>
          <w:szCs w:val="22"/>
          <w:color w:val="auto"/>
        </w:rPr>
      </w:pPr>
      <w:r>
        <w:rPr>
          <w:rFonts w:ascii="Arial" w:cs="Arial" w:eastAsia="Arial" w:hAnsi="Arial"/>
          <w:sz w:val="22"/>
          <w:szCs w:val="22"/>
          <w:u w:val="single" w:color="auto"/>
          <w:color w:val="auto"/>
        </w:rPr>
        <w:t>Portfolio Valuation Etc</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82" w:lineRule="auto"/>
        <w:tabs>
          <w:tab w:leader="none" w:pos="1941"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Settlement Date Basis</w:t>
      </w:r>
      <w:r>
        <w:rPr>
          <w:rFonts w:ascii="Arial" w:cs="Arial" w:eastAsia="Arial" w:hAnsi="Arial"/>
          <w:sz w:val="19"/>
          <w:szCs w:val="19"/>
          <w:color w:val="auto"/>
        </w:rPr>
        <w:t xml:space="preserve">. For purposes of this Agreement, all determinations of whether an investment is to be included as a Portfolio 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investment shall be included as a Portfolio Investment to the extent it has not been paid for in full.</w:t>
      </w:r>
    </w:p>
    <w:p>
      <w:pPr>
        <w:spacing w:after="0" w:line="147" w:lineRule="exact"/>
        <w:rPr>
          <w:rFonts w:ascii="Arial" w:cs="Arial" w:eastAsia="Arial" w:hAnsi="Arial"/>
          <w:sz w:val="19"/>
          <w:szCs w:val="19"/>
          <w:color w:val="auto"/>
        </w:rPr>
      </w:pPr>
    </w:p>
    <w:p>
      <w:pPr>
        <w:ind w:left="760" w:right="20" w:firstLine="745"/>
        <w:spacing w:after="0" w:line="250" w:lineRule="auto"/>
        <w:tabs>
          <w:tab w:leader="none" w:pos="1954"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Determination of Values</w:t>
      </w:r>
      <w:r>
        <w:rPr>
          <w:rFonts w:ascii="Arial" w:cs="Arial" w:eastAsia="Arial" w:hAnsi="Arial"/>
          <w:sz w:val="22"/>
          <w:szCs w:val="22"/>
          <w:color w:val="auto"/>
        </w:rPr>
        <w:t>. The Borrower will conduct reviews of the value to be assigned to each of its Portfolio Investments as follows:</w:t>
      </w:r>
    </w:p>
    <w:p>
      <w:pPr>
        <w:spacing w:after="0" w:line="174" w:lineRule="exact"/>
        <w:rPr>
          <w:rFonts w:ascii="Arial" w:cs="Arial" w:eastAsia="Arial" w:hAnsi="Arial"/>
          <w:sz w:val="22"/>
          <w:szCs w:val="22"/>
          <w:color w:val="auto"/>
        </w:rPr>
      </w:pPr>
    </w:p>
    <w:p>
      <w:pPr>
        <w:jc w:val="both"/>
        <w:ind w:left="1500" w:firstLine="754"/>
        <w:spacing w:after="0" w:line="287" w:lineRule="auto"/>
        <w:tabs>
          <w:tab w:leader="none" w:pos="2708" w:val="left"/>
        </w:tabs>
        <w:numPr>
          <w:ilvl w:val="1"/>
          <w:numId w:val="180"/>
        </w:numPr>
        <w:rPr>
          <w:rFonts w:ascii="Arial" w:cs="Arial" w:eastAsia="Arial" w:hAnsi="Arial"/>
          <w:sz w:val="19"/>
          <w:szCs w:val="19"/>
          <w:color w:val="auto"/>
        </w:rPr>
      </w:pPr>
      <w:r>
        <w:rPr>
          <w:rFonts w:ascii="Arial" w:cs="Arial" w:eastAsia="Arial" w:hAnsi="Arial"/>
          <w:sz w:val="19"/>
          <w:szCs w:val="19"/>
          <w:u w:val="single" w:color="auto"/>
          <w:color w:val="auto"/>
        </w:rPr>
        <w:t>Quoted Investments - External Review</w:t>
      </w:r>
      <w:r>
        <w:rPr>
          <w:rFonts w:ascii="Arial" w:cs="Arial" w:eastAsia="Arial" w:hAnsi="Arial"/>
          <w:sz w:val="19"/>
          <w:szCs w:val="19"/>
          <w:color w:val="auto"/>
        </w:rPr>
        <w:t>. With respect to Portfolio Investments (including Cash Equivalents) for which market quotations are readily available, the Borrower shall, not less frequently than once each calendar week, determine the market value of such Portfolio Investments which shall, in each case, be determined in accordance with one of the following methodologies (as selected by the Borrower):</w:t>
      </w:r>
    </w:p>
    <w:p>
      <w:pPr>
        <w:spacing w:after="0" w:line="142" w:lineRule="exact"/>
        <w:rPr>
          <w:rFonts w:ascii="Arial" w:cs="Arial" w:eastAsia="Arial" w:hAnsi="Arial"/>
          <w:sz w:val="19"/>
          <w:szCs w:val="19"/>
          <w:color w:val="auto"/>
        </w:rPr>
      </w:pPr>
    </w:p>
    <w:p>
      <w:pPr>
        <w:ind w:left="2260" w:right="20" w:firstLine="743"/>
        <w:spacing w:after="0" w:line="250" w:lineRule="auto"/>
        <w:tabs>
          <w:tab w:leader="none" w:pos="3441" w:val="left"/>
        </w:tabs>
        <w:numPr>
          <w:ilvl w:val="2"/>
          <w:numId w:val="180"/>
        </w:numPr>
        <w:rPr>
          <w:rFonts w:ascii="Arial" w:cs="Arial" w:eastAsia="Arial" w:hAnsi="Arial"/>
          <w:sz w:val="22"/>
          <w:szCs w:val="22"/>
          <w:color w:val="auto"/>
        </w:rPr>
      </w:pPr>
      <w:r>
        <w:rPr>
          <w:rFonts w:ascii="Arial" w:cs="Arial" w:eastAsia="Arial" w:hAnsi="Arial"/>
          <w:sz w:val="22"/>
          <w:szCs w:val="22"/>
          <w:color w:val="auto"/>
        </w:rPr>
        <w:t>in the case of public and 144A securities, the average of the bid prices as determined by two Approved Dealers selected by the Borrower,</w:t>
      </w:r>
    </w:p>
    <w:p>
      <w:pPr>
        <w:spacing w:after="0" w:line="174" w:lineRule="exact"/>
        <w:rPr>
          <w:rFonts w:ascii="Arial" w:cs="Arial" w:eastAsia="Arial" w:hAnsi="Arial"/>
          <w:sz w:val="22"/>
          <w:szCs w:val="22"/>
          <w:color w:val="auto"/>
        </w:rPr>
      </w:pPr>
    </w:p>
    <w:p>
      <w:pPr>
        <w:ind w:left="2260" w:right="20" w:firstLine="743"/>
        <w:spacing w:after="0" w:line="250" w:lineRule="auto"/>
        <w:tabs>
          <w:tab w:leader="none" w:pos="3441" w:val="left"/>
        </w:tabs>
        <w:numPr>
          <w:ilvl w:val="2"/>
          <w:numId w:val="180"/>
        </w:numPr>
        <w:rPr>
          <w:rFonts w:ascii="Arial" w:cs="Arial" w:eastAsia="Arial" w:hAnsi="Arial"/>
          <w:sz w:val="22"/>
          <w:szCs w:val="22"/>
          <w:color w:val="auto"/>
        </w:rPr>
      </w:pPr>
      <w:r>
        <w:rPr>
          <w:rFonts w:ascii="Arial" w:cs="Arial" w:eastAsia="Arial" w:hAnsi="Arial"/>
          <w:sz w:val="22"/>
          <w:szCs w:val="22"/>
          <w:color w:val="auto"/>
        </w:rPr>
        <w:t>in the case of bank loans, the bid price as determined by one Approved Dealer selected by the Borrower,</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104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2" w:name="page183"/>
    <w:bookmarkEnd w:id="182"/>
    <w:p>
      <w:pPr>
        <w:ind w:left="1140" w:right="20" w:firstLine="743"/>
        <w:spacing w:after="0" w:line="250" w:lineRule="auto"/>
        <w:tabs>
          <w:tab w:leader="none" w:pos="2321"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in the case of any Portfolio Investment traded on an exchange, the closing price for such Portfolio Investment most recently posted on such exchange, and</w:t>
      </w:r>
    </w:p>
    <w:p>
      <w:pPr>
        <w:spacing w:after="0" w:line="174" w:lineRule="exact"/>
        <w:rPr>
          <w:rFonts w:ascii="Arial" w:cs="Arial" w:eastAsia="Arial" w:hAnsi="Arial"/>
          <w:sz w:val="22"/>
          <w:szCs w:val="22"/>
          <w:color w:val="auto"/>
        </w:rPr>
      </w:pPr>
    </w:p>
    <w:p>
      <w:pPr>
        <w:ind w:left="1140" w:right="20" w:firstLine="743"/>
        <w:spacing w:after="0" w:line="250" w:lineRule="auto"/>
        <w:tabs>
          <w:tab w:leader="none" w:pos="2321" w:val="left"/>
        </w:tabs>
        <w:numPr>
          <w:ilvl w:val="1"/>
          <w:numId w:val="181"/>
        </w:numPr>
        <w:rPr>
          <w:rFonts w:ascii="Arial" w:cs="Arial" w:eastAsia="Arial" w:hAnsi="Arial"/>
          <w:sz w:val="22"/>
          <w:szCs w:val="22"/>
          <w:color w:val="auto"/>
        </w:rPr>
      </w:pPr>
      <w:r>
        <w:rPr>
          <w:rFonts w:ascii="Arial" w:cs="Arial" w:eastAsia="Arial" w:hAnsi="Arial"/>
          <w:sz w:val="22"/>
          <w:szCs w:val="22"/>
          <w:color w:val="auto"/>
        </w:rPr>
        <w:t>in the case of any other Portfolio Investment, the fair market value thereof as determined by an Approved Pricing Service selected by the Borrower; and</w:t>
      </w:r>
    </w:p>
    <w:p>
      <w:pPr>
        <w:spacing w:after="0" w:line="174" w:lineRule="exact"/>
        <w:rPr>
          <w:rFonts w:ascii="Arial" w:cs="Arial" w:eastAsia="Arial" w:hAnsi="Arial"/>
          <w:sz w:val="22"/>
          <w:szCs w:val="22"/>
          <w:color w:val="auto"/>
        </w:rPr>
      </w:pPr>
    </w:p>
    <w:p>
      <w:pPr>
        <w:jc w:val="both"/>
        <w:ind w:left="380" w:firstLine="754"/>
        <w:spacing w:after="0" w:line="238" w:lineRule="auto"/>
        <w:tabs>
          <w:tab w:leader="none" w:pos="1561" w:val="left"/>
        </w:tabs>
        <w:numPr>
          <w:ilvl w:val="0"/>
          <w:numId w:val="182"/>
        </w:numPr>
        <w:rPr>
          <w:rFonts w:ascii="Arial" w:cs="Arial" w:eastAsia="Arial" w:hAnsi="Arial"/>
          <w:sz w:val="22"/>
          <w:szCs w:val="22"/>
          <w:color w:val="auto"/>
        </w:rPr>
      </w:pPr>
      <w:r>
        <w:rPr>
          <w:rFonts w:ascii="Arial" w:cs="Arial" w:eastAsia="Arial" w:hAnsi="Arial"/>
          <w:sz w:val="22"/>
          <w:szCs w:val="22"/>
          <w:u w:val="single" w:color="auto"/>
          <w:color w:val="auto"/>
        </w:rPr>
        <w:t>Unquoted Investments- External Review</w:t>
      </w:r>
      <w:r>
        <w:rPr>
          <w:rFonts w:ascii="Arial" w:cs="Arial" w:eastAsia="Arial" w:hAnsi="Arial"/>
          <w:sz w:val="22"/>
          <w:szCs w:val="22"/>
          <w:color w:val="auto"/>
        </w:rPr>
        <w:t xml:space="preserve">. With respect to Portfolio Investments for which market quotations are not readily available, the Borrower shall request an Approved Third-Party Appraiser to assist the Board of Directors of the Borrower in determining the fair market value of such Portfolio Investments, as at the last day of each fiscal quarter;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4" w:lineRule="exact"/>
        <w:rPr>
          <w:rFonts w:ascii="Arial" w:cs="Arial" w:eastAsia="Arial" w:hAnsi="Arial"/>
          <w:sz w:val="22"/>
          <w:szCs w:val="22"/>
          <w:color w:val="auto"/>
        </w:rPr>
      </w:pPr>
    </w:p>
    <w:p>
      <w:pPr>
        <w:jc w:val="both"/>
        <w:ind w:left="1140" w:firstLine="743"/>
        <w:spacing w:after="0" w:line="249" w:lineRule="auto"/>
        <w:tabs>
          <w:tab w:leader="none" w:pos="2321" w:val="left"/>
        </w:tabs>
        <w:numPr>
          <w:ilvl w:val="1"/>
          <w:numId w:val="182"/>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clause (z)</w:t>
      </w:r>
      <w:r>
        <w:rPr>
          <w:rFonts w:ascii="Arial" w:cs="Arial" w:eastAsia="Arial" w:hAnsi="Arial"/>
          <w:sz w:val="21"/>
          <w:szCs w:val="21"/>
          <w:color w:val="auto"/>
        </w:rPr>
        <w:t xml:space="preserve"> below, the Value of any such Portfolio Investment (i.e., a Portfolio Investment for which market quotations are not readily available) acquired during a fiscal quarter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21"/>
          <w:szCs w:val="21"/>
          <w:u w:val="single" w:color="auto"/>
          <w:color w:val="auto"/>
        </w:rPr>
        <w:t>sub-clause (B)</w:t>
      </w:r>
      <w:r>
        <w:rPr>
          <w:rFonts w:ascii="Arial" w:cs="Arial" w:eastAsia="Arial" w:hAnsi="Arial"/>
          <w:sz w:val="21"/>
          <w:szCs w:val="21"/>
          <w:color w:val="auto"/>
        </w:rPr>
        <w:t xml:space="preserve"> as at the last day of such fiscal quarter;</w:t>
      </w:r>
    </w:p>
    <w:p>
      <w:pPr>
        <w:spacing w:after="0" w:line="178" w:lineRule="exact"/>
        <w:rPr>
          <w:rFonts w:ascii="Arial" w:cs="Arial" w:eastAsia="Arial" w:hAnsi="Arial"/>
          <w:sz w:val="21"/>
          <w:szCs w:val="21"/>
          <w:color w:val="auto"/>
        </w:rPr>
      </w:pPr>
    </w:p>
    <w:p>
      <w:pPr>
        <w:jc w:val="both"/>
        <w:ind w:left="1140" w:firstLine="743"/>
        <w:spacing w:after="0" w:line="245" w:lineRule="auto"/>
        <w:tabs>
          <w:tab w:leader="none" w:pos="2321" w:val="left"/>
        </w:tabs>
        <w:numPr>
          <w:ilvl w:val="1"/>
          <w:numId w:val="182"/>
        </w:numPr>
        <w:rPr>
          <w:rFonts w:ascii="Arial" w:cs="Arial" w:eastAsia="Arial" w:hAnsi="Arial"/>
          <w:sz w:val="21"/>
          <w:szCs w:val="21"/>
          <w:color w:val="auto"/>
        </w:rPr>
      </w:pPr>
      <w:r>
        <w:rPr>
          <w:rFonts w:ascii="Arial" w:cs="Arial" w:eastAsia="Arial" w:hAnsi="Arial"/>
          <w:sz w:val="21"/>
          <w:szCs w:val="21"/>
          <w:color w:val="auto"/>
        </w:rPr>
        <w:t>notwithstanding the foregoing, the Board of Directors of the Borrower may, without the assistance of an Approved Third-Party Appraiser, determine the fair market value of such unquoted Portfolio Investments so long as the aggregate Value thereof so determined does not at any time exceed 10% of the aggregate Borrowing Base, except that the fair market value of any Portfolio Investment that has been determined without the assistance of an Approved Third-Party Appraiser as at the last day of any fiscal quarter or Testing Quarter shall be deemed to be zero as at the last day of the immediately succeeding fiscal quarter (but effective upon the date upon which the Borrowing Base 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80" w:lineRule="exact"/>
        <w:rPr>
          <w:rFonts w:ascii="Arial" w:cs="Arial" w:eastAsia="Arial" w:hAnsi="Arial"/>
          <w:sz w:val="21"/>
          <w:szCs w:val="21"/>
          <w:color w:val="auto"/>
        </w:rPr>
      </w:pPr>
    </w:p>
    <w:p>
      <w:pPr>
        <w:jc w:val="both"/>
        <w:ind w:left="1140" w:firstLine="743"/>
        <w:spacing w:after="0" w:line="238" w:lineRule="auto"/>
        <w:tabs>
          <w:tab w:leader="none" w:pos="2321"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Value, at the end of any fiscal quarter, of any such Portfolio Investment (i.e., a Portfolio Investment for which market quotations are not readily available) that was acquired within thirty (30) days of the end of such fiscal quarter (collectively, the “</w:t>
      </w:r>
      <w:r>
        <w:rPr>
          <w:rFonts w:ascii="Arial" w:cs="Arial" w:eastAsia="Arial" w:hAnsi="Arial"/>
          <w:sz w:val="22"/>
          <w:szCs w:val="22"/>
          <w:u w:val="single" w:color="auto"/>
          <w:color w:val="auto"/>
        </w:rPr>
        <w:t>Market Value Investments</w:t>
      </w:r>
      <w:r>
        <w:rPr>
          <w:rFonts w:ascii="Arial" w:cs="Arial" w:eastAsia="Arial" w:hAnsi="Arial"/>
          <w:sz w:val="22"/>
          <w:szCs w:val="22"/>
          <w:color w:val="auto"/>
        </w:rPr>
        <w:t>”) shall be deemed to be equal to the cost of such Portfolio Investment.</w:t>
      </w:r>
    </w:p>
    <w:p>
      <w:pPr>
        <w:spacing w:after="0" w:line="184" w:lineRule="exact"/>
        <w:rPr>
          <w:rFonts w:ascii="Arial" w:cs="Arial" w:eastAsia="Arial" w:hAnsi="Arial"/>
          <w:sz w:val="22"/>
          <w:szCs w:val="22"/>
          <w:color w:val="auto"/>
        </w:rPr>
      </w:pPr>
    </w:p>
    <w:p>
      <w:pPr>
        <w:jc w:val="both"/>
        <w:ind w:left="380" w:firstLine="754"/>
        <w:spacing w:after="0" w:line="252" w:lineRule="auto"/>
        <w:tabs>
          <w:tab w:leader="none" w:pos="1561" w:val="left"/>
        </w:tabs>
        <w:numPr>
          <w:ilvl w:val="0"/>
          <w:numId w:val="182"/>
        </w:numPr>
        <w:rPr>
          <w:rFonts w:ascii="Arial" w:cs="Arial" w:eastAsia="Arial" w:hAnsi="Arial"/>
          <w:sz w:val="21"/>
          <w:szCs w:val="21"/>
          <w:color w:val="auto"/>
        </w:rPr>
      </w:pPr>
      <w:r>
        <w:rPr>
          <w:rFonts w:ascii="Arial" w:cs="Arial" w:eastAsia="Arial" w:hAnsi="Arial"/>
          <w:sz w:val="21"/>
          <w:szCs w:val="21"/>
          <w:u w:val="single" w:color="auto"/>
          <w:color w:val="auto"/>
        </w:rPr>
        <w:t>Internal Review</w:t>
      </w:r>
      <w:r>
        <w:rPr>
          <w:rFonts w:ascii="Arial" w:cs="Arial" w:eastAsia="Arial" w:hAnsi="Arial"/>
          <w:sz w:val="21"/>
          <w:szCs w:val="21"/>
          <w:color w:val="auto"/>
        </w:rPr>
        <w:t>.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105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52070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83" w:name="page184"/>
    <w:bookmarkEnd w:id="183"/>
    <w:p>
      <w:pPr>
        <w:jc w:val="both"/>
        <w:ind w:left="380"/>
        <w:spacing w:after="0" w:line="275" w:lineRule="auto"/>
        <w:rPr>
          <w:sz w:val="20"/>
          <w:szCs w:val="20"/>
          <w:color w:val="auto"/>
        </w:rPr>
      </w:pPr>
      <w:r>
        <w:rPr>
          <w:rFonts w:ascii="Arial" w:cs="Arial" w:eastAsia="Arial" w:hAnsi="Arial"/>
          <w:sz w:val="19"/>
          <w:szCs w:val="19"/>
          <w:color w:val="auto"/>
        </w:rPr>
        <w:t xml:space="preserve">to this </w:t>
      </w:r>
      <w:r>
        <w:rPr>
          <w:rFonts w:ascii="Arial" w:cs="Arial" w:eastAsia="Arial" w:hAnsi="Arial"/>
          <w:sz w:val="19"/>
          <w:szCs w:val="19"/>
          <w:u w:val="single" w:color="auto"/>
          <w:color w:val="auto"/>
        </w:rPr>
        <w:t>Section 5.12(b)(ii)(C)</w:t>
      </w:r>
      <w:r>
        <w:rPr>
          <w:rFonts w:ascii="Arial" w:cs="Arial" w:eastAsia="Arial" w:hAnsi="Arial"/>
          <w:sz w:val="19"/>
          <w:szCs w:val="19"/>
          <w:color w:val="auto"/>
        </w:rPr>
        <w:t xml:space="preserve"> is lower than the value of such Portfolio Investment as most recently determined pursuant to </w:t>
      </w:r>
      <w:r>
        <w:rPr>
          <w:rFonts w:ascii="Arial" w:cs="Arial" w:eastAsia="Arial" w:hAnsi="Arial"/>
          <w:sz w:val="19"/>
          <w:szCs w:val="19"/>
          <w:u w:val="single" w:color="auto"/>
          <w:color w:val="auto"/>
        </w:rPr>
        <w:t>Section 5.12(b)(ii)(A)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such lower value shall be deemed to be the “Value” of such Portfolio Investment for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57" w:lineRule="exact"/>
        <w:rPr>
          <w:sz w:val="20"/>
          <w:szCs w:val="20"/>
          <w:color w:val="auto"/>
        </w:rPr>
      </w:pPr>
    </w:p>
    <w:p>
      <w:pPr>
        <w:jc w:val="both"/>
        <w:ind w:left="380" w:firstLine="754"/>
        <w:spacing w:after="0"/>
        <w:tabs>
          <w:tab w:leader="none" w:pos="1574"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Failure to Determine Values</w:t>
      </w:r>
      <w:r>
        <w:rPr>
          <w:rFonts w:ascii="Arial" w:cs="Arial" w:eastAsia="Arial" w:hAnsi="Arial"/>
          <w:sz w:val="22"/>
          <w:szCs w:val="22"/>
          <w:color w:val="auto"/>
        </w:rPr>
        <w:t xml:space="preserve">. If the Borrower shall fail to determine the value of any Portfolio Investment as at any date pursuant to the requirements of the foregoing </w:t>
      </w:r>
      <w:r>
        <w:rPr>
          <w:rFonts w:ascii="Arial" w:cs="Arial" w:eastAsia="Arial" w:hAnsi="Arial"/>
          <w:sz w:val="22"/>
          <w:szCs w:val="22"/>
          <w:u w:val="single" w:color="auto"/>
          <w:color w:val="auto"/>
        </w:rPr>
        <w:t>sub-clauses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(C)</w:t>
      </w:r>
      <w:r>
        <w:rPr>
          <w:rFonts w:ascii="Arial" w:cs="Arial" w:eastAsia="Arial" w:hAnsi="Arial"/>
          <w:sz w:val="22"/>
          <w:szCs w:val="22"/>
          <w:color w:val="auto"/>
        </w:rPr>
        <w:t>, then the “Value” of such Portfolio Investment as at such date shall be deemed to be zero.</w:t>
      </w:r>
    </w:p>
    <w:p>
      <w:pPr>
        <w:spacing w:after="0" w:line="186" w:lineRule="exact"/>
        <w:rPr>
          <w:rFonts w:ascii="Arial" w:cs="Arial" w:eastAsia="Arial" w:hAnsi="Arial"/>
          <w:sz w:val="22"/>
          <w:szCs w:val="22"/>
          <w:color w:val="auto"/>
        </w:rPr>
      </w:pPr>
    </w:p>
    <w:p>
      <w:pPr>
        <w:ind w:left="1560" w:hanging="426"/>
        <w:spacing w:after="0"/>
        <w:tabs>
          <w:tab w:leader="none" w:pos="1560" w:val="left"/>
        </w:tabs>
        <w:numPr>
          <w:ilvl w:val="0"/>
          <w:numId w:val="183"/>
        </w:numPr>
        <w:rPr>
          <w:rFonts w:ascii="Arial" w:cs="Arial" w:eastAsia="Arial" w:hAnsi="Arial"/>
          <w:sz w:val="22"/>
          <w:szCs w:val="22"/>
          <w:color w:val="auto"/>
        </w:rPr>
      </w:pPr>
      <w:r>
        <w:rPr>
          <w:rFonts w:ascii="Arial" w:cs="Arial" w:eastAsia="Arial" w:hAnsi="Arial"/>
          <w:sz w:val="22"/>
          <w:szCs w:val="22"/>
          <w:u w:val="single" w:color="auto"/>
          <w:color w:val="auto"/>
        </w:rPr>
        <w:t>Testing of Values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140" w:firstLine="743"/>
        <w:spacing w:after="0" w:line="274" w:lineRule="auto"/>
        <w:tabs>
          <w:tab w:leader="none" w:pos="2321" w:val="left"/>
        </w:tabs>
        <w:numPr>
          <w:ilvl w:val="1"/>
          <w:numId w:val="183"/>
        </w:numPr>
        <w:rPr>
          <w:rFonts w:ascii="Arial" w:cs="Arial" w:eastAsia="Arial" w:hAnsi="Arial"/>
          <w:sz w:val="19"/>
          <w:szCs w:val="19"/>
          <w:color w:val="auto"/>
        </w:rPr>
      </w:pPr>
      <w:r>
        <w:rPr>
          <w:rFonts w:ascii="Arial" w:cs="Arial" w:eastAsia="Arial" w:hAnsi="Arial"/>
          <w:sz w:val="19"/>
          <w:szCs w:val="19"/>
          <w:color w:val="auto"/>
        </w:rPr>
        <w:t>For the second calendar month immediately following the end of each fiscal quarter (the last such fiscal quarter is referred to herein as, the “</w:t>
      </w:r>
      <w:r>
        <w:rPr>
          <w:rFonts w:ascii="Arial" w:cs="Arial" w:eastAsia="Arial" w:hAnsi="Arial"/>
          <w:sz w:val="19"/>
          <w:szCs w:val="19"/>
          <w:u w:val="single" w:color="auto"/>
          <w:color w:val="auto"/>
        </w:rPr>
        <w:t>Testing Quarter</w:t>
      </w:r>
      <w:r>
        <w:rPr>
          <w:rFonts w:ascii="Arial" w:cs="Arial" w:eastAsia="Arial" w:hAnsi="Arial"/>
          <w:sz w:val="19"/>
          <w:szCs w:val="19"/>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Quarter. If there is a difference between the Borrower’s valuation and the Approved Third-Party Appraiser’s valuation of any Unquoted Investment, the Value of such Unquoted Investment for Borrowing Base purposes shall be established as set forth in the third sentence of </w:t>
      </w:r>
      <w:r>
        <w:rPr>
          <w:rFonts w:ascii="Arial" w:cs="Arial" w:eastAsia="Arial" w:hAnsi="Arial"/>
          <w:sz w:val="19"/>
          <w:szCs w:val="19"/>
          <w:u w:val="single" w:color="auto"/>
          <w:color w:val="auto"/>
        </w:rPr>
        <w:t>sub-clause (F)</w:t>
      </w:r>
      <w:r>
        <w:rPr>
          <w:rFonts w:ascii="Arial" w:cs="Arial" w:eastAsia="Arial" w:hAnsi="Arial"/>
          <w:sz w:val="19"/>
          <w:szCs w:val="19"/>
          <w:color w:val="auto"/>
        </w:rPr>
        <w:t xml:space="preserve"> below.</w:t>
      </w:r>
    </w:p>
    <w:p>
      <w:pPr>
        <w:spacing w:after="0" w:line="158" w:lineRule="exact"/>
        <w:rPr>
          <w:rFonts w:ascii="Arial" w:cs="Arial" w:eastAsia="Arial" w:hAnsi="Arial"/>
          <w:sz w:val="19"/>
          <w:szCs w:val="19"/>
          <w:color w:val="auto"/>
        </w:rPr>
      </w:pPr>
    </w:p>
    <w:p>
      <w:pPr>
        <w:jc w:val="both"/>
        <w:ind w:left="1140" w:firstLine="743"/>
        <w:spacing w:after="0" w:line="252" w:lineRule="auto"/>
        <w:tabs>
          <w:tab w:leader="none" w:pos="2321" w:val="left"/>
        </w:tabs>
        <w:numPr>
          <w:ilvl w:val="1"/>
          <w:numId w:val="183"/>
        </w:numPr>
        <w:rPr>
          <w:rFonts w:ascii="Arial" w:cs="Arial" w:eastAsia="Arial" w:hAnsi="Arial"/>
          <w:sz w:val="20"/>
          <w:szCs w:val="20"/>
          <w:color w:val="auto"/>
        </w:rPr>
      </w:pPr>
      <w:r>
        <w:rPr>
          <w:rFonts w:ascii="Arial" w:cs="Arial" w:eastAsia="Arial" w:hAnsi="Arial"/>
          <w:sz w:val="20"/>
          <w:szCs w:val="20"/>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20"/>
          <w:szCs w:val="20"/>
          <w:u w:val="single" w:color="auto"/>
          <w:color w:val="auto"/>
        </w:rPr>
        <w:t>Administrative Agent Appraisal Testing Month</w:t>
      </w:r>
      <w:r>
        <w:rPr>
          <w:rFonts w:ascii="Arial" w:cs="Arial" w:eastAsia="Arial" w:hAnsi="Arial"/>
          <w:sz w:val="20"/>
          <w:szCs w:val="20"/>
          <w:color w:val="auto"/>
        </w:rPr>
        <w:t>”) and would be reflected in the Borrowing Base Certificate for such month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Approved Third-Party Appraiser delivers such valuation at least seven (7) Business Days before the 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2014, then (A) the Administrative Agent would initiate the testing of Values (using the December 31, 2014 Calculation Amount for</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106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52070</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84" w:name="page185"/>
    <w:bookmarkEnd w:id="184"/>
    <w:p>
      <w:pPr>
        <w:jc w:val="both"/>
        <w:ind w:left="1140"/>
        <w:spacing w:after="0" w:line="250" w:lineRule="auto"/>
        <w:rPr>
          <w:sz w:val="20"/>
          <w:szCs w:val="20"/>
          <w:color w:val="auto"/>
        </w:rPr>
      </w:pPr>
      <w:r>
        <w:rPr>
          <w:rFonts w:ascii="Arial" w:cs="Arial" w:eastAsia="Arial" w:hAnsi="Arial"/>
          <w:sz w:val="20"/>
          <w:szCs w:val="20"/>
          <w:color w:val="auto"/>
        </w:rPr>
        <w:t xml:space="preserve">purposes of determining the scope of the testing under </w:t>
      </w:r>
      <w:r>
        <w:rPr>
          <w:rFonts w:ascii="Arial" w:cs="Arial" w:eastAsia="Arial" w:hAnsi="Arial"/>
          <w:sz w:val="20"/>
          <w:szCs w:val="20"/>
          <w:u w:val="single" w:color="auto"/>
          <w:color w:val="auto"/>
        </w:rPr>
        <w:t>clauses (E)(x)</w:t>
      </w:r>
      <w:r>
        <w:rPr>
          <w:rFonts w:ascii="Arial" w:cs="Arial" w:eastAsia="Arial" w:hAnsi="Arial"/>
          <w:sz w:val="20"/>
          <w:szCs w:val="20"/>
          <w:color w:val="auto"/>
        </w:rPr>
        <w:t xml:space="preserve"> during the month of February with the anticipation of receiving the valuations from the applicable Approved Third-Party Appraiser(s) on or after February 28, 2015 and (B)(xx) if such valuations were received before the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Business Day before March 20, 2015, such valuations would be included in the March 20, 2015 Borrowing Base Certificate covering the month of February, or (yy) if such valuations were received after such time, they would be included in the April 20, 2015 Borrowing Base Certificate for the month of March.</w:t>
      </w:r>
    </w:p>
    <w:p>
      <w:pPr>
        <w:spacing w:after="0" w:line="178" w:lineRule="exact"/>
        <w:rPr>
          <w:sz w:val="20"/>
          <w:szCs w:val="20"/>
          <w:color w:val="auto"/>
        </w:rPr>
      </w:pPr>
    </w:p>
    <w:p>
      <w:pPr>
        <w:jc w:val="both"/>
        <w:ind w:left="1140"/>
        <w:spacing w:after="0" w:line="250" w:lineRule="auto"/>
        <w:rPr>
          <w:sz w:val="20"/>
          <w:szCs w:val="20"/>
          <w:color w:val="auto"/>
        </w:rPr>
      </w:pPr>
      <w:r>
        <w:rPr>
          <w:rFonts w:ascii="Arial" w:cs="Arial" w:eastAsia="Arial" w:hAnsi="Arial"/>
          <w:sz w:val="22"/>
          <w:szCs w:val="22"/>
          <w:color w:val="auto"/>
        </w:rPr>
        <w:t xml:space="preserve">For the avoidance of doubt, all calculations of value pursuant to this </w:t>
      </w:r>
      <w:r>
        <w:rPr>
          <w:rFonts w:ascii="Arial" w:cs="Arial" w:eastAsia="Arial" w:hAnsi="Arial"/>
          <w:sz w:val="22"/>
          <w:szCs w:val="22"/>
          <w:u w:val="single" w:color="auto"/>
          <w:color w:val="auto"/>
        </w:rPr>
        <w:t>Section 5.12(b)(ii)(E)</w:t>
      </w:r>
      <w:r>
        <w:rPr>
          <w:rFonts w:ascii="Arial" w:cs="Arial" w:eastAsia="Arial" w:hAnsi="Arial"/>
          <w:sz w:val="22"/>
          <w:szCs w:val="22"/>
          <w:color w:val="auto"/>
        </w:rPr>
        <w:t xml:space="preserve"> shall be determined without application of the Advance Rates.</w:t>
      </w:r>
    </w:p>
    <w:p>
      <w:pPr>
        <w:spacing w:after="0" w:line="175" w:lineRule="exact"/>
        <w:rPr>
          <w:sz w:val="20"/>
          <w:szCs w:val="20"/>
          <w:color w:val="auto"/>
        </w:rPr>
      </w:pPr>
    </w:p>
    <w:p>
      <w:pPr>
        <w:jc w:val="both"/>
        <w:ind w:left="380" w:firstLine="754"/>
        <w:spacing w:after="0" w:line="268" w:lineRule="auto"/>
        <w:tabs>
          <w:tab w:leader="none" w:pos="1574"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Valuation Dispute Resolution</w:t>
      </w:r>
      <w:r>
        <w:rPr>
          <w:rFonts w:ascii="Arial" w:cs="Arial" w:eastAsia="Arial" w:hAnsi="Arial"/>
          <w:sz w:val="19"/>
          <w:szCs w:val="19"/>
          <w:color w:val="auto"/>
        </w:rPr>
        <w:t xml:space="preserve">. Notwithstanding the foregoing, the Administrative Agent shall at any time have the right to request any Portfolio Investment with a value assigned by the Borrower pursuant to </w:t>
      </w:r>
      <w:r>
        <w:rPr>
          <w:rFonts w:ascii="Arial" w:cs="Arial" w:eastAsia="Arial" w:hAnsi="Arial"/>
          <w:sz w:val="19"/>
          <w:szCs w:val="19"/>
          <w:u w:val="single" w:color="auto"/>
          <w:color w:val="auto"/>
        </w:rPr>
        <w:t>Section 5.12(b)(ii)(B)</w:t>
      </w:r>
      <w:r>
        <w:rPr>
          <w:rFonts w:ascii="Arial" w:cs="Arial" w:eastAsia="Arial" w:hAnsi="Arial"/>
          <w:sz w:val="19"/>
          <w:szCs w:val="19"/>
          <w:color w:val="auto"/>
        </w:rPr>
        <w:t xml:space="preserve"> be independently valued by an Approved Third-Party Appraiser retained by the Administrative Agent. There shall be no limit on the number of such appraisals requested by the Administrative Agent and the reasonable and documented out-of-pocket costs of any such valuation shall be at the expense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applicable Approved Third-Party Appraiser shall use commercially reasonable efforts to ensure that an appraisal shall be conducted in a manner that is not disruptive to the Borrower’s business, (y) the values determined by any appraisal shall be treated as confidential information by the Administrative Agent and the Lenders and shall be deemed to be “Information” hereunder and subject to </w:t>
      </w:r>
      <w:r>
        <w:rPr>
          <w:rFonts w:ascii="Arial" w:cs="Arial" w:eastAsia="Arial" w:hAnsi="Arial"/>
          <w:sz w:val="19"/>
          <w:szCs w:val="19"/>
          <w:u w:val="single" w:color="auto"/>
          <w:color w:val="auto"/>
        </w:rPr>
        <w:t>Section 9.13</w:t>
      </w:r>
      <w:r>
        <w:rPr>
          <w:rFonts w:ascii="Arial" w:cs="Arial" w:eastAsia="Arial" w:hAnsi="Arial"/>
          <w:sz w:val="19"/>
          <w:szCs w:val="19"/>
          <w:color w:val="auto"/>
        </w:rPr>
        <w:t xml:space="preserve"> and (z) unless an Event of Default has occurred and is continuing, the Borrower’s obligation to reimburse valuation costs pursuant to this supplemental testing shall be limited to the greater of (i) $200,000 and</w:t>
      </w:r>
    </w:p>
    <w:p>
      <w:pPr>
        <w:spacing w:after="0" w:line="7" w:lineRule="exact"/>
        <w:rPr>
          <w:rFonts w:ascii="Arial" w:cs="Arial" w:eastAsia="Arial" w:hAnsi="Arial"/>
          <w:sz w:val="19"/>
          <w:szCs w:val="19"/>
          <w:color w:val="auto"/>
        </w:rPr>
      </w:pPr>
    </w:p>
    <w:p>
      <w:pPr>
        <w:jc w:val="both"/>
        <w:ind w:left="380" w:firstLine="5"/>
        <w:spacing w:after="0" w:line="242" w:lineRule="auto"/>
        <w:tabs>
          <w:tab w:leader="none" w:pos="729"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0.05% of the total amount of the Commitments, per annum. The Administrative Agent shall notify the Borrower of its receipt of the results of any appraisal under this </w:t>
      </w:r>
      <w:r>
        <w:rPr>
          <w:rFonts w:ascii="Arial" w:cs="Arial" w:eastAsia="Arial" w:hAnsi="Arial"/>
          <w:sz w:val="21"/>
          <w:szCs w:val="21"/>
          <w:u w:val="single" w:color="auto"/>
          <w:color w:val="auto"/>
        </w:rPr>
        <w:t>clause (F)</w:t>
      </w:r>
      <w:r>
        <w:rPr>
          <w:rFonts w:ascii="Arial" w:cs="Arial" w:eastAsia="Arial" w:hAnsi="Arial"/>
          <w:sz w:val="21"/>
          <w:szCs w:val="21"/>
          <w:color w:val="auto"/>
        </w:rPr>
        <w:t xml:space="preserve"> from the applicable Approved Third-Party Appraiser and provide a copy of such results and any related reports to the Borrower. If the difference between the Borrower’s valuation pursuant to </w:t>
      </w:r>
      <w:r>
        <w:rPr>
          <w:rFonts w:ascii="Arial" w:cs="Arial" w:eastAsia="Arial" w:hAnsi="Arial"/>
          <w:sz w:val="21"/>
          <w:szCs w:val="21"/>
          <w:u w:val="single" w:color="auto"/>
          <w:color w:val="auto"/>
        </w:rPr>
        <w:t>Section 5.12(b)(ii)(B)</w:t>
      </w:r>
      <w:r>
        <w:rPr>
          <w:rFonts w:ascii="Arial" w:cs="Arial" w:eastAsia="Arial" w:hAnsi="Arial"/>
          <w:sz w:val="21"/>
          <w:szCs w:val="21"/>
          <w:color w:val="auto"/>
        </w:rPr>
        <w:t xml:space="preserve"> and the valuation of any Approved Third-Party Appraiser retained by the Administrative Agent pursuant to </w:t>
      </w:r>
      <w:r>
        <w:rPr>
          <w:rFonts w:ascii="Arial" w:cs="Arial" w:eastAsia="Arial" w:hAnsi="Arial"/>
          <w:sz w:val="21"/>
          <w:szCs w:val="21"/>
          <w:u w:val="single" w:color="auto"/>
          <w:color w:val="auto"/>
        </w:rPr>
        <w:t>Section 5.12(b)(ii)(E)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(F)</w:t>
      </w:r>
      <w:r>
        <w:rPr>
          <w:rFonts w:ascii="Arial" w:cs="Arial" w:eastAsia="Arial" w:hAnsi="Arial"/>
          <w:sz w:val="21"/>
          <w:szCs w:val="21"/>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retain an additional Approved Third-Party Appraiser and the valuation of such Portfolio Investment shall be the average of the three valuations (with the Administrative Agent’s Approved Third-Party Appraiser’s valuation to be used until the third valuation is obtained). For the avoidance of doubt, such supplemental values shall be applicable only to and used only for determining value under this Agreement and shall not be deemed fair value of such asset under ASC 820 for</w:t>
      </w:r>
    </w:p>
    <w:p>
      <w:pPr>
        <w:spacing w:after="0" w:line="19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107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52070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85" w:name="page186"/>
    <w:bookmarkEnd w:id="185"/>
    <w:p>
      <w:pPr>
        <w:ind w:left="1500"/>
        <w:spacing w:after="0"/>
        <w:rPr>
          <w:sz w:val="20"/>
          <w:szCs w:val="20"/>
          <w:color w:val="auto"/>
        </w:rPr>
      </w:pPr>
      <w:r>
        <w:rPr>
          <w:rFonts w:ascii="Arial" w:cs="Arial" w:eastAsia="Arial" w:hAnsi="Arial"/>
          <w:sz w:val="22"/>
          <w:szCs w:val="22"/>
          <w:color w:val="auto"/>
        </w:rPr>
        <w:t>purposes of the Borrower’s financial statements, the Investment Company Act or otherwise.</w:t>
      </w:r>
    </w:p>
    <w:p>
      <w:pPr>
        <w:spacing w:after="0" w:line="206" w:lineRule="exact"/>
        <w:rPr>
          <w:sz w:val="20"/>
          <w:szCs w:val="20"/>
          <w:color w:val="auto"/>
        </w:rPr>
      </w:pPr>
    </w:p>
    <w:p>
      <w:pPr>
        <w:jc w:val="both"/>
        <w:ind w:firstLine="1505"/>
        <w:spacing w:after="0" w:line="249" w:lineRule="auto"/>
        <w:tabs>
          <w:tab w:leader="none" w:pos="197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Investment Company Diversification and Tax Requirements</w:t>
      </w:r>
      <w:r>
        <w:rPr>
          <w:rFonts w:ascii="Arial" w:cs="Arial" w:eastAsia="Arial" w:hAnsi="Arial"/>
          <w:sz w:val="21"/>
          <w:szCs w:val="21"/>
          <w:color w:val="auto"/>
        </w:rPr>
        <w:t>. The Borrower will, and will cause its Subsidiaries (other than Financing Subsidiaries that are exempt from the Investment Company Act) at all times to (i) comply in all material respects with the portfolio diversification and similar requirements set forth in the Investment Company Act applicable to business development companies and (ii) subject to applicable grace periods set forth in the Code, comply with the portfolio diversification and similar requirements set forth in the Code applicable to RICs.</w:t>
      </w:r>
    </w:p>
    <w:p>
      <w:pPr>
        <w:spacing w:after="0" w:line="178" w:lineRule="exact"/>
        <w:rPr>
          <w:rFonts w:ascii="Arial" w:cs="Arial" w:eastAsia="Arial" w:hAnsi="Arial"/>
          <w:sz w:val="21"/>
          <w:szCs w:val="21"/>
          <w:color w:val="auto"/>
        </w:rPr>
      </w:pPr>
    </w:p>
    <w:p>
      <w:pPr>
        <w:jc w:val="both"/>
        <w:ind w:firstLine="1505"/>
        <w:spacing w:after="0" w:line="275" w:lineRule="auto"/>
        <w:tabs>
          <w:tab w:leader="none" w:pos="1929"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Commitments under Portfolio Investments</w:t>
      </w:r>
      <w:r>
        <w:rPr>
          <w:rFonts w:ascii="Arial" w:cs="Arial" w:eastAsia="Arial" w:hAnsi="Arial"/>
          <w:sz w:val="19"/>
          <w:szCs w:val="19"/>
          <w:color w:val="auto"/>
        </w:rPr>
        <w:t>. The Borrower will, and will cause its Subsidiaries to, acquire Portfolio Investments (it being understood that neither (x) the receipt of Portfolio Investments as part of a restructuring or workout nor (y) any new or additional borrowing under an existing Portfolio Investment shall constitute an “acquisition” of such Portfolio Investments) constituting revolving credit facilities or delayed draw term loans with revolving or future commitments only if the aggregate commitments or future commitments under such revolving credit facilities or delayed draw term loans (excluding discretionary future commitments, such as accordions and commitment increase options) does not exceed (i) prior to the Extended Commitment Termination Date, 20% of the aggregate Commitment amount at the time of acquisition and (ii) following the Extended Commitment Termination Date, 20% of the Revolving Credit Exposure at the time of acquisition.</w:t>
      </w:r>
    </w:p>
    <w:p>
      <w:pPr>
        <w:spacing w:after="0" w:line="157"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SECTION 5.13. </w:t>
      </w:r>
      <w:r>
        <w:rPr>
          <w:rFonts w:ascii="Arial" w:cs="Arial" w:eastAsia="Arial" w:hAnsi="Arial"/>
          <w:sz w:val="22"/>
          <w:szCs w:val="22"/>
          <w:u w:val="single" w:color="auto"/>
          <w:color w:val="auto"/>
        </w:rPr>
        <w:t>Calculation of Borrowing Base</w:t>
      </w:r>
      <w:r>
        <w:rPr>
          <w:rFonts w:ascii="Arial" w:cs="Arial" w:eastAsia="Arial" w:hAnsi="Arial"/>
          <w:sz w:val="22"/>
          <w:szCs w:val="22"/>
          <w:color w:val="auto"/>
        </w:rPr>
        <w:t>. For purposes of this Agreement, the “</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shall be determined, as at any date of determination, as the sum of the products of the Advance Rates and the Value of each Portfolio Investment (excluding any Cash Collateral held by the Administrative Agent pursuant to </w:t>
      </w:r>
      <w:r>
        <w:rPr>
          <w:rFonts w:ascii="Arial" w:cs="Arial" w:eastAsia="Arial" w:hAnsi="Arial"/>
          <w:sz w:val="22"/>
          <w:szCs w:val="22"/>
          <w:u w:val="single" w:color="auto"/>
          <w:color w:val="auto"/>
        </w:rPr>
        <w:t>Section 2.05(k)</w:t>
      </w:r>
      <w:r>
        <w:rPr>
          <w:rFonts w:ascii="Arial" w:cs="Arial" w:eastAsia="Arial" w:hAnsi="Arial"/>
          <w:sz w:val="22"/>
          <w:szCs w:val="22"/>
          <w:color w:val="auto"/>
        </w:rPr>
        <w:t xml:space="preserve"> or the last paragraph of </w:t>
      </w:r>
      <w:r>
        <w:rPr>
          <w:rFonts w:ascii="Arial" w:cs="Arial" w:eastAsia="Arial" w:hAnsi="Arial"/>
          <w:sz w:val="22"/>
          <w:szCs w:val="22"/>
          <w:u w:val="single" w:color="auto"/>
          <w:color w:val="auto"/>
        </w:rPr>
        <w:t>Section 2.09(a)</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sz w:val="20"/>
          <w:szCs w:val="20"/>
          <w:color w:val="auto"/>
        </w:rPr>
      </w:pPr>
    </w:p>
    <w:p>
      <w:pPr>
        <w:jc w:val="both"/>
        <w:ind w:firstLine="1505"/>
        <w:spacing w:after="0" w:line="279" w:lineRule="auto"/>
        <w:tabs>
          <w:tab w:leader="none" w:pos="192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Advance Rate applicable to that portion of the aggregate Value of the Portfolio Investments in a consolidated group of corporations or other entities (collectively, a “</w:t>
      </w:r>
      <w:r>
        <w:rPr>
          <w:rFonts w:ascii="Arial" w:cs="Arial" w:eastAsia="Arial" w:hAnsi="Arial"/>
          <w:sz w:val="19"/>
          <w:szCs w:val="19"/>
          <w:u w:val="single" w:color="auto"/>
          <w:color w:val="auto"/>
        </w:rPr>
        <w:t>Consolidated Group</w:t>
      </w:r>
      <w:r>
        <w:rPr>
          <w:rFonts w:ascii="Arial" w:cs="Arial" w:eastAsia="Arial" w:hAnsi="Arial"/>
          <w:sz w:val="19"/>
          <w:szCs w:val="19"/>
          <w:color w:val="auto"/>
        </w:rPr>
        <w:t xml:space="preserve">”), in accordance with GAAP, that exceeds 6% of the Value of all Portfolio Investments in the Collateral Pool (other than Portfolio Investments for which the Advance Rate is 0%) shall be 50% of the Advance Rate otherwise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all times prior to the 18 month anniversary of the Second Amendment Effective Date, with respect to the Value of Portfolio Investments in a single Consolidated Group designated by the Borrower to the Administrative Agent such 6% figure shall be increased to 10%;</w:t>
      </w:r>
    </w:p>
    <w:p>
      <w:pPr>
        <w:spacing w:after="0" w:line="150" w:lineRule="exact"/>
        <w:rPr>
          <w:rFonts w:ascii="Arial" w:cs="Arial" w:eastAsia="Arial" w:hAnsi="Arial"/>
          <w:sz w:val="19"/>
          <w:szCs w:val="19"/>
          <w:color w:val="auto"/>
        </w:rPr>
      </w:pPr>
    </w:p>
    <w:p>
      <w:pPr>
        <w:jc w:val="both"/>
        <w:ind w:firstLine="1505"/>
        <w:spacing w:after="0"/>
        <w:tabs>
          <w:tab w:leader="none" w:pos="192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Advance Rate applicable to that portion of the aggregate Value of the Portfolio Investments of all issuers in a Consolidated Group exceeding 12% of the Value of all Portfolio Investments in the Collateral Pool (other than Portfolio Investments for which the Advance Rate is 0%) shall be 0%;</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Advance Rate applicable to that portion of the aggregate Value of the Portfolio Investments in any single Industry Classification Group that exceeds 15% of the Value of all Portfolio Investments in the Collateral Pool (other than Portfolio Investments for which the Advance Rate is 0%) shall be 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with respect to the Value of Portfolio Investments</w:t>
      </w:r>
    </w:p>
    <w:p>
      <w:pPr>
        <w:spacing w:after="0" w:line="19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108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6" w:name="page187"/>
    <w:bookmarkEnd w:id="186"/>
    <w:p>
      <w:pPr>
        <w:jc w:val="both"/>
        <w:spacing w:after="0" w:line="287" w:lineRule="auto"/>
        <w:rPr>
          <w:sz w:val="20"/>
          <w:szCs w:val="20"/>
          <w:color w:val="auto"/>
        </w:rPr>
      </w:pPr>
      <w:r>
        <w:rPr>
          <w:rFonts w:ascii="Arial" w:cs="Arial" w:eastAsia="Arial" w:hAnsi="Arial"/>
          <w:sz w:val="19"/>
          <w:szCs w:val="19"/>
          <w:color w:val="auto"/>
        </w:rPr>
        <w:t>in a single Industry Classification Group from time to time designated by the Borrower to the Administrative Agent such 15% figure shall be increased to 25% and, accordingly, only to the extent that the Value of Portfolio Investments in such single Industry Classification Group exceeds 25% of the Value of all Portfolio Investments in the Collateral Pool (other than Portfolio Investments for which the Advance Rate is 0%) shall the Advance Rate applicable to such excess Value be 0%;</w:t>
      </w:r>
    </w:p>
    <w:p>
      <w:pPr>
        <w:spacing w:after="0" w:line="143" w:lineRule="exact"/>
        <w:rPr>
          <w:sz w:val="20"/>
          <w:szCs w:val="20"/>
          <w:color w:val="auto"/>
        </w:rPr>
      </w:pPr>
    </w:p>
    <w:p>
      <w:pPr>
        <w:jc w:val="both"/>
        <w:ind w:firstLine="1505"/>
        <w:spacing w:after="0" w:line="238" w:lineRule="auto"/>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84" w:lineRule="exact"/>
        <w:rPr>
          <w:rFonts w:ascii="Arial" w:cs="Arial" w:eastAsia="Arial" w:hAnsi="Arial"/>
          <w:sz w:val="22"/>
          <w:szCs w:val="22"/>
          <w:color w:val="auto"/>
        </w:rPr>
      </w:pPr>
    </w:p>
    <w:p>
      <w:pPr>
        <w:jc w:val="both"/>
        <w:ind w:firstLine="1505"/>
        <w:spacing w:after="0"/>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Performing Non-Cash Pay High Yield Securities, Performing Non-Cash Pay Mezzanine Investments, Equity Interests and Non-Performing Portfolio Investments shall not exceed 20%;</w:t>
      </w:r>
    </w:p>
    <w:p>
      <w:pPr>
        <w:spacing w:after="0" w:line="186" w:lineRule="exact"/>
        <w:rPr>
          <w:rFonts w:ascii="Arial" w:cs="Arial" w:eastAsia="Arial" w:hAnsi="Arial"/>
          <w:sz w:val="22"/>
          <w:szCs w:val="22"/>
          <w:color w:val="auto"/>
        </w:rPr>
      </w:pPr>
    </w:p>
    <w:p>
      <w:pPr>
        <w:jc w:val="both"/>
        <w:ind w:right="20" w:firstLine="1505"/>
        <w:spacing w:after="0"/>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Non-Performing Portfolio Investments shall not exceed 15% and the portion of the Borrowing Base attributable to Portfolio Investments that were Non-Performing Portfolio Investments at the time such Portfolio Investments were acquired shall not exceed 5%;</w:t>
      </w:r>
    </w:p>
    <w:p>
      <w:pPr>
        <w:spacing w:after="0" w:line="186" w:lineRule="exact"/>
        <w:rPr>
          <w:rFonts w:ascii="Arial" w:cs="Arial" w:eastAsia="Arial" w:hAnsi="Arial"/>
          <w:sz w:val="22"/>
          <w:szCs w:val="22"/>
          <w:color w:val="auto"/>
        </w:rPr>
      </w:pPr>
    </w:p>
    <w:p>
      <w:pPr>
        <w:ind w:right="80" w:firstLine="1505"/>
        <w:spacing w:after="0" w:line="274" w:lineRule="auto"/>
        <w:tabs>
          <w:tab w:leader="none" w:pos="1929"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portion of the Borrowing Base attributable to Equity Interests shall not exceed 10% (it being understood that in no event shall Equity Interests of Financing Subsidiaries be included in the Borrowing Base);</w:t>
      </w:r>
    </w:p>
    <w:p>
      <w:pPr>
        <w:spacing w:after="0" w:line="150" w:lineRule="exact"/>
        <w:rPr>
          <w:rFonts w:ascii="Arial" w:cs="Arial" w:eastAsia="Arial" w:hAnsi="Arial"/>
          <w:sz w:val="21"/>
          <w:szCs w:val="21"/>
          <w:color w:val="auto"/>
        </w:rPr>
      </w:pPr>
    </w:p>
    <w:p>
      <w:pPr>
        <w:jc w:val="both"/>
        <w:ind w:firstLine="1505"/>
        <w:spacing w:after="0" w:line="238" w:lineRule="auto"/>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Portfolio Investments invested in a jurisdiction other than a Specified Country or a Specified Tax Jurisdiction (solely to the extent the External Manager determines in good faith that a substantial portion of the assets, revenues, or operations supporting such Portfolio Investments are directly, or indirectly, made in a Specified Country) shall not exceed 0%;</w:t>
      </w:r>
    </w:p>
    <w:p>
      <w:pPr>
        <w:spacing w:after="0" w:line="184"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portion of the Borrowing Base attributable to Portfolio Investments invested in Australia, the Netherlands and any Specified Tax Jurisdiction (solely to the extent the External Manager determines in good faith that a substantial portion of the assets, revenues, or operations supporting such Portfolio Investments are directly, or indirectly, made in Australia or the Netherlands) shall not exceed 10%;</w:t>
      </w:r>
    </w:p>
    <w:p>
      <w:pPr>
        <w:spacing w:after="0" w:line="184" w:lineRule="exact"/>
        <w:rPr>
          <w:rFonts w:ascii="Arial" w:cs="Arial" w:eastAsia="Arial" w:hAnsi="Arial"/>
          <w:sz w:val="22"/>
          <w:szCs w:val="22"/>
          <w:color w:val="auto"/>
        </w:rPr>
      </w:pPr>
    </w:p>
    <w:p>
      <w:pPr>
        <w:jc w:val="both"/>
        <w:ind w:firstLine="1505"/>
        <w:spacing w:after="0" w:line="236" w:lineRule="auto"/>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the portion of the Borrowing Base attributable to Portfolio Investments invested in Ireland, Germany, Spain, Sweden, Austria, Belgium, Denmark, Finland, Iceland, Lichtenstein, Luxembourg, Norway and any Specified Tax Jurisdiction (solely to the extent the External Manager determines in good faith that a substantial portion of the assets, revenues, or operations supporting such Portfolio Investments are directly, or indirectly, made in one of the other jurisdictions listed in this </w:t>
      </w:r>
      <w:r>
        <w:rPr>
          <w:rFonts w:ascii="Arial" w:cs="Arial" w:eastAsia="Arial" w:hAnsi="Arial"/>
          <w:sz w:val="22"/>
          <w:szCs w:val="22"/>
          <w:u w:val="single" w:color="auto"/>
          <w:color w:val="auto"/>
        </w:rPr>
        <w:t>clause (j)</w:t>
      </w:r>
      <w:r>
        <w:rPr>
          <w:rFonts w:ascii="Arial" w:cs="Arial" w:eastAsia="Arial" w:hAnsi="Arial"/>
          <w:sz w:val="22"/>
          <w:szCs w:val="22"/>
          <w:color w:val="auto"/>
        </w:rPr>
        <w:t>) shall not exceed 7.5%;</w:t>
      </w:r>
    </w:p>
    <w:p>
      <w:pPr>
        <w:spacing w:after="0" w:line="187" w:lineRule="exact"/>
        <w:rPr>
          <w:rFonts w:ascii="Arial" w:cs="Arial" w:eastAsia="Arial" w:hAnsi="Arial"/>
          <w:sz w:val="22"/>
          <w:szCs w:val="22"/>
          <w:color w:val="auto"/>
        </w:rPr>
      </w:pPr>
    </w:p>
    <w:p>
      <w:pPr>
        <w:jc w:val="both"/>
        <w:ind w:firstLine="1505"/>
        <w:spacing w:after="0"/>
        <w:tabs>
          <w:tab w:leader="none" w:pos="192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at any time the Borrower Asset Coverage Ratio is greater than or equal to 2.00 to 1:00, but less than 2.25 to 1.00, the portion of the Borrowing Base attributable to Portfolio Investments other than Performing First Lien Bank Loans shall not exceed 62.5%; and</w:t>
      </w:r>
    </w:p>
    <w:p>
      <w:pPr>
        <w:spacing w:after="0" w:line="19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109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7" w:name="page188"/>
    <w:bookmarkEnd w:id="187"/>
    <w:p>
      <w:pPr>
        <w:ind w:right="20" w:firstLine="1505"/>
        <w:spacing w:after="0" w:line="328" w:lineRule="auto"/>
        <w:tabs>
          <w:tab w:leader="none" w:pos="1929"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at any time the Borrower Asset Coverage Ratio is greater than or equal to 2.25 to 1:00, the portion of the Borrowing Base attributable to Portfolio Investments other than Performing First Lien Bank Loans shall not exceed 67.5%.</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To the extent any Portfolio Investment is required to be removed from the Borrowing Base to comply with any of the portfolio limitations set forth in this </w:t>
      </w:r>
      <w:r>
        <w:rPr>
          <w:rFonts w:ascii="Arial" w:cs="Arial" w:eastAsia="Arial" w:hAnsi="Arial"/>
          <w:sz w:val="22"/>
          <w:szCs w:val="22"/>
          <w:u w:val="single" w:color="auto"/>
          <w:color w:val="auto"/>
        </w:rPr>
        <w:t>Section 5.13</w:t>
      </w:r>
      <w:r>
        <w:rPr>
          <w:rFonts w:ascii="Arial" w:cs="Arial" w:eastAsia="Arial" w:hAnsi="Arial"/>
          <w:sz w:val="22"/>
          <w:szCs w:val="22"/>
          <w:color w:val="auto"/>
        </w:rPr>
        <w:t>, the Borrower shall be permitted to choose the Portfolio Investments, or portions of such Portfolio Investments, to be so removed to effect such compliance. As used herein, the following terms have the following meanings: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Advance Rate</w:t>
      </w:r>
      <w:r>
        <w:rPr>
          <w:rFonts w:ascii="Arial" w:cs="Arial" w:eastAsia="Arial" w:hAnsi="Arial"/>
          <w:sz w:val="19"/>
          <w:szCs w:val="19"/>
          <w:color w:val="auto"/>
        </w:rPr>
        <w:t xml:space="preserve">” means, as to any Portfolio Investment and subject to adjustment as provided in </w:t>
      </w:r>
      <w:r>
        <w:rPr>
          <w:rFonts w:ascii="Arial" w:cs="Arial" w:eastAsia="Arial" w:hAnsi="Arial"/>
          <w:sz w:val="19"/>
          <w:szCs w:val="19"/>
          <w:u w:val="single" w:color="auto"/>
          <w:color w:val="auto"/>
        </w:rPr>
        <w:t>Section 5.13(a)</w:t>
      </w:r>
      <w:r>
        <w:rPr>
          <w:rFonts w:ascii="Arial" w:cs="Arial" w:eastAsia="Arial" w:hAnsi="Arial"/>
          <w:sz w:val="19"/>
          <w:szCs w:val="19"/>
          <w:color w:val="auto"/>
        </w:rPr>
        <w:t>,</w:t>
      </w:r>
    </w:p>
    <w:p>
      <w:pPr>
        <w:spacing w:after="0" w:line="43" w:lineRule="exact"/>
        <w:rPr>
          <w:sz w:val="20"/>
          <w:szCs w:val="20"/>
          <w:color w:val="auto"/>
        </w:rPr>
      </w:pPr>
    </w:p>
    <w:p>
      <w:pPr>
        <w:ind w:left="320" w:hanging="312"/>
        <w:spacing w:after="0"/>
        <w:tabs>
          <w:tab w:leader="none" w:pos="320" w:val="left"/>
        </w:tabs>
        <w:numPr>
          <w:ilvl w:val="0"/>
          <w:numId w:val="190"/>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(c)</w:t>
      </w:r>
      <w:r>
        <w:rPr>
          <w:rFonts w:ascii="Arial" w:cs="Arial" w:eastAsia="Arial" w:hAnsi="Arial"/>
          <w:sz w:val="22"/>
          <w:szCs w:val="22"/>
          <w:color w:val="auto"/>
        </w:rPr>
        <w:t>, the following percentages with respect to such Portfolio Investment:</w:t>
      </w:r>
    </w:p>
    <w:p>
      <w:pPr>
        <w:spacing w:after="0" w:line="159" w:lineRule="exact"/>
        <w:rPr>
          <w:sz w:val="20"/>
          <w:szCs w:val="20"/>
          <w:color w:val="auto"/>
        </w:rPr>
      </w:pPr>
    </w:p>
    <w:tbl>
      <w:tblPr>
        <w:tblLayout w:type="fixed"/>
        <w:tblInd w:w="980" w:type="dxa"/>
        <w:tblCellMar>
          <w:top w:w="0" w:type="dxa"/>
          <w:left w:w="0" w:type="dxa"/>
          <w:bottom w:w="0" w:type="dxa"/>
          <w:right w:w="0" w:type="dxa"/>
        </w:tblCellMar>
      </w:tblPr>
      <w:tr>
        <w:trPr>
          <w:trHeight w:val="253"/>
        </w:trPr>
        <w:tc>
          <w:tcPr>
            <w:tcW w:w="2260" w:type="dxa"/>
            <w:vAlign w:val="bottom"/>
          </w:tcPr>
          <w:p>
            <w:pPr>
              <w:spacing w:after="0"/>
              <w:rPr>
                <w:sz w:val="21"/>
                <w:szCs w:val="21"/>
                <w:color w:val="auto"/>
              </w:rPr>
            </w:pPr>
          </w:p>
        </w:tc>
        <w:tc>
          <w:tcPr>
            <w:tcW w:w="1780" w:type="dxa"/>
            <w:vAlign w:val="bottom"/>
          </w:tcPr>
          <w:p>
            <w:pPr>
              <w:spacing w:after="0"/>
              <w:rPr>
                <w:sz w:val="20"/>
                <w:szCs w:val="20"/>
                <w:color w:val="auto"/>
              </w:rPr>
            </w:pPr>
            <w:r>
              <w:rPr>
                <w:rFonts w:ascii="Arial" w:cs="Arial" w:eastAsia="Arial" w:hAnsi="Arial"/>
                <w:sz w:val="22"/>
                <w:szCs w:val="22"/>
                <w:color w:val="auto"/>
                <w:w w:val="90"/>
              </w:rPr>
              <w:t>Portfolio Investment</w:t>
            </w:r>
          </w:p>
        </w:tc>
        <w:tc>
          <w:tcPr>
            <w:tcW w:w="276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Arial" w:cs="Arial" w:eastAsia="Arial" w:hAnsi="Arial"/>
                <w:sz w:val="22"/>
                <w:szCs w:val="22"/>
                <w:color w:val="auto"/>
              </w:rPr>
              <w:t>Quoted</w:t>
            </w:r>
          </w:p>
        </w:tc>
        <w:tc>
          <w:tcPr>
            <w:tcW w:w="840" w:type="dxa"/>
            <w:vAlign w:val="bottom"/>
          </w:tcPr>
          <w:p>
            <w:pPr>
              <w:jc w:val="center"/>
              <w:spacing w:after="0"/>
              <w:rPr>
                <w:sz w:val="20"/>
                <w:szCs w:val="20"/>
                <w:color w:val="auto"/>
              </w:rPr>
            </w:pPr>
            <w:r>
              <w:rPr>
                <w:rFonts w:ascii="Arial" w:cs="Arial" w:eastAsia="Arial" w:hAnsi="Arial"/>
                <w:sz w:val="22"/>
                <w:szCs w:val="22"/>
                <w:color w:val="auto"/>
                <w:w w:val="88"/>
              </w:rPr>
              <w:t>Unquoted</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00" w:type="dxa"/>
            <w:vAlign w:val="bottom"/>
            <w:gridSpan w:val="3"/>
          </w:tcPr>
          <w:p>
            <w:pPr>
              <w:spacing w:after="0" w:line="216" w:lineRule="exact"/>
              <w:rPr>
                <w:sz w:val="20"/>
                <w:szCs w:val="20"/>
                <w:color w:val="auto"/>
              </w:rPr>
            </w:pPr>
            <w:r>
              <w:rPr>
                <w:rFonts w:ascii="Arial" w:cs="Arial" w:eastAsia="Arial" w:hAnsi="Arial"/>
                <w:sz w:val="22"/>
                <w:szCs w:val="22"/>
                <w:color w:val="auto"/>
              </w:rPr>
              <w:t>Cash, Cash Equivalents and</w:t>
            </w:r>
          </w:p>
        </w:tc>
        <w:tc>
          <w:tcPr>
            <w:tcW w:w="620" w:type="dxa"/>
            <w:vAlign w:val="bottom"/>
            <w:vMerge w:val="restart"/>
          </w:tcPr>
          <w:p>
            <w:pPr>
              <w:jc w:val="center"/>
              <w:spacing w:after="0"/>
              <w:rPr>
                <w:sz w:val="20"/>
                <w:szCs w:val="20"/>
                <w:color w:val="auto"/>
              </w:rPr>
            </w:pPr>
            <w:r>
              <w:rPr>
                <w:rFonts w:ascii="Arial" w:cs="Arial" w:eastAsia="Arial" w:hAnsi="Arial"/>
                <w:sz w:val="22"/>
                <w:szCs w:val="22"/>
                <w:color w:val="auto"/>
                <w:w w:val="88"/>
              </w:rPr>
              <w:t>100%</w:t>
            </w:r>
          </w:p>
        </w:tc>
        <w:tc>
          <w:tcPr>
            <w:tcW w:w="122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Arial" w:cs="Arial" w:eastAsia="Arial" w:hAnsi="Arial"/>
                <w:sz w:val="22"/>
                <w:szCs w:val="22"/>
                <w:color w:val="auto"/>
                <w:w w:val="87"/>
              </w:rPr>
              <w:t>n.a.</w:t>
            </w:r>
          </w:p>
        </w:tc>
        <w:tc>
          <w:tcPr>
            <w:tcW w:w="0" w:type="dxa"/>
            <w:vAlign w:val="bottom"/>
          </w:tcPr>
          <w:p>
            <w:pPr>
              <w:spacing w:after="0"/>
              <w:rPr>
                <w:sz w:val="1"/>
                <w:szCs w:val="1"/>
                <w:color w:val="auto"/>
              </w:rPr>
            </w:pPr>
          </w:p>
        </w:tc>
      </w:tr>
      <w:tr>
        <w:trPr>
          <w:trHeight w:val="243"/>
        </w:trPr>
        <w:tc>
          <w:tcPr>
            <w:tcW w:w="6800" w:type="dxa"/>
            <w:vAlign w:val="bottom"/>
            <w:gridSpan w:val="3"/>
          </w:tcPr>
          <w:p>
            <w:pPr>
              <w:ind w:left="160"/>
              <w:spacing w:after="0" w:line="243" w:lineRule="exact"/>
              <w:rPr>
                <w:sz w:val="20"/>
                <w:szCs w:val="20"/>
                <w:color w:val="auto"/>
              </w:rPr>
            </w:pPr>
            <w:r>
              <w:rPr>
                <w:rFonts w:ascii="Arial" w:cs="Arial" w:eastAsia="Arial" w:hAnsi="Arial"/>
                <w:sz w:val="22"/>
                <w:szCs w:val="22"/>
                <w:color w:val="auto"/>
              </w:rPr>
              <w:t>Short-Term U.S. Government Securities</w:t>
            </w:r>
          </w:p>
        </w:tc>
        <w:tc>
          <w:tcPr>
            <w:tcW w:w="620" w:type="dxa"/>
            <w:vAlign w:val="bottom"/>
            <w:vMerge w:val="continue"/>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Long-Term U.S. Government Securities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95%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87"/>
              </w:rPr>
              <w:t>n.a.</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First Lien Bank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85%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75%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Unitranche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80%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70%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Second Lien Bank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75%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65%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Cash Pay High Yield Securities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70%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60%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Cash Pay Mezzanine Investments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65%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55%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Non-Cash Pay High Yield Securities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60%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50%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Non-Cash Pay Mezzanine Investments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55%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45%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First Lien Bank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45%</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45%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Unitranche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40%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Second Lien Bank Loans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40%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35%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High Yield Securities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30%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Mezzanine Investments</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25%</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Performing Common Equity</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86"/>
              </w:rPr>
              <w:t>30%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90"/>
              </w:rPr>
              <w:t>20%</w:t>
            </w:r>
          </w:p>
        </w:tc>
        <w:tc>
          <w:tcPr>
            <w:tcW w:w="0" w:type="dxa"/>
            <w:vAlign w:val="bottom"/>
          </w:tcPr>
          <w:p>
            <w:pPr>
              <w:spacing w:after="0"/>
              <w:rPr>
                <w:sz w:val="1"/>
                <w:szCs w:val="1"/>
                <w:color w:val="auto"/>
              </w:rPr>
            </w:pPr>
          </w:p>
        </w:tc>
      </w:tr>
      <w:tr>
        <w:trPr>
          <w:trHeight w:val="243"/>
        </w:trPr>
        <w:tc>
          <w:tcPr>
            <w:tcW w:w="6800" w:type="dxa"/>
            <w:vAlign w:val="bottom"/>
            <w:gridSpan w:val="3"/>
          </w:tcPr>
          <w:p>
            <w:pPr>
              <w:spacing w:after="0" w:line="243" w:lineRule="exact"/>
              <w:rPr>
                <w:sz w:val="20"/>
                <w:szCs w:val="20"/>
                <w:color w:val="auto"/>
              </w:rPr>
            </w:pPr>
            <w:r>
              <w:rPr>
                <w:rFonts w:ascii="Arial" w:cs="Arial" w:eastAsia="Arial" w:hAnsi="Arial"/>
                <w:sz w:val="22"/>
                <w:szCs w:val="22"/>
                <w:color w:val="auto"/>
              </w:rPr>
              <w:t>Non-Performing Common Equity</w:t>
            </w:r>
          </w:p>
        </w:tc>
        <w:tc>
          <w:tcPr>
            <w:tcW w:w="620" w:type="dxa"/>
            <w:vAlign w:val="bottom"/>
          </w:tcPr>
          <w:p>
            <w:pPr>
              <w:jc w:val="center"/>
              <w:spacing w:after="0" w:line="243" w:lineRule="exact"/>
              <w:rPr>
                <w:sz w:val="20"/>
                <w:szCs w:val="20"/>
                <w:color w:val="auto"/>
              </w:rPr>
            </w:pPr>
            <w:r>
              <w:rPr>
                <w:rFonts w:ascii="Arial" w:cs="Arial" w:eastAsia="Arial" w:hAnsi="Arial"/>
                <w:sz w:val="22"/>
                <w:szCs w:val="22"/>
                <w:color w:val="auto"/>
                <w:w w:val="94"/>
              </w:rPr>
              <w:t>0%</w:t>
            </w:r>
          </w:p>
        </w:tc>
        <w:tc>
          <w:tcPr>
            <w:tcW w:w="122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Arial" w:cs="Arial" w:eastAsia="Arial" w:hAnsi="Arial"/>
                <w:sz w:val="22"/>
                <w:szCs w:val="22"/>
                <w:color w:val="auto"/>
                <w:w w:val="87"/>
              </w:rPr>
              <w:t>0%</w:t>
            </w:r>
          </w:p>
        </w:tc>
        <w:tc>
          <w:tcPr>
            <w:tcW w:w="0" w:type="dxa"/>
            <w:vAlign w:val="bottom"/>
          </w:tcPr>
          <w:p>
            <w:pPr>
              <w:spacing w:after="0"/>
              <w:rPr>
                <w:sz w:val="1"/>
                <w:szCs w:val="1"/>
                <w:color w:val="auto"/>
              </w:rPr>
            </w:pPr>
          </w:p>
        </w:tc>
      </w:tr>
      <w:tr>
        <w:trPr>
          <w:trHeight w:val="274"/>
        </w:trPr>
        <w:tc>
          <w:tcPr>
            <w:tcW w:w="6800" w:type="dxa"/>
            <w:vAlign w:val="bottom"/>
            <w:gridSpan w:val="3"/>
          </w:tcPr>
          <w:p>
            <w:pPr>
              <w:spacing w:after="0"/>
              <w:rPr>
                <w:sz w:val="20"/>
                <w:szCs w:val="20"/>
                <w:color w:val="auto"/>
              </w:rPr>
            </w:pPr>
            <w:r>
              <w:rPr>
                <w:rFonts w:ascii="Arial" w:cs="Arial" w:eastAsia="Arial" w:hAnsi="Arial"/>
                <w:sz w:val="22"/>
                <w:szCs w:val="22"/>
                <w:color w:val="auto"/>
              </w:rPr>
              <w:t>Structured Finance Obligations and Finance Leases</w:t>
            </w:r>
          </w:p>
        </w:tc>
        <w:tc>
          <w:tcPr>
            <w:tcW w:w="620" w:type="dxa"/>
            <w:vAlign w:val="bottom"/>
          </w:tcPr>
          <w:p>
            <w:pPr>
              <w:jc w:val="center"/>
              <w:spacing w:after="0"/>
              <w:rPr>
                <w:sz w:val="20"/>
                <w:szCs w:val="20"/>
                <w:color w:val="auto"/>
              </w:rPr>
            </w:pPr>
            <w:r>
              <w:rPr>
                <w:rFonts w:ascii="Arial" w:cs="Arial" w:eastAsia="Arial" w:hAnsi="Arial"/>
                <w:sz w:val="22"/>
                <w:szCs w:val="22"/>
                <w:color w:val="auto"/>
                <w:w w:val="94"/>
              </w:rPr>
              <w:t>0%</w:t>
            </w:r>
          </w:p>
        </w:tc>
        <w:tc>
          <w:tcPr>
            <w:tcW w:w="12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22"/>
                <w:szCs w:val="22"/>
                <w:color w:val="auto"/>
                <w:w w:val="87"/>
              </w:rPr>
              <w:t>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Loans</w:t>
      </w:r>
      <w:r>
        <w:rPr>
          <w:rFonts w:ascii="Arial" w:cs="Arial" w:eastAsia="Arial" w:hAnsi="Arial"/>
          <w:sz w:val="22"/>
          <w:szCs w:val="22"/>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85"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w:t>
      </w:r>
    </w:p>
    <w:p>
      <w:pPr>
        <w:spacing w:after="0" w:line="21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8" w:name="page189"/>
    <w:bookmarkEnd w:id="188"/>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Credit Agreement.</w:t>
      </w:r>
    </w:p>
    <w:p>
      <w:pPr>
        <w:spacing w:after="0" w:line="20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Bank Loan</w:t>
      </w:r>
      <w:r>
        <w:rPr>
          <w:rFonts w:ascii="Arial" w:cs="Arial" w:eastAsia="Arial" w:hAnsi="Arial"/>
          <w:sz w:val="22"/>
          <w:szCs w:val="22"/>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 For the avoidance of doubt, an Obligor’s investment in the “first-out” portion (as defined in the definition of Unitranche Loan) of a First Lien Bank Loan shall be treated as a First Lien Bank Loan for purposes of determining the applicable Advance Rate for such portion of such Portfolio Investment.</w:t>
      </w:r>
    </w:p>
    <w:p>
      <w:pPr>
        <w:spacing w:after="0" w:line="188"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High Yield Securities</w:t>
      </w:r>
      <w:r>
        <w:rPr>
          <w:rFonts w:ascii="Arial" w:cs="Arial" w:eastAsia="Arial" w:hAnsi="Arial"/>
          <w:sz w:val="22"/>
          <w:szCs w:val="22"/>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85"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Long-Term U.S. Government Securities</w:t>
      </w:r>
      <w:r>
        <w:rPr>
          <w:rFonts w:ascii="Arial" w:cs="Arial" w:eastAsia="Arial" w:hAnsi="Arial"/>
          <w:sz w:val="22"/>
          <w:szCs w:val="22"/>
          <w:color w:val="auto"/>
        </w:rPr>
        <w:t>” means U.S. Government Securities maturing more than one year from the applicable date of determination.</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Mezzanine Investments</w:t>
      </w:r>
      <w:r>
        <w:rPr>
          <w:rFonts w:ascii="Arial" w:cs="Arial" w:eastAsia="Arial" w:hAnsi="Arial"/>
          <w:sz w:val="22"/>
          <w:szCs w:val="22"/>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87"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Common Equity</w:t>
      </w:r>
      <w:r>
        <w:rPr>
          <w:rFonts w:ascii="Arial" w:cs="Arial" w:eastAsia="Arial" w:hAnsi="Arial"/>
          <w:sz w:val="22"/>
          <w:szCs w:val="22"/>
          <w:color w:val="auto"/>
        </w:rPr>
        <w:t>” means Capital Stock (other than Preferred Stock) and warrants of an issuer having any debt outstanding that is non-Performing.</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First Lien Bank Loans</w:t>
      </w:r>
      <w:r>
        <w:rPr>
          <w:rFonts w:ascii="Arial" w:cs="Arial" w:eastAsia="Arial" w:hAnsi="Arial"/>
          <w:sz w:val="19"/>
          <w:szCs w:val="19"/>
          <w:color w:val="auto"/>
        </w:rPr>
        <w:t>” means First Lien Bank Loans other than Performing First Lien Bank</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Loans.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High Yield Securities</w:t>
      </w:r>
      <w:r>
        <w:rPr>
          <w:rFonts w:ascii="Arial" w:cs="Arial" w:eastAsia="Arial" w:hAnsi="Arial"/>
          <w:sz w:val="21"/>
          <w:szCs w:val="21"/>
          <w:color w:val="auto"/>
        </w:rPr>
        <w:t>” means High Yield Securities other than Performing High Yield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Securities.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Non-Performing Mezzanine Investments</w:t>
      </w:r>
      <w:r>
        <w:rPr>
          <w:rFonts w:ascii="Arial" w:cs="Arial" w:eastAsia="Arial" w:hAnsi="Arial"/>
          <w:sz w:val="19"/>
          <w:szCs w:val="19"/>
          <w:color w:val="auto"/>
        </w:rPr>
        <w:t>” means Mezzanine Investments other than Performing Mezzanine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Investments.</w:t>
      </w:r>
    </w:p>
    <w:p>
      <w:pPr>
        <w:spacing w:after="0" w:line="188"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Portfolio Investment</w:t>
      </w:r>
      <w:r>
        <w:rPr>
          <w:rFonts w:ascii="Arial" w:cs="Arial" w:eastAsia="Arial" w:hAnsi="Arial"/>
          <w:sz w:val="22"/>
          <w:szCs w:val="22"/>
          <w:color w:val="auto"/>
        </w:rPr>
        <w:t>” means Portfolio Investments for which the issuer is, at the time of determination, in default of any payment obligations of principal or interest in respect thereof after the expiration of any applicable grace period.</w:t>
      </w:r>
    </w:p>
    <w:p>
      <w:pPr>
        <w:spacing w:after="0" w:line="18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Non-Performing Second Lien Bank Loans</w:t>
      </w:r>
      <w:r>
        <w:rPr>
          <w:rFonts w:ascii="Arial" w:cs="Arial" w:eastAsia="Arial" w:hAnsi="Arial"/>
          <w:sz w:val="22"/>
          <w:szCs w:val="22"/>
          <w:color w:val="auto"/>
        </w:rPr>
        <w:t>” means Second Lien Bank Loans other than Performing Second Lien Bank Loans.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Non-Performing Unitranche Loans</w:t>
      </w:r>
      <w:r>
        <w:rPr>
          <w:rFonts w:ascii="Arial" w:cs="Arial" w:eastAsia="Arial" w:hAnsi="Arial"/>
          <w:sz w:val="21"/>
          <w:szCs w:val="21"/>
          <w:color w:val="auto"/>
        </w:rPr>
        <w:t>” means Unitranche Loans other than Performing Unitranche Loans.</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9" w:name="page190"/>
    <w:bookmarkEnd w:id="189"/>
    <w:p>
      <w:pPr>
        <w:jc w:val="both"/>
        <w:ind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Performing</w:t>
      </w:r>
      <w:r>
        <w:rPr>
          <w:rFonts w:ascii="Arial" w:cs="Arial" w:eastAsia="Arial" w:hAnsi="Arial"/>
          <w:sz w:val="19"/>
          <w:szCs w:val="19"/>
          <w:color w:val="auto"/>
        </w:rPr>
        <w:t>” means (a) with respect to any Portfolio Investment that is debt (or any other debt), the issuer of such Portfolio Investment (or other debt) is, at the time of determination, not in default of any payment obligations of principal or interest in respect thereof after the receipt of any notice and/or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47"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High Yield Securities</w:t>
      </w:r>
      <w:r>
        <w:rPr>
          <w:rFonts w:ascii="Arial" w:cs="Arial" w:eastAsia="Arial" w:hAnsi="Arial"/>
          <w:sz w:val="21"/>
          <w:szCs w:val="21"/>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9" w:lineRule="exact"/>
        <w:rPr>
          <w:sz w:val="20"/>
          <w:szCs w:val="20"/>
          <w:color w:val="auto"/>
        </w:rPr>
      </w:pPr>
    </w:p>
    <w:p>
      <w:pPr>
        <w:jc w:val="both"/>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Performing Cash Pay Mezzanine Investments</w:t>
      </w:r>
      <w:r>
        <w:rPr>
          <w:rFonts w:ascii="Arial" w:cs="Arial" w:eastAsia="Arial" w:hAnsi="Arial"/>
          <w:sz w:val="21"/>
          <w:szCs w:val="21"/>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169"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Common Equity</w:t>
      </w:r>
      <w:r>
        <w:rPr>
          <w:rFonts w:ascii="Arial" w:cs="Arial" w:eastAsia="Arial" w:hAnsi="Arial"/>
          <w:sz w:val="22"/>
          <w:szCs w:val="22"/>
          <w:color w:val="auto"/>
        </w:rPr>
        <w:t>” means Capital Stock (other than Preferred Stock) and warrants of an issuer all of whose outstanding debt is Performing.</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First Lien Bank Loans</w:t>
      </w:r>
      <w:r>
        <w:rPr>
          <w:rFonts w:ascii="Arial" w:cs="Arial" w:eastAsia="Arial" w:hAnsi="Arial"/>
          <w:sz w:val="22"/>
          <w:szCs w:val="22"/>
          <w:color w:val="auto"/>
        </w:rPr>
        <w:t>” means First Lien Bank Loans which are Performing.</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High Yield Securities</w:t>
      </w:r>
      <w:r>
        <w:rPr>
          <w:rFonts w:ascii="Arial" w:cs="Arial" w:eastAsia="Arial" w:hAnsi="Arial"/>
          <w:sz w:val="22"/>
          <w:szCs w:val="22"/>
          <w:color w:val="auto"/>
        </w:rPr>
        <w:t>” means Performing High Yield Securities other than Performing Cash Pay High Yield Securities.</w:t>
      </w:r>
    </w:p>
    <w:p>
      <w:pPr>
        <w:spacing w:after="0" w:line="175"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Non-Cash Pay Mezzanine Investments</w:t>
      </w:r>
      <w:r>
        <w:rPr>
          <w:rFonts w:ascii="Arial" w:cs="Arial" w:eastAsia="Arial" w:hAnsi="Arial"/>
          <w:sz w:val="22"/>
          <w:szCs w:val="22"/>
          <w:color w:val="auto"/>
        </w:rPr>
        <w:t>” means Performing Mezzanine Investments other than Performing Cash Pay Mezzanine Investments.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Second Lien Bank Loans</w:t>
      </w:r>
      <w:r>
        <w:rPr>
          <w:rFonts w:ascii="Arial" w:cs="Arial" w:eastAsia="Arial" w:hAnsi="Arial"/>
          <w:sz w:val="22"/>
          <w:szCs w:val="22"/>
          <w:color w:val="auto"/>
        </w:rPr>
        <w:t>” means Second Lien Bank Loans which are Performing.</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Performing Unitranche Loans</w:t>
      </w:r>
      <w:r>
        <w:rPr>
          <w:rFonts w:ascii="Arial" w:cs="Arial" w:eastAsia="Arial" w:hAnsi="Arial"/>
          <w:sz w:val="22"/>
          <w:szCs w:val="22"/>
          <w:color w:val="auto"/>
        </w:rPr>
        <w:t>” means Unitranche Loans which are Performing.</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Bank Loan</w:t>
      </w:r>
      <w:r>
        <w:rPr>
          <w:rFonts w:ascii="Arial" w:cs="Arial" w:eastAsia="Arial" w:hAnsi="Arial"/>
          <w:sz w:val="22"/>
          <w:szCs w:val="22"/>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86"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w:t>
      </w:r>
      <w:r>
        <w:rPr>
          <w:rFonts w:ascii="Arial" w:cs="Arial" w:eastAsia="Arial" w:hAnsi="Arial"/>
          <w:sz w:val="22"/>
          <w:szCs w:val="22"/>
          <w:color w:val="auto"/>
        </w:rPr>
        <w:t>” means common and preferred stock, units and participations, membership interests in limited liability companies, partnership interests in partnerships, notes,</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0" w:name="page191"/>
    <w:bookmarkEnd w:id="190"/>
    <w:p>
      <w:pPr>
        <w:jc w:val="both"/>
        <w:spacing w:after="0" w:line="238" w:lineRule="auto"/>
        <w:rPr>
          <w:sz w:val="20"/>
          <w:szCs w:val="20"/>
          <w:color w:val="auto"/>
        </w:rPr>
      </w:pPr>
      <w:r>
        <w:rPr>
          <w:rFonts w:ascii="Arial" w:cs="Arial" w:eastAsia="Arial" w:hAnsi="Arial"/>
          <w:sz w:val="22"/>
          <w:szCs w:val="22"/>
          <w:color w:val="auto"/>
        </w:rPr>
        <w:t>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United States Securities Act of 1933, as amended.</w:t>
      </w:r>
    </w:p>
    <w:p>
      <w:pPr>
        <w:spacing w:after="0" w:line="206"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Short-Term U.S. Government Securities</w:t>
      </w:r>
      <w:r>
        <w:rPr>
          <w:rFonts w:ascii="Arial" w:cs="Arial" w:eastAsia="Arial" w:hAnsi="Arial"/>
          <w:sz w:val="22"/>
          <w:szCs w:val="22"/>
          <w:color w:val="auto"/>
        </w:rPr>
        <w:t>” means U.S. Government Securities maturing within one year of the applicable date of determination.</w:t>
      </w:r>
    </w:p>
    <w:p>
      <w:pPr>
        <w:spacing w:after="0" w:line="175"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Structured Finance Obligation</w:t>
      </w:r>
      <w:r>
        <w:rPr>
          <w:rFonts w:ascii="Arial" w:cs="Arial" w:eastAsia="Arial" w:hAnsi="Arial"/>
          <w:sz w:val="22"/>
          <w:szCs w:val="22"/>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Government Securities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Unitranche Loan</w:t>
      </w:r>
      <w:r>
        <w:rPr>
          <w:rFonts w:ascii="Arial" w:cs="Arial" w:eastAsia="Arial" w:hAnsi="Arial"/>
          <w:sz w:val="22"/>
          <w:szCs w:val="22"/>
          <w:color w:val="auto"/>
        </w:rPr>
        <w:t>” means the “last-out” portion of a Bank Loan that is a First Lien Bank Loan, a portion of which is, in effect, subject to superpriority rights (the “first-out” portion) of other lenders with respect to such lenders’ right to receive distributions of collateral proceeds following an event of default (such portion, a “last-out” portion). An Obligor’s investment in the last-out portion shall be treated as a Unitranche Loan for purposes of determining the applicable Advance Rate for such Portfolio Investment under this Agreement.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means, with respect to any Portfolio Investment, the lower of:</w:t>
      </w:r>
    </w:p>
    <w:p>
      <w:pPr>
        <w:spacing w:after="0" w:line="206" w:lineRule="exact"/>
        <w:rPr>
          <w:sz w:val="20"/>
          <w:szCs w:val="20"/>
          <w:color w:val="auto"/>
        </w:rPr>
      </w:pPr>
    </w:p>
    <w:p>
      <w:pPr>
        <w:ind w:left="1760" w:hanging="255"/>
        <w:spacing w:after="0"/>
        <w:tabs>
          <w:tab w:leader="none" w:pos="17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the most recent internal market value as determined pursuant to </w:t>
      </w:r>
      <w:r>
        <w:rPr>
          <w:rFonts w:ascii="Arial" w:cs="Arial" w:eastAsia="Arial" w:hAnsi="Arial"/>
          <w:sz w:val="22"/>
          <w:szCs w:val="22"/>
          <w:u w:val="single" w:color="auto"/>
          <w:color w:val="auto"/>
        </w:rPr>
        <w:t>Section 5.12(b)(ii)(C)</w:t>
      </w: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1820" w:hanging="315"/>
        <w:spacing w:after="0"/>
        <w:tabs>
          <w:tab w:leader="none" w:pos="182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the most recent external market value as determined pursuant to </w:t>
      </w:r>
      <w:r>
        <w:rPr>
          <w:rFonts w:ascii="Arial" w:cs="Arial" w:eastAsia="Arial" w:hAnsi="Arial"/>
          <w:sz w:val="22"/>
          <w:szCs w:val="22"/>
          <w:u w:val="single" w:color="auto"/>
          <w:color w:val="auto"/>
        </w:rPr>
        <w:t>Sections 5.12(b)(ii)(A)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5040"/>
        <w:spacing w:after="0"/>
        <w:rPr>
          <w:rFonts w:ascii="Arial" w:cs="Arial" w:eastAsia="Arial" w:hAnsi="Arial"/>
          <w:sz w:val="22"/>
          <w:szCs w:val="22"/>
          <w:color w:val="auto"/>
        </w:rPr>
      </w:pPr>
      <w:r>
        <w:rPr>
          <w:rFonts w:ascii="Arial" w:cs="Arial" w:eastAsia="Arial" w:hAnsi="Arial"/>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jc w:val="both"/>
        <w:ind w:right="20" w:firstLine="1497"/>
        <w:spacing w:after="0" w:line="297" w:lineRule="auto"/>
        <w:rPr>
          <w:sz w:val="20"/>
          <w:szCs w:val="20"/>
          <w:color w:val="auto"/>
        </w:rPr>
      </w:pPr>
      <w:r>
        <w:rPr>
          <w:rFonts w:ascii="Arial" w:cs="Arial" w:eastAsia="Arial" w:hAnsi="Arial"/>
          <w:sz w:val="19"/>
          <w:szCs w:val="19"/>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34" w:lineRule="exact"/>
        <w:rPr>
          <w:sz w:val="20"/>
          <w:szCs w:val="20"/>
          <w:color w:val="auto"/>
        </w:rPr>
      </w:pPr>
    </w:p>
    <w:p>
      <w:pPr>
        <w:jc w:val="both"/>
        <w:ind w:right="20" w:firstLine="1497"/>
        <w:spacing w:after="0" w:line="250"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Indebtedness</w:t>
      </w:r>
      <w:r>
        <w:rPr>
          <w:rFonts w:ascii="Arial" w:cs="Arial" w:eastAsia="Arial" w:hAnsi="Arial"/>
          <w:sz w:val="22"/>
          <w:szCs w:val="22"/>
          <w:color w:val="auto"/>
        </w:rPr>
        <w:t xml:space="preserve">. Subject to the last sentence of this </w:t>
      </w:r>
      <w:r>
        <w:rPr>
          <w:rFonts w:ascii="Arial" w:cs="Arial" w:eastAsia="Arial" w:hAnsi="Arial"/>
          <w:sz w:val="22"/>
          <w:szCs w:val="22"/>
          <w:u w:val="single" w:color="auto"/>
          <w:color w:val="auto"/>
        </w:rPr>
        <w:t>Section 6.01</w:t>
      </w:r>
      <w:r>
        <w:rPr>
          <w:rFonts w:ascii="Arial" w:cs="Arial" w:eastAsia="Arial" w:hAnsi="Arial"/>
          <w:sz w:val="22"/>
          <w:szCs w:val="22"/>
          <w:color w:val="auto"/>
        </w:rPr>
        <w:t>, the Borrower will not nor will it permit any of its Subsidiaries to, create, incur, assume or permit to exist any Indebtedness, except:</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113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1" w:name="page192"/>
    <w:bookmarkEnd w:id="191"/>
    <w:p>
      <w:pPr>
        <w:ind w:left="1940" w:hanging="435"/>
        <w:spacing w:after="0"/>
        <w:tabs>
          <w:tab w:leader="none" w:pos="19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Indebtedness created hereunder or under any other Loan Document;</w:t>
      </w:r>
    </w:p>
    <w:p>
      <w:pPr>
        <w:spacing w:after="0" w:line="206" w:lineRule="exact"/>
        <w:rPr>
          <w:rFonts w:ascii="Arial" w:cs="Arial" w:eastAsia="Arial" w:hAnsi="Arial"/>
          <w:sz w:val="22"/>
          <w:szCs w:val="22"/>
          <w:color w:val="auto"/>
        </w:rPr>
      </w:pPr>
    </w:p>
    <w:p>
      <w:pPr>
        <w:jc w:val="both"/>
        <w:ind w:firstLine="1505"/>
        <w:spacing w:after="0" w:line="279" w:lineRule="auto"/>
        <w:tabs>
          <w:tab w:leader="none" w:pos="192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Secured Longer-Term Indebtedness and Unsecured Longer-Term Indebtedness so long as (i) no Default or Event of Default exists at the time of the incurrence thereof, (ii) at the time of incurrence thereof, the aggregate amount of such Secured Longer-Term Indebtedness and Unsecured Longer-Term Indebtedness, taken together with other then-outstanding Indebtedness that constitutes senior securities, does not exceed the amount required to comply with the provisions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and (iii) prior to and immediately after giving effect to the incurrence of any Secured Longer-Term Indebtedness, the Covered Debt Amount does not or would not exceed the Borrowing Base then in effect;</w:t>
      </w:r>
    </w:p>
    <w:p>
      <w:pPr>
        <w:spacing w:after="0" w:line="150" w:lineRule="exact"/>
        <w:rPr>
          <w:rFonts w:ascii="Arial" w:cs="Arial" w:eastAsia="Arial" w:hAnsi="Arial"/>
          <w:sz w:val="19"/>
          <w:szCs w:val="19"/>
          <w:color w:val="auto"/>
        </w:rPr>
      </w:pPr>
    </w:p>
    <w:p>
      <w:pPr>
        <w:ind w:left="1940" w:hanging="435"/>
        <w:spacing w:after="0"/>
        <w:tabs>
          <w:tab w:leader="none" w:pos="19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Other Permitted Indebtedness;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1"/>
          <w:numId w:val="192"/>
        </w:numPr>
        <w:rPr>
          <w:rFonts w:ascii="Arial" w:cs="Arial" w:eastAsia="Arial" w:hAnsi="Arial"/>
          <w:sz w:val="22"/>
          <w:szCs w:val="22"/>
          <w:color w:val="auto"/>
        </w:rPr>
      </w:pPr>
      <w:r>
        <w:rPr>
          <w:rFonts w:ascii="Arial" w:cs="Arial" w:eastAsia="Arial" w:hAnsi="Arial"/>
          <w:sz w:val="22"/>
          <w:szCs w:val="22"/>
          <w:color w:val="auto"/>
        </w:rPr>
        <w:t>Indebtedness of Financing Subsidiaries;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1"/>
          <w:numId w:val="192"/>
        </w:numPr>
        <w:rPr>
          <w:rFonts w:ascii="Arial" w:cs="Arial" w:eastAsia="Arial" w:hAnsi="Arial"/>
          <w:sz w:val="21"/>
          <w:szCs w:val="21"/>
          <w:color w:val="auto"/>
        </w:rPr>
      </w:pPr>
      <w:r>
        <w:rPr>
          <w:rFonts w:ascii="Arial" w:cs="Arial" w:eastAsia="Arial" w:hAnsi="Arial"/>
          <w:sz w:val="21"/>
          <w:szCs w:val="21"/>
          <w:color w:val="auto"/>
        </w:rPr>
        <w:t>repurchase obligations arising in the ordinary course of business with respect to U.S. Government</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Securities;</w:t>
      </w:r>
    </w:p>
    <w:p>
      <w:pPr>
        <w:spacing w:after="0" w:line="188" w:lineRule="exact"/>
        <w:rPr>
          <w:rFonts w:ascii="Arial" w:cs="Arial" w:eastAsia="Arial" w:hAnsi="Arial"/>
          <w:sz w:val="21"/>
          <w:szCs w:val="21"/>
          <w:color w:val="auto"/>
        </w:rPr>
      </w:pPr>
    </w:p>
    <w:p>
      <w:pPr>
        <w:ind w:right="40" w:firstLine="1505"/>
        <w:spacing w:after="0" w:line="250" w:lineRule="auto"/>
        <w:tabs>
          <w:tab w:leader="none" w:pos="1929" w:val="left"/>
        </w:tabs>
        <w:numPr>
          <w:ilvl w:val="1"/>
          <w:numId w:val="192"/>
        </w:numPr>
        <w:rPr>
          <w:rFonts w:ascii="Arial" w:cs="Arial" w:eastAsia="Arial" w:hAnsi="Arial"/>
          <w:sz w:val="22"/>
          <w:szCs w:val="22"/>
          <w:color w:val="auto"/>
        </w:rPr>
      </w:pPr>
      <w:r>
        <w:rPr>
          <w:rFonts w:ascii="Arial" w:cs="Arial" w:eastAsia="Arial" w:hAnsi="Arial"/>
          <w:sz w:val="22"/>
          <w:szCs w:val="22"/>
          <w:color w:val="auto"/>
        </w:rPr>
        <w:t>obligations payable to clearing agencies, brokers or dealers in connection with the purchase or sale of securities in the ordinary course of business;</w:t>
      </w:r>
    </w:p>
    <w:p>
      <w:pPr>
        <w:spacing w:after="0" w:line="174" w:lineRule="exact"/>
        <w:rPr>
          <w:rFonts w:ascii="Arial" w:cs="Arial" w:eastAsia="Arial" w:hAnsi="Arial"/>
          <w:sz w:val="22"/>
          <w:szCs w:val="22"/>
          <w:color w:val="auto"/>
        </w:rPr>
      </w:pPr>
    </w:p>
    <w:p>
      <w:pPr>
        <w:jc w:val="both"/>
        <w:ind w:firstLine="1505"/>
        <w:spacing w:after="0" w:line="273" w:lineRule="auto"/>
        <w:tabs>
          <w:tab w:leader="none" w:pos="1929" w:val="left"/>
        </w:tabs>
        <w:numPr>
          <w:ilvl w:val="1"/>
          <w:numId w:val="192"/>
        </w:numPr>
        <w:rPr>
          <w:rFonts w:ascii="Arial" w:cs="Arial" w:eastAsia="Arial" w:hAnsi="Arial"/>
          <w:sz w:val="19"/>
          <w:szCs w:val="19"/>
          <w:color w:val="auto"/>
        </w:rPr>
      </w:pPr>
      <w:r>
        <w:rPr>
          <w:rFonts w:ascii="Arial" w:cs="Arial" w:eastAsia="Arial" w:hAnsi="Arial"/>
          <w:sz w:val="19"/>
          <w:szCs w:val="19"/>
          <w:color w:val="auto"/>
        </w:rPr>
        <w:t>Secured Shorter-Term Indebtedness and Unsecured Shorter-Term Indebtedness so long as (i) no Default or Event of Default exists at the time of the incurrence thereof, (ii) at the time of incurrence thereof, the aggregate amount (determined at the time of the incurrence of such Indebtedness) of such Indebtedness does not exceed 5% of Borrower Net Worth,</w:t>
      </w:r>
    </w:p>
    <w:p>
      <w:pPr>
        <w:spacing w:after="0" w:line="1" w:lineRule="exact"/>
        <w:rPr>
          <w:rFonts w:ascii="Arial" w:cs="Arial" w:eastAsia="Arial" w:hAnsi="Arial"/>
          <w:sz w:val="19"/>
          <w:szCs w:val="19"/>
          <w:color w:val="auto"/>
        </w:rPr>
      </w:pPr>
    </w:p>
    <w:p>
      <w:pPr>
        <w:jc w:val="both"/>
        <w:ind w:firstLine="8"/>
        <w:spacing w:after="0" w:line="233" w:lineRule="auto"/>
        <w:tabs>
          <w:tab w:leader="none" w:pos="393" w:val="left"/>
        </w:tabs>
        <w:numPr>
          <w:ilvl w:val="0"/>
          <w:numId w:val="193"/>
        </w:numPr>
        <w:rPr>
          <w:rFonts w:ascii="Arial" w:cs="Arial" w:eastAsia="Arial" w:hAnsi="Arial"/>
          <w:sz w:val="22"/>
          <w:szCs w:val="22"/>
          <w:color w:val="auto"/>
        </w:rPr>
      </w:pPr>
      <w:r>
        <w:rPr>
          <w:rFonts w:ascii="Arial" w:cs="Arial" w:eastAsia="Arial" w:hAnsi="Arial"/>
          <w:sz w:val="22"/>
          <w:szCs w:val="22"/>
          <w:color w:val="auto"/>
        </w:rPr>
        <w:t xml:space="preserve">the aggregate amount of such Indebtedness, taken together with other then-outstanding Indebtedness that constitutes senior securities, does not exceed the amount required to comply with the provisions of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and (iv) prior to and immediately after giving effect to the incurrence of any such Indebtedness, the Covered Debt Amount does not or would not exceed the Borrowing Base then in effect;</w:t>
      </w:r>
    </w:p>
    <w:p>
      <w:pPr>
        <w:spacing w:after="0" w:line="187" w:lineRule="exact"/>
        <w:rPr>
          <w:rFonts w:ascii="Arial" w:cs="Arial" w:eastAsia="Arial" w:hAnsi="Arial"/>
          <w:sz w:val="22"/>
          <w:szCs w:val="22"/>
          <w:color w:val="auto"/>
        </w:rPr>
      </w:pPr>
    </w:p>
    <w:p>
      <w:pPr>
        <w:ind w:left="1940" w:hanging="435"/>
        <w:spacing w:after="0"/>
        <w:tabs>
          <w:tab w:leader="none" w:pos="194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obligations (including Guarantees) in respect of Standard Securitization Undertakings;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Permitted SBIC Guarantees and any SBIC Equity Commitment or analogous commitment;</w:t>
      </w:r>
    </w:p>
    <w:p>
      <w:pPr>
        <w:spacing w:after="0" w:line="206" w:lineRule="exact"/>
        <w:rPr>
          <w:rFonts w:ascii="Arial" w:cs="Arial" w:eastAsia="Arial" w:hAnsi="Arial"/>
          <w:sz w:val="22"/>
          <w:szCs w:val="22"/>
          <w:color w:val="auto"/>
        </w:rPr>
      </w:pPr>
    </w:p>
    <w:p>
      <w:pPr>
        <w:jc w:val="both"/>
        <w:ind w:firstLine="1505"/>
        <w:spacing w:after="0" w:line="279" w:lineRule="auto"/>
        <w:tabs>
          <w:tab w:leader="none" w:pos="1929"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Special Permitted Indebtedness so long as (i) no Default exists at the time of the incurrence 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and (iv) prior to and immediately after giving effect to the incurrence of any such Indebtedness, the Covered Debt Amount does not or would not exceed the Borrowing Base then in effect;</w:t>
      </w:r>
    </w:p>
    <w:p>
      <w:pPr>
        <w:spacing w:after="0" w:line="150" w:lineRule="exact"/>
        <w:rPr>
          <w:rFonts w:ascii="Arial" w:cs="Arial" w:eastAsia="Arial" w:hAnsi="Arial"/>
          <w:sz w:val="19"/>
          <w:szCs w:val="19"/>
          <w:color w:val="auto"/>
        </w:rPr>
      </w:pPr>
    </w:p>
    <w:p>
      <w:pPr>
        <w:ind w:right="100" w:firstLine="1505"/>
        <w:spacing w:after="0" w:line="250" w:lineRule="auto"/>
        <w:tabs>
          <w:tab w:leader="none" w:pos="1929" w:val="left"/>
        </w:tabs>
        <w:numPr>
          <w:ilvl w:val="1"/>
          <w:numId w:val="193"/>
        </w:numPr>
        <w:rPr>
          <w:rFonts w:ascii="Arial" w:cs="Arial" w:eastAsia="Arial" w:hAnsi="Arial"/>
          <w:sz w:val="22"/>
          <w:szCs w:val="22"/>
          <w:color w:val="auto"/>
        </w:rPr>
      </w:pPr>
      <w:r>
        <w:rPr>
          <w:rFonts w:ascii="Arial" w:cs="Arial" w:eastAsia="Arial" w:hAnsi="Arial"/>
          <w:sz w:val="22"/>
          <w:szCs w:val="22"/>
          <w:color w:val="auto"/>
        </w:rPr>
        <w:t>Permitted Amortizing Unsecured Longer-Term Indebtedness constituting Unsecured Longer-Term Indebtedness so long as (i) no Default exists at the time of the incurrence</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114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2" w:name="page193"/>
    <w:bookmarkEnd w:id="192"/>
    <w:p>
      <w:pPr>
        <w:jc w:val="both"/>
        <w:spacing w:after="0" w:line="282" w:lineRule="auto"/>
        <w:rPr>
          <w:sz w:val="20"/>
          <w:szCs w:val="20"/>
          <w:color w:val="auto"/>
        </w:rPr>
      </w:pPr>
      <w:r>
        <w:rPr>
          <w:rFonts w:ascii="Arial" w:cs="Arial" w:eastAsia="Arial" w:hAnsi="Arial"/>
          <w:sz w:val="19"/>
          <w:szCs w:val="19"/>
          <w:color w:val="auto"/>
        </w:rPr>
        <w:t xml:space="preserve">thereof, (ii) the aggregate amount (determined at the time of the incurrence of such Indebtedness) of such Indebtedness does not exceed $150,000,000, (iii) at the time of incurrence thereof, the aggregate amount of such Indebtedness, taken together with other then-outstanding Indebtedness that constitutes senior securities, does not exceed the amount required to comply with the provisions of </w:t>
      </w:r>
      <w:r>
        <w:rPr>
          <w:rFonts w:ascii="Arial" w:cs="Arial" w:eastAsia="Arial" w:hAnsi="Arial"/>
          <w:sz w:val="19"/>
          <w:szCs w:val="19"/>
          <w:u w:val="single" w:color="auto"/>
          <w:color w:val="auto"/>
        </w:rPr>
        <w:t>Sections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(d)</w:t>
      </w:r>
      <w:r>
        <w:rPr>
          <w:rFonts w:ascii="Arial" w:cs="Arial" w:eastAsia="Arial" w:hAnsi="Arial"/>
          <w:sz w:val="19"/>
          <w:szCs w:val="19"/>
          <w:color w:val="auto"/>
        </w:rPr>
        <w:t>, and (iv) prior to and immediately after giving effect to the incurrence of any such Indebtedness, the Covered Debt Amount does not or would not exceed the Borrowing Base then in effect;</w:t>
      </w:r>
    </w:p>
    <w:p>
      <w:pPr>
        <w:spacing w:after="0" w:line="147" w:lineRule="exact"/>
        <w:rPr>
          <w:sz w:val="20"/>
          <w:szCs w:val="20"/>
          <w:color w:val="auto"/>
        </w:rPr>
      </w:pPr>
    </w:p>
    <w:p>
      <w:pPr>
        <w:ind w:left="1940" w:hanging="435"/>
        <w:spacing w:after="0"/>
        <w:tabs>
          <w:tab w:leader="none" w:pos="194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other Indebtedness not to exceed $10,000,000 in the aggregate at any time; and</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guarantees of other Indebtedness otherwise permitted hereunder.</w:t>
      </w:r>
    </w:p>
    <w:p>
      <w:pPr>
        <w:spacing w:after="0" w:line="206"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 xml:space="preserve">Notwithstanding the foregoing provisions of this Section, the Borrower will not nor will it permit any of its Subsidiaries to, create, incur, assume or permit to exist any additional Indebtedness (other than Indebtedness permitted under </w:t>
      </w:r>
      <w:r>
        <w:rPr>
          <w:rFonts w:ascii="Arial" w:cs="Arial" w:eastAsia="Arial" w:hAnsi="Arial"/>
          <w:sz w:val="22"/>
          <w:szCs w:val="22"/>
          <w:u w:val="single" w:color="auto"/>
          <w:color w:val="auto"/>
        </w:rPr>
        <w:t>clauses (c)</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(f)</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w:t>
      </w:r>
      <w:r>
        <w:rPr>
          <w:rFonts w:ascii="Arial" w:cs="Arial" w:eastAsia="Arial" w:hAnsi="Arial"/>
          <w:sz w:val="22"/>
          <w:szCs w:val="22"/>
          <w:color w:val="auto"/>
        </w:rPr>
        <w:t xml:space="preserve">) unless, after giving effect to such Indebtedness, (x) Shareholders’ Equity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Secured Longer-Term Indebtedness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Unsecured Longer-Term Indebtedness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aggregate undrawn commitments with terms in excess of sixth months exceeds (y) the Value of the Portfolio Investments that cannot be converted to Cash in fewer than 10 Business Days without more than a 5% change in price.</w:t>
      </w:r>
    </w:p>
    <w:p>
      <w:pPr>
        <w:spacing w:after="0" w:line="18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Liens</w:t>
      </w:r>
      <w:r>
        <w:rPr>
          <w:rFonts w:ascii="Arial" w:cs="Arial" w:eastAsia="Arial" w:hAnsi="Arial"/>
          <w:sz w:val="22"/>
          <w:szCs w:val="22"/>
          <w:color w:val="auto"/>
        </w:rPr>
        <w:t>. The Borrower will not, nor will it permit any of its Subsidiaries to, create, incur, assume or permit to exist any Lien on any property or asset now owned or hereafter acquired by it, or assign or sell any income or revenues (including accounts receivable) or rights in respect of any thereof except:</w:t>
      </w:r>
    </w:p>
    <w:p>
      <w:pPr>
        <w:spacing w:after="0" w:line="186" w:lineRule="exact"/>
        <w:rPr>
          <w:sz w:val="20"/>
          <w:szCs w:val="20"/>
          <w:color w:val="auto"/>
        </w:rPr>
      </w:pPr>
    </w:p>
    <w:p>
      <w:pPr>
        <w:jc w:val="both"/>
        <w:ind w:firstLine="1505"/>
        <w:spacing w:after="0" w:line="236" w:lineRule="auto"/>
        <w:tabs>
          <w:tab w:leader="none" w:pos="192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any Lien on any property or asset of the Borrower or any Subsidiary existing on the Fifth Amendment Effective Date and set forth in </w:t>
      </w:r>
      <w:r>
        <w:rPr>
          <w:rFonts w:ascii="Arial" w:cs="Arial" w:eastAsia="Arial" w:hAnsi="Arial"/>
          <w:sz w:val="22"/>
          <w:szCs w:val="22"/>
          <w:u w:val="single" w:color="auto"/>
          <w:color w:val="auto"/>
        </w:rPr>
        <w:t>Part 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Schedule 3.11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no such Lien shall extend to any other property or asset of the Borrower or any of its Subsidiaries, and (ii) any such Lien shall secure only those obligations which it secures on the Fifth Amendment Effective Date and extensions, renewals and replacements thereof that do not increase the outstanding principal amount thereof;</w:t>
      </w:r>
    </w:p>
    <w:p>
      <w:pPr>
        <w:spacing w:after="0" w:line="187" w:lineRule="exact"/>
        <w:rPr>
          <w:rFonts w:ascii="Arial" w:cs="Arial" w:eastAsia="Arial" w:hAnsi="Arial"/>
          <w:sz w:val="22"/>
          <w:szCs w:val="22"/>
          <w:color w:val="auto"/>
        </w:rPr>
      </w:pPr>
    </w:p>
    <w:p>
      <w:pPr>
        <w:ind w:firstLine="1505"/>
        <w:spacing w:after="0" w:line="328" w:lineRule="auto"/>
        <w:tabs>
          <w:tab w:leader="none" w:pos="192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Liens created pursuant to this Agreement (including </w:t>
      </w:r>
      <w:r>
        <w:rPr>
          <w:rFonts w:ascii="Arial" w:cs="Arial" w:eastAsia="Arial" w:hAnsi="Arial"/>
          <w:sz w:val="19"/>
          <w:szCs w:val="19"/>
          <w:u w:val="single" w:color="auto"/>
          <w:color w:val="auto"/>
        </w:rPr>
        <w:t>Section 2.19</w:t>
      </w:r>
      <w:r>
        <w:rPr>
          <w:rFonts w:ascii="Arial" w:cs="Arial" w:eastAsia="Arial" w:hAnsi="Arial"/>
          <w:sz w:val="19"/>
          <w:szCs w:val="19"/>
          <w:color w:val="auto"/>
        </w:rPr>
        <w:t>) or any of the Security Documents (including Liens in favor of the Designated Indebtedness Holders (as defined in the Guarantee and Security Agreement));</w:t>
      </w:r>
    </w:p>
    <w:p>
      <w:pPr>
        <w:spacing w:after="0" w:line="104" w:lineRule="exact"/>
        <w:rPr>
          <w:rFonts w:ascii="Arial" w:cs="Arial" w:eastAsia="Arial" w:hAnsi="Arial"/>
          <w:sz w:val="19"/>
          <w:szCs w:val="19"/>
          <w:color w:val="auto"/>
        </w:rPr>
      </w:pPr>
    </w:p>
    <w:p>
      <w:pPr>
        <w:ind w:left="1940" w:hanging="435"/>
        <w:spacing w:after="0"/>
        <w:tabs>
          <w:tab w:leader="none" w:pos="194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Liens on the assets of a Financing Subsidiary securing obligations of such Financing Subsidiary;</w:t>
      </w:r>
    </w:p>
    <w:p>
      <w:pPr>
        <w:spacing w:after="0" w:line="217" w:lineRule="exact"/>
        <w:rPr>
          <w:rFonts w:ascii="Arial" w:cs="Arial" w:eastAsia="Arial" w:hAnsi="Arial"/>
          <w:sz w:val="21"/>
          <w:szCs w:val="21"/>
          <w:color w:val="auto"/>
        </w:rPr>
      </w:pPr>
    </w:p>
    <w:p>
      <w:pPr>
        <w:ind w:right="20" w:firstLine="1505"/>
        <w:spacing w:after="0" w:line="274" w:lineRule="auto"/>
        <w:tabs>
          <w:tab w:leader="none" w:pos="1929" w:val="left"/>
        </w:tabs>
        <w:numPr>
          <w:ilvl w:val="0"/>
          <w:numId w:val="195"/>
        </w:numPr>
        <w:rPr>
          <w:rFonts w:ascii="Arial" w:cs="Arial" w:eastAsia="Arial" w:hAnsi="Arial"/>
          <w:sz w:val="21"/>
          <w:szCs w:val="21"/>
          <w:color w:val="auto"/>
        </w:rPr>
      </w:pPr>
      <w:r>
        <w:rPr>
          <w:rFonts w:ascii="Arial" w:cs="Arial" w:eastAsia="Arial" w:hAnsi="Arial"/>
          <w:sz w:val="21"/>
          <w:szCs w:val="21"/>
          <w:color w:val="auto"/>
        </w:rPr>
        <w:t>Liens on Special Equity Interests included in the Portfolio Investments of the Borrower but only to the extent securing obligations in the manner provided in the definition of “</w:t>
      </w:r>
      <w:r>
        <w:rPr>
          <w:rFonts w:ascii="Arial" w:cs="Arial" w:eastAsia="Arial" w:hAnsi="Arial"/>
          <w:sz w:val="21"/>
          <w:szCs w:val="21"/>
          <w:u w:val="single" w:color="auto"/>
          <w:color w:val="auto"/>
        </w:rPr>
        <w:t>Special Equity Interests</w:t>
      </w:r>
      <w:r>
        <w:rPr>
          <w:rFonts w:ascii="Arial" w:cs="Arial" w:eastAsia="Arial" w:hAnsi="Arial"/>
          <w:sz w:val="21"/>
          <w:szCs w:val="21"/>
          <w:color w:val="auto"/>
        </w:rPr>
        <w:t xml:space="preserve">” in </w:t>
      </w:r>
      <w:r>
        <w:rPr>
          <w:rFonts w:ascii="Arial" w:cs="Arial" w:eastAsia="Arial" w:hAnsi="Arial"/>
          <w:sz w:val="21"/>
          <w:szCs w:val="21"/>
          <w:u w:val="single" w:color="auto"/>
          <w:color w:val="auto"/>
        </w:rPr>
        <w:t>Section 1.01</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firstLine="1505"/>
        <w:spacing w:after="0" w:line="297" w:lineRule="auto"/>
        <w:tabs>
          <w:tab w:leader="none" w:pos="1929" w:val="left"/>
        </w:tabs>
        <w:numPr>
          <w:ilvl w:val="0"/>
          <w:numId w:val="195"/>
        </w:numPr>
        <w:rPr>
          <w:rFonts w:ascii="Arial" w:cs="Arial" w:eastAsia="Arial" w:hAnsi="Arial"/>
          <w:sz w:val="19"/>
          <w:szCs w:val="19"/>
          <w:color w:val="auto"/>
        </w:rPr>
      </w:pPr>
      <w:r>
        <w:rPr>
          <w:rFonts w:ascii="Arial" w:cs="Arial" w:eastAsia="Arial" w:hAnsi="Arial"/>
          <w:sz w:val="19"/>
          <w:szCs w:val="19"/>
          <w:color w:val="auto"/>
        </w:rPr>
        <w:t>Liens securing Indebtedness or other obligations in an aggregate principal amount not exceeding $12,500,000 at any one time outstanding (which may cover Portfolio Investments, but only to the extent released from the Lien in favor of the Collateral Agent in accordance with the requirements of Section 10.03 of the Guarantee and Security Agreement), so</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115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3" w:name="page194"/>
    <w:bookmarkEnd w:id="193"/>
    <w:p>
      <w:pPr>
        <w:jc w:val="both"/>
        <w:spacing w:after="0"/>
        <w:rPr>
          <w:sz w:val="20"/>
          <w:szCs w:val="20"/>
          <w:color w:val="auto"/>
        </w:rPr>
      </w:pPr>
      <w:r>
        <w:rPr>
          <w:rFonts w:ascii="Arial" w:cs="Arial" w:eastAsia="Arial" w:hAnsi="Arial"/>
          <w:sz w:val="22"/>
          <w:szCs w:val="22"/>
          <w:color w:val="auto"/>
        </w:rPr>
        <w:t xml:space="preserve">long as at the time of incurrence of such Indebtedness or other obligations, the aggregate amount of Indebtedness permitted under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does not exceed the lesser of (i) the Borrowing Base and (ii) the amount required to comply with the provisions of </w:t>
      </w:r>
      <w:r>
        <w:rPr>
          <w:rFonts w:ascii="Arial" w:cs="Arial" w:eastAsia="Arial" w:hAnsi="Arial"/>
          <w:sz w:val="22"/>
          <w:szCs w:val="22"/>
          <w:u w:val="single" w:color="auto"/>
          <w:color w:val="auto"/>
        </w:rPr>
        <w:t>Sections 6.07(c)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w:t>
      </w:r>
    </w:p>
    <w:p>
      <w:pPr>
        <w:spacing w:after="0" w:line="186" w:lineRule="exact"/>
        <w:rPr>
          <w:sz w:val="20"/>
          <w:szCs w:val="20"/>
          <w:color w:val="auto"/>
        </w:rPr>
      </w:pPr>
    </w:p>
    <w:p>
      <w:pPr>
        <w:ind w:left="1940" w:hanging="435"/>
        <w:spacing w:after="0"/>
        <w:tabs>
          <w:tab w:leader="none" w:pos="19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Permitted Liens;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Liens on Equity Interests in any SBIC Subsidiary created in favor of the SBA or its designee;</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Liens securing Hedging Agreements permitted under </w:t>
      </w:r>
      <w:r>
        <w:rPr>
          <w:rFonts w:ascii="Arial" w:cs="Arial" w:eastAsia="Arial" w:hAnsi="Arial"/>
          <w:sz w:val="19"/>
          <w:szCs w:val="19"/>
          <w:u w:val="single" w:color="auto"/>
          <w:color w:val="auto"/>
        </w:rPr>
        <w:t>Section 6.04(c)</w:t>
      </w:r>
      <w:r>
        <w:rPr>
          <w:rFonts w:ascii="Arial" w:cs="Arial" w:eastAsia="Arial" w:hAnsi="Arial"/>
          <w:sz w:val="19"/>
          <w:szCs w:val="19"/>
          <w:color w:val="auto"/>
        </w:rPr>
        <w:t xml:space="preserve"> and not otherwise permitted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above; and</w:t>
      </w:r>
    </w:p>
    <w:p>
      <w:pPr>
        <w:spacing w:after="0" w:line="188" w:lineRule="exact"/>
        <w:rPr>
          <w:rFonts w:ascii="Arial" w:cs="Arial" w:eastAsia="Arial" w:hAnsi="Arial"/>
          <w:sz w:val="19"/>
          <w:szCs w:val="19"/>
          <w:color w:val="auto"/>
        </w:rPr>
      </w:pPr>
    </w:p>
    <w:p>
      <w:pPr>
        <w:ind w:right="40" w:firstLine="1505"/>
        <w:spacing w:after="0" w:line="250" w:lineRule="auto"/>
        <w:tabs>
          <w:tab w:leader="none" w:pos="1929" w:val="left"/>
        </w:tabs>
        <w:numPr>
          <w:ilvl w:val="0"/>
          <w:numId w:val="196"/>
        </w:numPr>
        <w:rPr>
          <w:rFonts w:ascii="Arial" w:cs="Arial" w:eastAsia="Arial" w:hAnsi="Arial"/>
          <w:sz w:val="22"/>
          <w:szCs w:val="22"/>
          <w:color w:val="auto"/>
        </w:rPr>
      </w:pPr>
      <w:r>
        <w:rPr>
          <w:rFonts w:ascii="Arial" w:cs="Arial" w:eastAsia="Arial" w:hAnsi="Arial"/>
          <w:sz w:val="22"/>
          <w:szCs w:val="22"/>
          <w:color w:val="auto"/>
        </w:rPr>
        <w:t>Liens securing repurchase obligations arising in the ordinary course of business with respect to U.S. Government Securities.</w:t>
      </w:r>
    </w:p>
    <w:p>
      <w:pPr>
        <w:spacing w:after="0" w:line="175"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xml:space="preserve">. The Borrower will not, nor will it permit any of its Subsidiaries (other than Financing Subsidiaries or Immaterial Subsidiaries) to, enter into any transaction of merger or consolidation or amalgamation, or liquidate, wind up or dissolve itself (or suffer any liquidation or dissolution). The Borrower will not, nor will it permit any of its Subsidiaries (other than Financing Subsidiaries)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its Subsidiaries (other than Financing Subsidiaries or Immaterial Subsidiaries)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below, Portfolio Investments.</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Notwithstanding the foregoing provisions of this Section:</w:t>
      </w:r>
    </w:p>
    <w:p>
      <w:pPr>
        <w:spacing w:after="0" w:line="206" w:lineRule="exact"/>
        <w:rPr>
          <w:sz w:val="20"/>
          <w:szCs w:val="20"/>
          <w:color w:val="auto"/>
        </w:rPr>
      </w:pPr>
    </w:p>
    <w:p>
      <w:pPr>
        <w:jc w:val="both"/>
        <w:ind w:firstLine="1505"/>
        <w:spacing w:after="0" w:line="297" w:lineRule="auto"/>
        <w:tabs>
          <w:tab w:leader="none" w:pos="192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any Subsidiary Guarantor of the Borrower may be merged or consolidated with or into the Borrower or any other Subsidiary Guarantor;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transaction shall be between a Subsidiary Guarantor and a wholly owned Subsidiary Guarantor, the wholly owned Subsidiary Guarantor shall be the continuing or surviving corporation;</w:t>
      </w:r>
    </w:p>
    <w:p>
      <w:pPr>
        <w:spacing w:after="0" w:line="133" w:lineRule="exact"/>
        <w:rPr>
          <w:rFonts w:ascii="Arial" w:cs="Arial" w:eastAsia="Arial" w:hAnsi="Arial"/>
          <w:sz w:val="19"/>
          <w:szCs w:val="19"/>
          <w:color w:val="auto"/>
        </w:rPr>
      </w:pPr>
    </w:p>
    <w:p>
      <w:pPr>
        <w:ind w:right="40" w:firstLine="1505"/>
        <w:spacing w:after="0" w:line="328" w:lineRule="auto"/>
        <w:tabs>
          <w:tab w:leader="none" w:pos="1929"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any Subsidiary of the Borrower may sell, lease, transfer or otherwise dispose of any or all of its assets (upon voluntary liquidation or otherwise) to the Borrower or any wholly owned Subsidiary Guarantor of the Borrower;</w:t>
      </w:r>
    </w:p>
    <w:p>
      <w:pPr>
        <w:spacing w:after="0" w:line="104" w:lineRule="exact"/>
        <w:rPr>
          <w:rFonts w:ascii="Arial" w:cs="Arial" w:eastAsia="Arial" w:hAnsi="Arial"/>
          <w:sz w:val="19"/>
          <w:szCs w:val="19"/>
          <w:color w:val="auto"/>
        </w:rPr>
      </w:pPr>
    </w:p>
    <w:p>
      <w:pPr>
        <w:ind w:firstLine="1505"/>
        <w:spacing w:after="0" w:line="250" w:lineRule="auto"/>
        <w:tabs>
          <w:tab w:leader="none" w:pos="192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capital stock of any Subsidiary of the Borrower may be sold, transferred or otherwise disposed of to the Borrower or any wholly owned Subsidiary Guarantor of the Borrower;</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116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4" w:name="page195"/>
    <w:bookmarkEnd w:id="194"/>
    <w:p>
      <w:pPr>
        <w:jc w:val="both"/>
        <w:ind w:firstLine="1505"/>
        <w:spacing w:after="0" w:line="236" w:lineRule="auto"/>
        <w:tabs>
          <w:tab w:leader="none" w:pos="192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Obligors may sell, transfer or otherwise dispose of Portfolio Investments (other than to a Financing Subsidiary) so long as after giving effect to such sale, transfer or other disposition (and any concurrent acquisitions of Portfolio Investments or payment of outstanding Loans or Other Covered Indebtedness) either (x) the Covered Debt Amount does not exceed the Borrowing Base or (y) if the Administrative Agent consents in writing, the amount by which the Covered Debt Amount exceeds the Borrowing Base is reduced thereby;</w:t>
      </w:r>
    </w:p>
    <w:p>
      <w:pPr>
        <w:spacing w:after="0" w:line="187" w:lineRule="exact"/>
        <w:rPr>
          <w:rFonts w:ascii="Arial" w:cs="Arial" w:eastAsia="Arial" w:hAnsi="Arial"/>
          <w:sz w:val="22"/>
          <w:szCs w:val="22"/>
          <w:color w:val="auto"/>
        </w:rPr>
      </w:pPr>
    </w:p>
    <w:p>
      <w:pPr>
        <w:jc w:val="both"/>
        <w:ind w:firstLine="1505"/>
        <w:spacing w:after="0" w:line="234" w:lineRule="auto"/>
        <w:tabs>
          <w:tab w:leader="none" w:pos="192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90"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Borrower may merge or consolidate with any other Person so long as (i) after giving effect thereto, the Borrower is (x) the continuing or surviving entity in such transaction and (y) organized under the laws of any State in the United States or the District of Columbia and (ii) at the time thereof and after giving effect thereto, no Default shall have occurred or be continuing;</w:t>
      </w:r>
    </w:p>
    <w:p>
      <w:pPr>
        <w:spacing w:after="0" w:line="184" w:lineRule="exact"/>
        <w:rPr>
          <w:rFonts w:ascii="Arial" w:cs="Arial" w:eastAsia="Arial" w:hAnsi="Arial"/>
          <w:sz w:val="22"/>
          <w:szCs w:val="22"/>
          <w:color w:val="auto"/>
        </w:rPr>
      </w:pPr>
    </w:p>
    <w:p>
      <w:pPr>
        <w:jc w:val="both"/>
        <w:ind w:firstLine="1505"/>
        <w:spacing w:after="0"/>
        <w:tabs>
          <w:tab w:leader="none" w:pos="192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Borrower and its Subsidiaries may sell, lease, transfer or otherwise dispose of equipment or other property or assets that do not consist of Portfolio Investments so long as the aggregate amount of all such sales, leases, transfer and dispositions does not exceed $7,500,000 in any fiscal year; and</w:t>
      </w:r>
    </w:p>
    <w:p>
      <w:pPr>
        <w:spacing w:after="0" w:line="186" w:lineRule="exact"/>
        <w:rPr>
          <w:rFonts w:ascii="Arial" w:cs="Arial" w:eastAsia="Arial" w:hAnsi="Arial"/>
          <w:sz w:val="22"/>
          <w:szCs w:val="22"/>
          <w:color w:val="auto"/>
        </w:rPr>
      </w:pPr>
    </w:p>
    <w:p>
      <w:pPr>
        <w:jc w:val="both"/>
        <w:ind w:firstLine="1505"/>
        <w:spacing w:after="0" w:line="279" w:lineRule="auto"/>
        <w:tabs>
          <w:tab w:leader="none" w:pos="192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Obligors may transfer assets to a Financing Subsidiary for the sole purpose of facilitating the transfer of assets from one Financing Subsidiary (or a Subsidiary that was a Financing Subsidiary immediately prior to such disposition) to another Financing Subsidiary, directly or indirectly through such Obligor (such assets, the “</w:t>
      </w:r>
      <w:r>
        <w:rPr>
          <w:rFonts w:ascii="Arial" w:cs="Arial" w:eastAsia="Arial" w:hAnsi="Arial"/>
          <w:sz w:val="19"/>
          <w:szCs w:val="19"/>
          <w:u w:val="single" w:color="auto"/>
          <w:color w:val="auto"/>
        </w:rPr>
        <w:t>Transferred Assets</w:t>
      </w:r>
      <w:r>
        <w:rPr>
          <w:rFonts w:ascii="Arial" w:cs="Arial" w:eastAsia="Arial" w:hAnsi="Arial"/>
          <w:sz w:val="19"/>
          <w:szCs w:val="19"/>
          <w:color w:val="auto"/>
        </w:rPr>
        <w:t>”), provided that (i) no Default exists or is continuing at such time, (ii) the Covered Debt Amount shall not exceed the Borrowing Base at such time and (iii) the Transferred Assets were transferred to such Obligor by the transferor Financing Subsidiary on the same Business Day that such assets are transferred by such Obligor to the transferee Financing Subsidiary.</w:t>
      </w:r>
    </w:p>
    <w:p>
      <w:pPr>
        <w:spacing w:after="0" w:line="150"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Investments</w:t>
      </w:r>
      <w:r>
        <w:rPr>
          <w:rFonts w:ascii="Arial" w:cs="Arial" w:eastAsia="Arial" w:hAnsi="Arial"/>
          <w:sz w:val="22"/>
          <w:szCs w:val="22"/>
          <w:color w:val="auto"/>
        </w:rPr>
        <w:t>. The Borrower will not, nor will it permit any of its Subsidiaries to, acquire, make or enter into, or hold, any Investments except:</w:t>
      </w:r>
    </w:p>
    <w:p>
      <w:pPr>
        <w:spacing w:after="0" w:line="175" w:lineRule="exact"/>
        <w:rPr>
          <w:sz w:val="20"/>
          <w:szCs w:val="20"/>
          <w:color w:val="auto"/>
        </w:rPr>
      </w:pPr>
    </w:p>
    <w:p>
      <w:pPr>
        <w:ind w:left="1940" w:hanging="435"/>
        <w:spacing w:after="0"/>
        <w:tabs>
          <w:tab w:leader="none" w:pos="194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operating deposit accounts with banks;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Investments by the Borrower and the Subsidiary Guarantors in the Borrower and the Subsidiary</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Guarantors;</w:t>
      </w:r>
    </w:p>
    <w:p>
      <w:pPr>
        <w:spacing w:after="0" w:line="188" w:lineRule="exact"/>
        <w:rPr>
          <w:sz w:val="20"/>
          <w:szCs w:val="20"/>
          <w:color w:val="auto"/>
        </w:rPr>
      </w:pPr>
    </w:p>
    <w:p>
      <w:pPr>
        <w:ind w:left="1940" w:hanging="435"/>
        <w:spacing w:after="0"/>
        <w:tabs>
          <w:tab w:leader="none" w:pos="19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Hedging Agreements entered into in the ordinary course of the Borrower’s financial planning and not for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speculative purposes;</w:t>
      </w:r>
    </w:p>
    <w:p>
      <w:pPr>
        <w:spacing w:after="0" w:line="19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117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5" w:name="page196"/>
    <w:bookmarkEnd w:id="195"/>
    <w:p>
      <w:pPr>
        <w:jc w:val="both"/>
        <w:ind w:right="20" w:firstLine="1505"/>
        <w:spacing w:after="0" w:line="257" w:lineRule="auto"/>
        <w:tabs>
          <w:tab w:leader="none" w:pos="1929" w:val="left"/>
        </w:tabs>
        <w:numPr>
          <w:ilvl w:val="0"/>
          <w:numId w:val="201"/>
        </w:numPr>
        <w:rPr>
          <w:rFonts w:ascii="Arial" w:cs="Arial" w:eastAsia="Arial" w:hAnsi="Arial"/>
          <w:sz w:val="21"/>
          <w:szCs w:val="21"/>
          <w:color w:val="auto"/>
        </w:rPr>
      </w:pPr>
      <w:r>
        <w:rPr>
          <w:rFonts w:ascii="Arial" w:cs="Arial" w:eastAsia="Arial" w:hAnsi="Arial"/>
          <w:sz w:val="21"/>
          <w:szCs w:val="21"/>
          <w:color w:val="auto"/>
        </w:rPr>
        <w:t>Portfolio Investments by the Borrower and its Subsidiaries to the extent such Portfolio Investments are permitted under the Investment Company Act (if applicable) and in compliance in all material respects with the Borrower’s Investment Policies, in each case as in effect as of the date such Investments are acquired;</w:t>
      </w:r>
    </w:p>
    <w:p>
      <w:pPr>
        <w:spacing w:after="0" w:line="169" w:lineRule="exact"/>
        <w:rPr>
          <w:rFonts w:ascii="Arial" w:cs="Arial" w:eastAsia="Arial" w:hAnsi="Arial"/>
          <w:sz w:val="21"/>
          <w:szCs w:val="21"/>
          <w:color w:val="auto"/>
        </w:rPr>
      </w:pPr>
    </w:p>
    <w:p>
      <w:pPr>
        <w:jc w:val="both"/>
        <w:ind w:firstLine="1505"/>
        <w:spacing w:after="0" w:line="235" w:lineRule="auto"/>
        <w:tabs>
          <w:tab w:leader="none" w:pos="192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Investments in Financing Subsidiaries so long as, (i) after giving effect to such Investment, the Covered Debt Amount does not exceed the Borrowing Base and (ii) the sum of (x) all Investments under this </w:t>
      </w:r>
      <w:r>
        <w:rPr>
          <w:rFonts w:ascii="Arial" w:cs="Arial" w:eastAsia="Arial" w:hAnsi="Arial"/>
          <w:sz w:val="22"/>
          <w:szCs w:val="22"/>
          <w:u w:val="single" w:color="auto"/>
          <w:color w:val="auto"/>
        </w:rPr>
        <w:t>clause (e)</w:t>
      </w:r>
      <w:r>
        <w:rPr>
          <w:rFonts w:ascii="Arial" w:cs="Arial" w:eastAsia="Arial" w:hAnsi="Arial"/>
          <w:sz w:val="22"/>
          <w:szCs w:val="22"/>
          <w:color w:val="auto"/>
        </w:rPr>
        <w:t xml:space="preserve"> that occur after the Extended Commitment Termination Date and (y) all Investments under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below shall not exceed $7,500,000 in the aggregate (A) at any time there are any Non-Extending Lenders, from the Non-Extending Commitment Termination Date to the Non-Extending Final Maturity Date and (B) from the Extending Commitment Termination Date to the Extending Final Maturity Date;</w:t>
      </w:r>
    </w:p>
    <w:p>
      <w:pPr>
        <w:spacing w:after="0" w:line="187"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additional Investments up to but not exceeding $75,000,000 in the aggregate;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sum of all Investments under this </w:t>
      </w:r>
      <w:r>
        <w:rPr>
          <w:rFonts w:ascii="Arial" w:cs="Arial" w:eastAsia="Arial" w:hAnsi="Arial"/>
          <w:sz w:val="22"/>
          <w:szCs w:val="22"/>
          <w:u w:val="single" w:color="auto"/>
          <w:color w:val="auto"/>
        </w:rPr>
        <w:t>clause (f)</w:t>
      </w:r>
      <w:r>
        <w:rPr>
          <w:rFonts w:ascii="Arial" w:cs="Arial" w:eastAsia="Arial" w:hAnsi="Arial"/>
          <w:sz w:val="22"/>
          <w:szCs w:val="22"/>
          <w:color w:val="auto"/>
        </w:rPr>
        <w:t xml:space="preserve"> shall not exceed $7,500,000 in the aggregate (x) at any time there are any Non-Extending Lenders, from the Non-Extending Commitment Termination Date to the Non-Extending Final Maturity Date and (y) from the Extending Commitment Termination Date to the Extending Final Maturity Date;</w:t>
      </w:r>
    </w:p>
    <w:p>
      <w:pPr>
        <w:spacing w:after="0" w:line="184" w:lineRule="exact"/>
        <w:rPr>
          <w:rFonts w:ascii="Arial" w:cs="Arial" w:eastAsia="Arial" w:hAnsi="Arial"/>
          <w:sz w:val="22"/>
          <w:szCs w:val="22"/>
          <w:color w:val="auto"/>
        </w:rPr>
      </w:pPr>
    </w:p>
    <w:p>
      <w:pPr>
        <w:ind w:left="1940" w:hanging="435"/>
        <w:spacing w:after="0"/>
        <w:tabs>
          <w:tab w:leader="none" w:pos="194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Investments in Cash and Cash Equivalents;</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Investments described on </w:t>
      </w:r>
      <w:r>
        <w:rPr>
          <w:rFonts w:ascii="Arial" w:cs="Arial" w:eastAsia="Arial" w:hAnsi="Arial"/>
          <w:sz w:val="22"/>
          <w:szCs w:val="22"/>
          <w:u w:val="single" w:color="auto"/>
          <w:color w:val="auto"/>
        </w:rPr>
        <w:t>Schedule 3.12(b)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Investments by a Financing Subsidiary; and</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Investments in the form of Guarantees permitted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w:t>
      </w:r>
    </w:p>
    <w:p>
      <w:pPr>
        <w:spacing w:after="0" w:line="206"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clauses (e) and (f)</w:t>
      </w:r>
      <w:r>
        <w:rPr>
          <w:rFonts w:ascii="Arial" w:cs="Arial" w:eastAsia="Arial" w:hAnsi="Arial"/>
          <w:sz w:val="19"/>
          <w:szCs w:val="19"/>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Return of Capital and dividends, distributions or other payments received in cash in respect of such Investment and the values (valued in accordance with Section 5.12(b) of other Investments received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15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Restricted Payments</w:t>
      </w:r>
      <w:r>
        <w:rPr>
          <w:rFonts w:ascii="Arial" w:cs="Arial" w:eastAsia="Arial" w:hAnsi="Arial"/>
          <w:sz w:val="22"/>
          <w:szCs w:val="22"/>
          <w:color w:val="auto"/>
        </w:rPr>
        <w:t>. The Borrower will not, nor will it permit any of its Subsidiaries (other than Financing Subsidiaries) to, declare or make, or agree to pay or make, directly or indirectly, any Restricted Payment, except that the Borrower may declare and pay:</w:t>
      </w:r>
    </w:p>
    <w:p>
      <w:pPr>
        <w:spacing w:after="0" w:line="186" w:lineRule="exact"/>
        <w:rPr>
          <w:sz w:val="20"/>
          <w:szCs w:val="20"/>
          <w:color w:val="auto"/>
        </w:rPr>
      </w:pPr>
    </w:p>
    <w:p>
      <w:pPr>
        <w:ind w:right="40" w:firstLine="1505"/>
        <w:spacing w:after="0" w:line="250" w:lineRule="auto"/>
        <w:tabs>
          <w:tab w:leader="none" w:pos="192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dividends with respect to the capital stock of the Borrower payable solely in additional shares of the Borrower’s common stock;</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118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6" w:name="page197"/>
    <w:bookmarkEnd w:id="196"/>
    <w:p>
      <w:pPr>
        <w:jc w:val="both"/>
        <w:ind w:firstLine="1505"/>
        <w:spacing w:after="0" w:line="282" w:lineRule="auto"/>
        <w:tabs>
          <w:tab w:leader="none" w:pos="1929" w:val="left"/>
        </w:tabs>
        <w:numPr>
          <w:ilvl w:val="0"/>
          <w:numId w:val="203"/>
        </w:numPr>
        <w:rPr>
          <w:rFonts w:ascii="Arial" w:cs="Arial" w:eastAsia="Arial" w:hAnsi="Arial"/>
          <w:sz w:val="19"/>
          <w:szCs w:val="19"/>
          <w:color w:val="auto"/>
        </w:rPr>
      </w:pPr>
      <w:r>
        <w:rPr>
          <w:rFonts w:ascii="Arial" w:cs="Arial" w:eastAsia="Arial" w:hAnsi="Arial"/>
          <w:sz w:val="19"/>
          <w:szCs w:val="19"/>
          <w:color w:val="auto"/>
        </w:rPr>
        <w:t>dividends and distributions in either case in cash or other property (excluding for this purpose the Borrower’s common stock) in any taxable year of the Borrower in amounts not to exceed the amount that is estimated in good faith by the Borrower to be required to (i) reduce to zero for such taxable year or for the previous taxable year, its investment company taxable income (within the meaning of Section 852(b)(2) of the Code) and reduce to zero the tax imposed by Section 852(b)(3) of the Code, and (ii) avoid federal excise taxes for such taxable year imposed by Section 4982 of the Code;</w:t>
      </w:r>
    </w:p>
    <w:p>
      <w:pPr>
        <w:spacing w:after="0" w:line="147" w:lineRule="exact"/>
        <w:rPr>
          <w:rFonts w:ascii="Arial" w:cs="Arial" w:eastAsia="Arial" w:hAnsi="Arial"/>
          <w:sz w:val="19"/>
          <w:szCs w:val="19"/>
          <w:color w:val="auto"/>
        </w:rPr>
      </w:pPr>
    </w:p>
    <w:p>
      <w:pPr>
        <w:jc w:val="both"/>
        <w:ind w:firstLine="1505"/>
        <w:spacing w:after="0"/>
        <w:tabs>
          <w:tab w:leader="none" w:pos="1929"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dividends and distributions in each case in cash or other property (excluding for this purpose the Borrower’s common stock) in addition to the dividends and distributions permitted under the foregoing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so long as on the date of such Restricted Payment and after giving effect thereto:</w:t>
      </w:r>
    </w:p>
    <w:p>
      <w:pPr>
        <w:spacing w:after="0" w:line="186" w:lineRule="exact"/>
        <w:rPr>
          <w:sz w:val="20"/>
          <w:szCs w:val="20"/>
          <w:color w:val="auto"/>
        </w:rPr>
      </w:pPr>
    </w:p>
    <w:p>
      <w:pPr>
        <w:ind w:left="1940" w:hanging="435"/>
        <w:spacing w:after="0"/>
        <w:tabs>
          <w:tab w:leader="none" w:pos="194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 Default shall have occurred and be continuing; and</w:t>
      </w:r>
    </w:p>
    <w:p>
      <w:pPr>
        <w:spacing w:after="0" w:line="206" w:lineRule="exact"/>
        <w:rPr>
          <w:rFonts w:ascii="Arial" w:cs="Arial" w:eastAsia="Arial" w:hAnsi="Arial"/>
          <w:sz w:val="22"/>
          <w:szCs w:val="22"/>
          <w:color w:val="auto"/>
        </w:rPr>
      </w:pPr>
    </w:p>
    <w:p>
      <w:pPr>
        <w:jc w:val="both"/>
        <w:ind w:left="760" w:firstLine="745"/>
        <w:spacing w:after="0" w:line="273" w:lineRule="auto"/>
        <w:tabs>
          <w:tab w:leader="none" w:pos="194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the aggregate amount of Restricted Payments made during any taxable year of the Borrower after the date hereof under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shall not exceed the sum of (x) an amount equal to 15% of the taxable income of the Borrower for such taxable year determined under section 852(b)(2) of the Code, but without regard to </w:t>
      </w:r>
      <w:r>
        <w:rPr>
          <w:rFonts w:ascii="Arial" w:cs="Arial" w:eastAsia="Arial" w:hAnsi="Arial"/>
          <w:sz w:val="19"/>
          <w:szCs w:val="19"/>
          <w:u w:val="single" w:color="auto"/>
          <w:color w:val="auto"/>
        </w:rPr>
        <w:t>subparagraphs</w:t>
      </w:r>
    </w:p>
    <w:p>
      <w:pPr>
        <w:spacing w:after="0" w:line="1" w:lineRule="exact"/>
        <w:rPr>
          <w:rFonts w:ascii="Arial" w:cs="Arial" w:eastAsia="Arial" w:hAnsi="Arial"/>
          <w:sz w:val="19"/>
          <w:szCs w:val="19"/>
          <w:color w:val="auto"/>
        </w:rPr>
      </w:pPr>
    </w:p>
    <w:p>
      <w:pPr>
        <w:jc w:val="both"/>
        <w:ind w:left="760"/>
        <w:spacing w:after="0" w:line="233" w:lineRule="auto"/>
        <w:rPr>
          <w:rFonts w:ascii="Arial" w:cs="Arial" w:eastAsia="Arial" w:hAnsi="Arial"/>
          <w:sz w:val="19"/>
          <w:szCs w:val="19"/>
          <w:color w:val="auto"/>
        </w:rPr>
      </w:pPr>
      <w:r>
        <w:rPr>
          <w:rFonts w:ascii="Arial" w:cs="Arial" w:eastAsia="Arial" w:hAnsi="Arial"/>
          <w:sz w:val="22"/>
          <w:szCs w:val="22"/>
          <w:u w:val="single" w:color="auto"/>
          <w:color w:val="auto"/>
        </w:rPr>
        <w:t>(A)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w:t>
      </w:r>
      <w:r>
        <w:rPr>
          <w:rFonts w:ascii="Arial" w:cs="Arial" w:eastAsia="Arial" w:hAnsi="Arial"/>
          <w:sz w:val="22"/>
          <w:szCs w:val="22"/>
          <w:color w:val="auto"/>
        </w:rPr>
        <w:t xml:space="preserve"> thereof,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(y) the amount, if any, by which dividends and distributions made during such taxable year pursuant to the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22"/>
          <w:szCs w:val="22"/>
          <w:u w:val="single" w:color="auto"/>
          <w:color w:val="auto"/>
        </w:rPr>
        <w:t>subclauses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such foregoing </w:t>
      </w:r>
      <w:r>
        <w:rPr>
          <w:rFonts w:ascii="Arial" w:cs="Arial" w:eastAsia="Arial" w:hAnsi="Arial"/>
          <w:sz w:val="22"/>
          <w:szCs w:val="22"/>
          <w:u w:val="single" w:color="auto"/>
          <w:color w:val="auto"/>
        </w:rPr>
        <w:t>clause (b)</w:t>
      </w:r>
      <w:r>
        <w:rPr>
          <w:rFonts w:ascii="Arial" w:cs="Arial" w:eastAsia="Arial" w:hAnsi="Arial"/>
          <w:sz w:val="22"/>
          <w:szCs w:val="22"/>
          <w:color w:val="auto"/>
        </w:rPr>
        <w:t xml:space="preserve"> for such taxable year.</w:t>
      </w:r>
    </w:p>
    <w:p>
      <w:pPr>
        <w:spacing w:after="0" w:line="188" w:lineRule="exact"/>
        <w:rPr>
          <w:sz w:val="20"/>
          <w:szCs w:val="20"/>
          <w:color w:val="auto"/>
        </w:rPr>
      </w:pPr>
    </w:p>
    <w:p>
      <w:pPr>
        <w:jc w:val="both"/>
        <w:ind w:firstLine="1505"/>
        <w:spacing w:after="0" w:line="273" w:lineRule="auto"/>
        <w:tabs>
          <w:tab w:leader="none" w:pos="1929"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other Restricted Payments so long as (i) on the date of such other Restricted Payment and after giving effect thereto (x) the Covered Debt Amount does not exceed 90% of the Borrowing Base and (y) no Default shall have occurred and be continuing and (ii) on the date of such other Restricted Payment the Borrower delivers to the Administrative Agent and each Lender a Borrowing Base Certificate as at such date demonstrating compliance with </w:t>
      </w:r>
      <w:r>
        <w:rPr>
          <w:rFonts w:ascii="Arial" w:cs="Arial" w:eastAsia="Arial" w:hAnsi="Arial"/>
          <w:sz w:val="19"/>
          <w:szCs w:val="19"/>
          <w:u w:val="single" w:color="auto"/>
          <w:color w:val="auto"/>
        </w:rPr>
        <w:t>subclause (x)</w:t>
      </w:r>
      <w:r>
        <w:rPr>
          <w:rFonts w:ascii="Arial" w:cs="Arial" w:eastAsia="Arial" w:hAnsi="Arial"/>
          <w:sz w:val="19"/>
          <w:szCs w:val="19"/>
          <w:color w:val="auto"/>
        </w:rPr>
        <w:t xml:space="preserve"> after giving effect to such Restricted Payment. For purposes of preparing such Borrowing Base Certificate, (A) the Value of any Quoted Investment shall be the most recent quotation available for such Portfolio Investment and (B) the Value of any Unquoted Investment shall be the Value set forth in the Borrowing Base Certificate most recently delivered by the Borrower to the Administrative Agent and the Lenders pursuant to </w:t>
      </w:r>
      <w:r>
        <w:rPr>
          <w:rFonts w:ascii="Arial" w:cs="Arial" w:eastAsia="Arial" w:hAnsi="Arial"/>
          <w:sz w:val="19"/>
          <w:szCs w:val="19"/>
          <w:u w:val="single" w:color="auto"/>
          <w:color w:val="auto"/>
        </w:rPr>
        <w:t>Section 5.01(d)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reduce the Value of any Portfolio Investment referred to in this </w:t>
      </w:r>
      <w:r>
        <w:rPr>
          <w:rFonts w:ascii="Arial" w:cs="Arial" w:eastAsia="Arial" w:hAnsi="Arial"/>
          <w:sz w:val="19"/>
          <w:szCs w:val="19"/>
          <w:u w:val="single" w:color="auto"/>
          <w:color w:val="auto"/>
        </w:rPr>
        <w:t>sub-clause (B)</w:t>
      </w:r>
      <w:r>
        <w:rPr>
          <w:rFonts w:ascii="Arial" w:cs="Arial" w:eastAsia="Arial" w:hAnsi="Arial"/>
          <w:sz w:val="19"/>
          <w:szCs w:val="19"/>
          <w:color w:val="auto"/>
        </w:rPr>
        <w:t xml:space="preserve"> to the extent necessary to take into account any events of which the Borrower has knowledge that adversely affect the value of such Portfolio Investment.</w:t>
      </w:r>
    </w:p>
    <w:p>
      <w:pPr>
        <w:spacing w:after="0" w:line="161" w:lineRule="exact"/>
        <w:rPr>
          <w:sz w:val="20"/>
          <w:szCs w:val="20"/>
          <w:color w:val="auto"/>
        </w:rPr>
      </w:pPr>
    </w:p>
    <w:p>
      <w:pPr>
        <w:jc w:val="both"/>
        <w:ind w:firstLine="1497"/>
        <w:spacing w:after="0" w:line="250" w:lineRule="auto"/>
        <w:rPr>
          <w:sz w:val="20"/>
          <w:szCs w:val="20"/>
          <w:color w:val="auto"/>
        </w:rPr>
      </w:pPr>
      <w:r>
        <w:rPr>
          <w:rFonts w:ascii="Arial" w:cs="Arial" w:eastAsia="Arial" w:hAnsi="Arial"/>
          <w:sz w:val="22"/>
          <w:szCs w:val="22"/>
          <w:color w:val="auto"/>
        </w:rPr>
        <w:t>Nothing herein shall be deemed to prohibit the payment of Restricted Payments by any Subsidiary of the Borrower to the Borrower or to any other Subsidiary Guarantor.</w:t>
      </w:r>
    </w:p>
    <w:p>
      <w:pPr>
        <w:spacing w:after="0" w:line="175"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Certain Restrictions on Subsidiaries</w:t>
      </w:r>
      <w:r>
        <w:rPr>
          <w:rFonts w:ascii="Arial" w:cs="Arial" w:eastAsia="Arial" w:hAnsi="Arial"/>
          <w:sz w:val="19"/>
          <w:szCs w:val="19"/>
          <w:color w:val="auto"/>
        </w:rPr>
        <w:t>. The Borrower will not permit any of its Subsidiaries (other than Financing Subsidiaries) to enter into or suffer to exist any indenture, agreement, instrument or other arrangement that prohibits or restrains, in each case in any material respect, or imposes materially adverse conditions upon, the incurrence or payment of Indebtedness, the granting of Liens, the declaration or payment of dividends, the making of</w:t>
      </w:r>
    </w:p>
    <w:p>
      <w:pPr>
        <w:spacing w:after="0" w:line="15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119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7" w:name="page198"/>
    <w:bookmarkEnd w:id="197"/>
    <w:p>
      <w:pPr>
        <w:jc w:val="both"/>
        <w:spacing w:after="0" w:line="277" w:lineRule="auto"/>
        <w:rPr>
          <w:sz w:val="20"/>
          <w:szCs w:val="20"/>
          <w:color w:val="auto"/>
        </w:rPr>
      </w:pPr>
      <w:r>
        <w:rPr>
          <w:rFonts w:ascii="Arial" w:cs="Arial" w:eastAsia="Arial" w:hAnsi="Arial"/>
          <w:sz w:val="19"/>
          <w:szCs w:val="19"/>
          <w:color w:val="auto"/>
        </w:rPr>
        <w:t xml:space="preserve">loans, advances, guarantees or Investments or the sale, assignment, transfer or other disposition of property except for any prohibitions or restraints contained in (i) any Indebtedness permitted under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prohibition or reservation set forth therein does not prohibit the performance by the Borrower or its Subsidiaries of their obligations under this Agreement, (ii) any Indebtedness permitted under </w:t>
      </w:r>
      <w:r>
        <w:rPr>
          <w:rFonts w:ascii="Arial" w:cs="Arial" w:eastAsia="Arial" w:hAnsi="Arial"/>
          <w:sz w:val="19"/>
          <w:szCs w:val="19"/>
          <w:u w:val="single" w:color="auto"/>
          <w:color w:val="auto"/>
        </w:rPr>
        <w:t>Section 6.01(c)</w:t>
      </w:r>
      <w:r>
        <w:rPr>
          <w:rFonts w:ascii="Arial" w:cs="Arial" w:eastAsia="Arial" w:hAnsi="Arial"/>
          <w:sz w:val="19"/>
          <w:szCs w:val="19"/>
          <w:color w:val="auto"/>
        </w:rPr>
        <w:t xml:space="preserve"> secured by a Lien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provided that such prohibitions and restraints are applicable by their terms only to the assets that are subject to such Lien and (iii) any Indebtedness permitted under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secured by a Permitted Lien provided that such prohibitions and restraints are applicable by their terms only to the assets that are subject to such Lien.</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u w:val="single" w:color="auto"/>
          <w:color w:val="auto"/>
        </w:rPr>
        <w:t>Certain Financial Covenants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Minimum Shareholders’ Equity</w:t>
      </w:r>
      <w:r>
        <w:rPr>
          <w:rFonts w:ascii="Arial" w:cs="Arial" w:eastAsia="Arial" w:hAnsi="Arial"/>
          <w:sz w:val="22"/>
          <w:szCs w:val="22"/>
          <w:color w:val="auto"/>
        </w:rPr>
        <w:t xml:space="preserve">. The Borrower will not permit Shareholders’ Equity at the last day of any fiscal quarter of the Borrower to be less than $290,000,000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25% of the net proceeds of the sale of Equity Interests by the Borrower and its Subsidiaries after the Effective Date (other than proceeds of sales of Equity Interests by and among the Borrower and its Subsidiaries).</w:t>
      </w:r>
    </w:p>
    <w:p>
      <w:pPr>
        <w:spacing w:after="0" w:line="18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Minimum Borrower Net Worth</w:t>
      </w:r>
      <w:r>
        <w:rPr>
          <w:rFonts w:ascii="Arial" w:cs="Arial" w:eastAsia="Arial" w:hAnsi="Arial"/>
          <w:sz w:val="22"/>
          <w:szCs w:val="22"/>
          <w:color w:val="auto"/>
        </w:rPr>
        <w:t>. The Borrower will not permit Borrower Net Worth at the last day of any fiscal quarter to be less than $222,500,000.</w:t>
      </w:r>
    </w:p>
    <w:p>
      <w:pPr>
        <w:spacing w:after="0" w:line="174" w:lineRule="exact"/>
        <w:rPr>
          <w:rFonts w:ascii="Arial" w:cs="Arial" w:eastAsia="Arial" w:hAnsi="Arial"/>
          <w:sz w:val="22"/>
          <w:szCs w:val="22"/>
          <w:color w:val="auto"/>
        </w:rPr>
      </w:pPr>
    </w:p>
    <w:p>
      <w:pPr>
        <w:ind w:firstLine="1505"/>
        <w:spacing w:after="0" w:line="250" w:lineRule="auto"/>
        <w:tabs>
          <w:tab w:leader="none" w:pos="192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Borrower Asset Coverage Ratio</w:t>
      </w:r>
      <w:r>
        <w:rPr>
          <w:rFonts w:ascii="Arial" w:cs="Arial" w:eastAsia="Arial" w:hAnsi="Arial"/>
          <w:sz w:val="22"/>
          <w:szCs w:val="22"/>
          <w:color w:val="auto"/>
        </w:rPr>
        <w:t>. The Borrower will not permit the Borrower Asset Coverage Ratio at the last day of any fiscal quarter to be less than 2.00 to 1.</w:t>
      </w:r>
    </w:p>
    <w:p>
      <w:pPr>
        <w:spacing w:after="0" w:line="174" w:lineRule="exact"/>
        <w:rPr>
          <w:rFonts w:ascii="Arial" w:cs="Arial" w:eastAsia="Arial" w:hAnsi="Arial"/>
          <w:sz w:val="22"/>
          <w:szCs w:val="22"/>
          <w:color w:val="auto"/>
        </w:rPr>
      </w:pPr>
    </w:p>
    <w:p>
      <w:pPr>
        <w:ind w:firstLine="1505"/>
        <w:spacing w:after="0" w:line="250" w:lineRule="auto"/>
        <w:tabs>
          <w:tab w:leader="none" w:pos="192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Consolidated Asset Coverage Ratio</w:t>
      </w:r>
      <w:r>
        <w:rPr>
          <w:rFonts w:ascii="Arial" w:cs="Arial" w:eastAsia="Arial" w:hAnsi="Arial"/>
          <w:sz w:val="22"/>
          <w:szCs w:val="22"/>
          <w:color w:val="auto"/>
        </w:rPr>
        <w:t>. The Borrower will not permit the Consolidated Asset Coverage Ratio at the last day of any fiscal quarter to be less than 1.50 to 1.</w:t>
      </w:r>
    </w:p>
    <w:p>
      <w:pPr>
        <w:spacing w:after="0" w:line="174" w:lineRule="exact"/>
        <w:rPr>
          <w:rFonts w:ascii="Arial" w:cs="Arial" w:eastAsia="Arial" w:hAnsi="Arial"/>
          <w:sz w:val="22"/>
          <w:szCs w:val="22"/>
          <w:color w:val="auto"/>
        </w:rPr>
      </w:pPr>
    </w:p>
    <w:p>
      <w:pPr>
        <w:jc w:val="both"/>
        <w:ind w:firstLine="1505"/>
        <w:spacing w:after="0" w:line="287" w:lineRule="auto"/>
        <w:tabs>
          <w:tab w:leader="none" w:pos="1943"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Liquidity Test</w:t>
      </w:r>
      <w:r>
        <w:rPr>
          <w:rFonts w:ascii="Arial" w:cs="Arial" w:eastAsia="Arial" w:hAnsi="Arial"/>
          <w:sz w:val="19"/>
          <w:szCs w:val="19"/>
          <w:color w:val="auto"/>
        </w:rPr>
        <w:t>. The Borrower will not permit the aggregate Value of the Portfolio Investments that are Cash (excluding Cash Collateral for outstanding Letters of Credit) or that can be converted to Cash in fewer than 10 Business Days without more than a 5% change in price to be less than 10% of the Covered Debt Amount for more than 30 Business Days during any period when the Adjusted Covered Debt Balance is greater than 90% of the Adjusted Borrowing Base.</w:t>
      </w:r>
    </w:p>
    <w:p>
      <w:pPr>
        <w:spacing w:after="0" w:line="143"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Transactions with Affiliates</w:t>
      </w:r>
      <w:r>
        <w:rPr>
          <w:rFonts w:ascii="Arial" w:cs="Arial" w:eastAsia="Arial" w:hAnsi="Arial"/>
          <w:sz w:val="19"/>
          <w:szCs w:val="19"/>
          <w:color w:val="auto"/>
        </w:rPr>
        <w:t xml:space="preserve">. The Borrower will not, and will not permit any of its Subsidiaries to enter into any transactions with any of its Affiliates, even if otherwise permitted under this Agreement, except (a)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(d) the transactions provided in the Affiliate Agreements, (e) transactions described on </w:t>
      </w:r>
      <w:r>
        <w:rPr>
          <w:rFonts w:ascii="Arial" w:cs="Arial" w:eastAsia="Arial" w:hAnsi="Arial"/>
          <w:sz w:val="19"/>
          <w:szCs w:val="19"/>
          <w:u w:val="single" w:color="auto"/>
          <w:color w:val="auto"/>
        </w:rPr>
        <w:t>Schedule 6.08</w:t>
      </w:r>
      <w:r>
        <w:rPr>
          <w:rFonts w:ascii="Arial" w:cs="Arial" w:eastAsia="Arial" w:hAnsi="Arial"/>
          <w:sz w:val="19"/>
          <w:szCs w:val="19"/>
          <w:color w:val="auto"/>
        </w:rPr>
        <w:t>,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in good faith is believed could be obtained at the time on an arm’s-length basis from unrelated third parties.</w:t>
      </w:r>
    </w:p>
    <w:p>
      <w:pPr>
        <w:spacing w:after="0" w:line="16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8" w:name="page199"/>
    <w:bookmarkEnd w:id="198"/>
    <w:p>
      <w:pPr>
        <w:jc w:val="both"/>
        <w:ind w:firstLine="1497"/>
        <w:spacing w:after="0" w:line="238" w:lineRule="auto"/>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Lines of Business</w:t>
      </w:r>
      <w:r>
        <w:rPr>
          <w:rFonts w:ascii="Arial" w:cs="Arial" w:eastAsia="Arial" w:hAnsi="Arial"/>
          <w:sz w:val="22"/>
          <w:szCs w:val="22"/>
          <w:color w:val="auto"/>
        </w:rPr>
        <w:t>. 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185"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SECTION 6.10. </w:t>
      </w:r>
      <w:r>
        <w:rPr>
          <w:rFonts w:ascii="Arial" w:cs="Arial" w:eastAsia="Arial" w:hAnsi="Arial"/>
          <w:sz w:val="19"/>
          <w:szCs w:val="19"/>
          <w:u w:val="single" w:color="auto"/>
          <w:color w:val="auto"/>
        </w:rPr>
        <w:t>No Further Negative Pledge</w:t>
      </w:r>
      <w:r>
        <w:rPr>
          <w:rFonts w:ascii="Arial" w:cs="Arial" w:eastAsia="Arial" w:hAnsi="Arial"/>
          <w:sz w:val="19"/>
          <w:szCs w:val="19"/>
          <w:color w:val="auto"/>
        </w:rPr>
        <w:t xml:space="preserve">. The Borrower will not, and will not permit any of its Subsidiaries to, enter into any agreement, instrument, deed or lease which prohibits or limits the ability of any Obligor to create, incur, assume or suffer to exist any 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w:t>
      </w:r>
    </w:p>
    <w:p>
      <w:pPr>
        <w:spacing w:after="0" w:line="4" w:lineRule="exact"/>
        <w:rPr>
          <w:sz w:val="20"/>
          <w:szCs w:val="20"/>
          <w:color w:val="auto"/>
        </w:rPr>
      </w:pPr>
    </w:p>
    <w:p>
      <w:pPr>
        <w:jc w:val="both"/>
        <w:ind w:firstLine="8"/>
        <w:spacing w:after="0" w:line="273" w:lineRule="auto"/>
        <w:tabs>
          <w:tab w:leader="none" w:pos="351" w:val="left"/>
        </w:tabs>
        <w:numPr>
          <w:ilvl w:val="0"/>
          <w:numId w:val="207"/>
        </w:numPr>
        <w:rPr>
          <w:rFonts w:ascii="Arial" w:cs="Arial" w:eastAsia="Arial" w:hAnsi="Arial"/>
          <w:sz w:val="19"/>
          <w:szCs w:val="19"/>
          <w:color w:val="auto"/>
        </w:rPr>
      </w:pPr>
      <w:r>
        <w:rPr>
          <w:rFonts w:ascii="Arial" w:cs="Arial" w:eastAsia="Arial" w:hAnsi="Arial"/>
          <w:sz w:val="19"/>
          <w:szCs w:val="19"/>
          <w:color w:val="auto"/>
        </w:rPr>
        <w:t xml:space="preserve">covenants in documents creating Liens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(including covenants with respect to the Designated Indebtedness Obligations or Designated Indebtedness Holders under (and, in each case, as defined in) the Security Documents) prohibiting further Liens on the assets encumbered thereby; (c) customary restrictions contained in leases not subject to a waiver; and (d)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59"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Modifications of Longer-Term Indebtedness Documents</w:t>
      </w:r>
      <w:r>
        <w:rPr>
          <w:rFonts w:ascii="Arial" w:cs="Arial" w:eastAsia="Arial" w:hAnsi="Arial"/>
          <w:sz w:val="22"/>
          <w:szCs w:val="22"/>
          <w:color w:val="auto"/>
        </w:rPr>
        <w:t>. The Borrower will not consent to any modification, supplement or waiver of:</w:t>
      </w:r>
    </w:p>
    <w:p>
      <w:pPr>
        <w:spacing w:after="0" w:line="175" w:lineRule="exact"/>
        <w:rPr>
          <w:sz w:val="20"/>
          <w:szCs w:val="20"/>
          <w:color w:val="auto"/>
        </w:rPr>
      </w:pPr>
    </w:p>
    <w:p>
      <w:pPr>
        <w:jc w:val="both"/>
        <w:ind w:firstLine="1505"/>
        <w:spacing w:after="0" w:line="269" w:lineRule="auto"/>
        <w:tabs>
          <w:tab w:leader="none" w:pos="1929"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any of the provisions of any agreement, instrument or other document evidencing or relating to any Secured Longer-Term 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w:t>
      </w:r>
    </w:p>
    <w:p>
      <w:pPr>
        <w:spacing w:after="0" w:line="4" w:lineRule="exact"/>
        <w:rPr>
          <w:rFonts w:ascii="Arial" w:cs="Arial" w:eastAsia="Arial" w:hAnsi="Arial"/>
          <w:sz w:val="19"/>
          <w:szCs w:val="19"/>
          <w:color w:val="auto"/>
        </w:rPr>
      </w:pPr>
    </w:p>
    <w:p>
      <w:pPr>
        <w:jc w:val="both"/>
        <w:ind w:firstLine="8"/>
        <w:spacing w:after="0" w:line="246" w:lineRule="auto"/>
        <w:tabs>
          <w:tab w:leader="none" w:pos="367" w:val="left"/>
        </w:tabs>
        <w:numPr>
          <w:ilvl w:val="0"/>
          <w:numId w:val="209"/>
        </w:numPr>
        <w:rPr>
          <w:rFonts w:ascii="Arial" w:cs="Arial" w:eastAsia="Arial" w:hAnsi="Arial"/>
          <w:sz w:val="21"/>
          <w:szCs w:val="21"/>
          <w:color w:val="auto"/>
        </w:rPr>
      </w:pPr>
      <w:r>
        <w:rPr>
          <w:rFonts w:ascii="Arial" w:cs="Arial" w:eastAsia="Arial" w:hAnsi="Arial"/>
          <w:sz w:val="21"/>
          <w:szCs w:val="21"/>
          <w:color w:val="auto"/>
        </w:rPr>
        <w:t>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79" w:lineRule="exact"/>
        <w:rPr>
          <w:rFonts w:ascii="Arial" w:cs="Arial" w:eastAsia="Arial" w:hAnsi="Arial"/>
          <w:sz w:val="21"/>
          <w:szCs w:val="21"/>
          <w:color w:val="auto"/>
        </w:rPr>
      </w:pPr>
    </w:p>
    <w:p>
      <w:pPr>
        <w:jc w:val="both"/>
        <w:ind w:right="20" w:firstLine="1505"/>
        <w:spacing w:after="0" w:line="257" w:lineRule="auto"/>
        <w:tabs>
          <w:tab w:leader="none" w:pos="1929" w:val="left"/>
        </w:tabs>
        <w:numPr>
          <w:ilvl w:val="1"/>
          <w:numId w:val="209"/>
        </w:numPr>
        <w:rPr>
          <w:rFonts w:ascii="Arial" w:cs="Arial" w:eastAsia="Arial" w:hAnsi="Arial"/>
          <w:sz w:val="21"/>
          <w:szCs w:val="21"/>
          <w:color w:val="auto"/>
        </w:rPr>
      </w:pPr>
      <w:r>
        <w:rPr>
          <w:rFonts w:ascii="Arial" w:cs="Arial" w:eastAsia="Arial" w:hAnsi="Arial"/>
          <w:sz w:val="21"/>
          <w:szCs w:val="21"/>
          <w:color w:val="auto"/>
        </w:rPr>
        <w:t>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7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9" w:name="page200"/>
    <w:bookmarkEnd w:id="199"/>
    <w:p>
      <w:pPr>
        <w:jc w:val="both"/>
        <w:ind w:firstLine="1497"/>
        <w:spacing w:after="0" w:line="270"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Payments of Longer-Term Indebtedness</w:t>
      </w:r>
      <w:r>
        <w:rPr>
          <w:rFonts w:ascii="Arial" w:cs="Arial" w:eastAsia="Arial" w:hAnsi="Arial"/>
          <w:sz w:val="19"/>
          <w:szCs w:val="19"/>
          <w:color w:val="auto"/>
        </w:rPr>
        <w:t xml:space="preserve">. The Borrower will not, nor will it permit any of its Subsidiaries (other than Financing Subsidiaries)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Special Permitted Indebtedness or Unsecured Longer-Term Indebtedness (other than the refinancing of Secured Longer-Term Indebtedness, Special Permitted Indebtedness or Unsecured Longer-Term Indebtedness with Indebtedness permitted under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except for (a) regularly scheduled payments, prepayments or redemptions of principal and interest (excluding regularly scheduled payments of principal on Permitted Amortizing Unsecured Longer-Term Indebtedness or Special Permitted Indebtedness) in respect thereof required pursuant to the instruments evidencing such Indebtedness and the payment when due of the types of fees and expenses that are customarily paid in connection with such Indebtedness (it being understood that: (w) the conversion features into Permitted Equity Interests under Permitted Convertible Indebtedness; (x) the triggering of such conversion and/or settlement thereof solely with Permitted Equity Interests; and (y) any cash payment on account of interest or expenses on such Permitted Convertible Indebtedness made by the Borrower or any of its Subsidiaries in respect of such triggering and/or settlement thereof shall be permitted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(b) voluntary payments or prepayments of Secured Longer-Term Indebtedness and regularly scheduled payments of principal of Permitted Amortizing Unsecured Longer-Term Indebtedness and Special Permitted Indebtedness, so long as both before and after giving effect to such voluntary payment or prepayment (i) the Borrower is in pro forma compliance with the financial covenants set forth in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and (ii) no Default or Event of Default shall exist or be continuing or (c) so long as no Default shall exist or be continuing, any payment that, if treated as a Restricted Payment for purposes of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would be permitted to be made pursuant to the provisions set forth in </w:t>
      </w:r>
      <w:r>
        <w:rPr>
          <w:rFonts w:ascii="Arial" w:cs="Arial" w:eastAsia="Arial" w:hAnsi="Arial"/>
          <w:sz w:val="19"/>
          <w:szCs w:val="19"/>
          <w:u w:val="single" w:color="auto"/>
          <w:color w:val="auto"/>
        </w:rPr>
        <w:t>Section 6.05(d)</w:t>
      </w:r>
      <w:r>
        <w:rPr>
          <w:rFonts w:ascii="Arial" w:cs="Arial" w:eastAsia="Arial" w:hAnsi="Arial"/>
          <w:sz w:val="19"/>
          <w:szCs w:val="19"/>
          <w:color w:val="auto"/>
        </w:rPr>
        <w:t>.</w:t>
      </w:r>
    </w:p>
    <w:p>
      <w:pPr>
        <w:spacing w:after="0" w:line="200" w:lineRule="exact"/>
        <w:rPr>
          <w:sz w:val="20"/>
          <w:szCs w:val="20"/>
          <w:color w:val="auto"/>
        </w:rPr>
      </w:pP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6.13. </w:t>
      </w:r>
      <w:r>
        <w:rPr>
          <w:rFonts w:ascii="Arial" w:cs="Arial" w:eastAsia="Arial" w:hAnsi="Arial"/>
          <w:sz w:val="22"/>
          <w:szCs w:val="22"/>
          <w:u w:val="single" w:color="auto"/>
          <w:color w:val="auto"/>
        </w:rPr>
        <w:t>Accounting Changes</w:t>
      </w:r>
      <w:r>
        <w:rPr>
          <w:rFonts w:ascii="Arial" w:cs="Arial" w:eastAsia="Arial" w:hAnsi="Arial"/>
          <w:sz w:val="22"/>
          <w:szCs w:val="22"/>
          <w:color w:val="auto"/>
        </w:rPr>
        <w:t>. 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86" w:lineRule="exact"/>
        <w:rPr>
          <w:sz w:val="20"/>
          <w:szCs w:val="20"/>
          <w:color w:val="auto"/>
        </w:rPr>
      </w:pPr>
    </w:p>
    <w:p>
      <w:pPr>
        <w:jc w:val="both"/>
        <w:ind w:right="20" w:firstLine="1497"/>
        <w:spacing w:after="0"/>
        <w:rPr>
          <w:sz w:val="20"/>
          <w:szCs w:val="20"/>
          <w:color w:val="auto"/>
        </w:rPr>
      </w:pPr>
      <w:r>
        <w:rPr>
          <w:rFonts w:ascii="Arial" w:cs="Arial" w:eastAsia="Arial" w:hAnsi="Arial"/>
          <w:sz w:val="22"/>
          <w:szCs w:val="22"/>
          <w:color w:val="auto"/>
        </w:rPr>
        <w:t xml:space="preserve">SECTION 6.14. </w:t>
      </w:r>
      <w:r>
        <w:rPr>
          <w:rFonts w:ascii="Arial" w:cs="Arial" w:eastAsia="Arial" w:hAnsi="Arial"/>
          <w:sz w:val="22"/>
          <w:szCs w:val="22"/>
          <w:u w:val="single" w:color="auto"/>
          <w:color w:val="auto"/>
        </w:rPr>
        <w:t>SBIC Guarantee</w:t>
      </w:r>
      <w:r>
        <w:rPr>
          <w:rFonts w:ascii="Arial" w:cs="Arial" w:eastAsia="Arial" w:hAnsi="Arial"/>
          <w:sz w:val="22"/>
          <w:szCs w:val="22"/>
          <w:color w:val="auto"/>
        </w:rPr>
        <w:t>. The Borrower will not, nor will it permit any of its Subsidiaries to, cause or permit the occurrence of any event or condition that would result in any recourse to any Obligor under any Permitted SBIC Guarantee.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EVENTS OF DEFAULT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 and be continuing:</w:t>
      </w:r>
    </w:p>
    <w:p>
      <w:pPr>
        <w:spacing w:after="0" w:line="206" w:lineRule="exact"/>
        <w:rPr>
          <w:sz w:val="20"/>
          <w:szCs w:val="20"/>
          <w:color w:val="auto"/>
        </w:rPr>
      </w:pPr>
    </w:p>
    <w:p>
      <w:pPr>
        <w:jc w:val="both"/>
        <w:ind w:firstLine="1505"/>
        <w:spacing w:after="0" w:line="297" w:lineRule="auto"/>
        <w:tabs>
          <w:tab w:leader="none" w:pos="1929"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Borrower shall (i) fail to pay any principal of any Loan or any reimbursement obligation in respect of any LC Disbursement when and as the same shall become due and payable, whether at the due date thereof or at a date fixed for prepayment thereof or otherwise or (ii) fail to deposit any amount into the Letter of Credit Collateral Account as required</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0" w:name="page201"/>
    <w:bookmarkEnd w:id="200"/>
    <w:p>
      <w:pPr>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on the Extended Commitment Termination Date or as required by </w:t>
      </w:r>
      <w:r>
        <w:rPr>
          <w:rFonts w:ascii="Arial" w:cs="Arial" w:eastAsia="Arial" w:hAnsi="Arial"/>
          <w:sz w:val="19"/>
          <w:szCs w:val="19"/>
          <w:u w:val="single" w:color="auto"/>
          <w:color w:val="auto"/>
        </w:rPr>
        <w:t>Section 2.20(b)</w:t>
      </w:r>
      <w:r>
        <w:rPr>
          <w:rFonts w:ascii="Arial" w:cs="Arial" w:eastAsia="Arial" w:hAnsi="Arial"/>
          <w:sz w:val="19"/>
          <w:szCs w:val="19"/>
          <w:color w:val="auto"/>
        </w:rPr>
        <w:t xml:space="preserve"> on the date so required;</w:t>
      </w:r>
    </w:p>
    <w:p>
      <w:pPr>
        <w:spacing w:after="0" w:line="241" w:lineRule="exact"/>
        <w:rPr>
          <w:sz w:val="20"/>
          <w:szCs w:val="20"/>
          <w:color w:val="auto"/>
        </w:rPr>
      </w:pPr>
    </w:p>
    <w:p>
      <w:pPr>
        <w:jc w:val="both"/>
        <w:ind w:right="20" w:firstLine="1505"/>
        <w:spacing w:after="0" w:line="297" w:lineRule="auto"/>
        <w:tabs>
          <w:tab w:leader="none" w:pos="1929"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the Borrower shall fail to pay any interest on any Loan or any fee or any other amount (other than an amount referred to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Article) payable under this Agreement or under any other Loan Document, when and as the same shall become due and payable, and such failure shall continue unremedied for a period of five or more Business Days;</w:t>
      </w:r>
    </w:p>
    <w:p>
      <w:pPr>
        <w:spacing w:after="0" w:line="133" w:lineRule="exact"/>
        <w:rPr>
          <w:rFonts w:ascii="Arial" w:cs="Arial" w:eastAsia="Arial" w:hAnsi="Arial"/>
          <w:sz w:val="19"/>
          <w:szCs w:val="19"/>
          <w:color w:val="auto"/>
        </w:rPr>
      </w:pPr>
    </w:p>
    <w:p>
      <w:pPr>
        <w:jc w:val="both"/>
        <w:ind w:firstLine="1505"/>
        <w:spacing w:after="0" w:line="236" w:lineRule="auto"/>
        <w:tabs>
          <w:tab w:leader="none" w:pos="1929" w:val="left"/>
        </w:tabs>
        <w:numPr>
          <w:ilvl w:val="1"/>
          <w:numId w:val="211"/>
        </w:numPr>
        <w:rPr>
          <w:rFonts w:ascii="Arial" w:cs="Arial" w:eastAsia="Arial" w:hAnsi="Arial"/>
          <w:sz w:val="22"/>
          <w:szCs w:val="22"/>
          <w:color w:val="auto"/>
        </w:rPr>
      </w:pPr>
      <w:r>
        <w:rPr>
          <w:rFonts w:ascii="Arial" w:cs="Arial" w:eastAsia="Arial" w:hAnsi="Arial"/>
          <w:sz w:val="22"/>
          <w:szCs w:val="22"/>
          <w:color w:val="auto"/>
        </w:rPr>
        <w:t>any representation or warranty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87" w:lineRule="exact"/>
        <w:rPr>
          <w:rFonts w:ascii="Arial" w:cs="Arial" w:eastAsia="Arial" w:hAnsi="Arial"/>
          <w:sz w:val="22"/>
          <w:szCs w:val="22"/>
          <w:color w:val="auto"/>
        </w:rPr>
      </w:pPr>
    </w:p>
    <w:p>
      <w:pPr>
        <w:jc w:val="both"/>
        <w:ind w:firstLine="1505"/>
        <w:spacing w:after="0" w:line="273" w:lineRule="auto"/>
        <w:tabs>
          <w:tab w:leader="none" w:pos="1929" w:val="left"/>
        </w:tabs>
        <w:numPr>
          <w:ilvl w:val="1"/>
          <w:numId w:val="211"/>
        </w:numPr>
        <w:rPr>
          <w:rFonts w:ascii="Arial" w:cs="Arial" w:eastAsia="Arial" w:hAnsi="Arial"/>
          <w:sz w:val="19"/>
          <w:szCs w:val="19"/>
          <w:color w:val="auto"/>
        </w:rPr>
      </w:pPr>
      <w:r>
        <w:rPr>
          <w:rFonts w:ascii="Arial" w:cs="Arial" w:eastAsia="Arial" w:hAnsi="Arial"/>
          <w:sz w:val="19"/>
          <w:szCs w:val="19"/>
          <w:color w:val="auto"/>
        </w:rPr>
        <w:t xml:space="preserve">the Borrower shall fail to observe or perform any covenant, condition or agreement contained in (i)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5.03</w:t>
      </w:r>
      <w:r>
        <w:rPr>
          <w:rFonts w:ascii="Arial" w:cs="Arial" w:eastAsia="Arial" w:hAnsi="Arial"/>
          <w:sz w:val="19"/>
          <w:szCs w:val="19"/>
          <w:color w:val="auto"/>
        </w:rPr>
        <w:t xml:space="preserve"> (with respect to the Borrower’s existence) or </w:t>
      </w:r>
      <w:r>
        <w:rPr>
          <w:rFonts w:ascii="Arial" w:cs="Arial" w:eastAsia="Arial" w:hAnsi="Arial"/>
          <w:sz w:val="19"/>
          <w:szCs w:val="19"/>
          <w:u w:val="single" w:color="auto"/>
          <w:color w:val="auto"/>
        </w:rPr>
        <w:t>Sections 5.08(a)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any Obligor shall default in the performance of any of its obligations contained in Section 7 of the Guarantee and Security Agreement or (ii) </w:t>
      </w:r>
      <w:r>
        <w:rPr>
          <w:rFonts w:ascii="Arial" w:cs="Arial" w:eastAsia="Arial" w:hAnsi="Arial"/>
          <w:sz w:val="19"/>
          <w:szCs w:val="19"/>
          <w:u w:val="single" w:color="auto"/>
          <w:color w:val="auto"/>
        </w:rPr>
        <w:t>Sections 5.01(e)</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auto"/>
        </w:rPr>
      </w:pPr>
    </w:p>
    <w:p>
      <w:pPr>
        <w:ind w:firstLine="8"/>
        <w:spacing w:after="0" w:line="236" w:lineRule="auto"/>
        <w:tabs>
          <w:tab w:leader="none" w:pos="270" w:val="left"/>
        </w:tabs>
        <w:numPr>
          <w:ilvl w:val="0"/>
          <w:numId w:val="212"/>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5.02</w:t>
      </w:r>
      <w:r>
        <w:rPr>
          <w:rFonts w:ascii="Arial" w:cs="Arial" w:eastAsia="Arial" w:hAnsi="Arial"/>
          <w:sz w:val="22"/>
          <w:szCs w:val="22"/>
          <w:color w:val="auto"/>
        </w:rPr>
        <w:t xml:space="preserve"> and such failure shall continue unremedied for a period of five or more days after notice thereof by the Administrative Agent (given at the request of any Lender) to the Borrower;</w:t>
      </w:r>
    </w:p>
    <w:p>
      <w:pPr>
        <w:spacing w:after="0" w:line="186" w:lineRule="exact"/>
        <w:rPr>
          <w:rFonts w:ascii="Arial" w:cs="Arial" w:eastAsia="Arial" w:hAnsi="Arial"/>
          <w:sz w:val="22"/>
          <w:szCs w:val="22"/>
          <w:u w:val="single" w:color="auto"/>
          <w:color w:val="auto"/>
        </w:rPr>
      </w:pPr>
    </w:p>
    <w:p>
      <w:pPr>
        <w:jc w:val="both"/>
        <w:ind w:firstLine="1505"/>
        <w:spacing w:after="0" w:line="279" w:lineRule="auto"/>
        <w:tabs>
          <w:tab w:leader="none" w:pos="1929" w:val="left"/>
        </w:tabs>
        <w:numPr>
          <w:ilvl w:val="1"/>
          <w:numId w:val="212"/>
        </w:numPr>
        <w:rPr>
          <w:rFonts w:ascii="Arial" w:cs="Arial" w:eastAsia="Arial" w:hAnsi="Arial"/>
          <w:sz w:val="19"/>
          <w:szCs w:val="19"/>
          <w:color w:val="auto"/>
        </w:rPr>
      </w:pPr>
      <w:r>
        <w:rPr>
          <w:rFonts w:ascii="Arial" w:cs="Arial" w:eastAsia="Arial" w:hAnsi="Arial"/>
          <w:sz w:val="19"/>
          <w:szCs w:val="19"/>
          <w:color w:val="auto"/>
        </w:rPr>
        <w:t xml:space="preserve">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9"/>
          <w:szCs w:val="19"/>
          <w:u w:val="single" w:color="auto"/>
          <w:color w:val="auto"/>
        </w:rPr>
        <w:t>Section 5.01(e)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not be an Event of Default hereunder if the Borrower shall present the Administrative Agent with a reasonably feasible plan acceptable to the Administrative Agent in its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50" w:lineRule="exact"/>
        <w:rPr>
          <w:rFonts w:ascii="Arial" w:cs="Arial" w:eastAsia="Arial" w:hAnsi="Arial"/>
          <w:sz w:val="19"/>
          <w:szCs w:val="19"/>
          <w:color w:val="auto"/>
        </w:rPr>
      </w:pPr>
    </w:p>
    <w:p>
      <w:pPr>
        <w:jc w:val="both"/>
        <w:ind w:firstLine="1505"/>
        <w:spacing w:after="0" w:line="238" w:lineRule="auto"/>
        <w:tabs>
          <w:tab w:leader="none" w:pos="1929"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the Borrower or any Obligor, as applicable, shall fail to observe or perform any covenant, condition or agreement contained in this Agreement (other than those specified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(d)</w:t>
      </w:r>
      <w:r>
        <w:rPr>
          <w:rFonts w:ascii="Arial" w:cs="Arial" w:eastAsia="Arial" w:hAnsi="Arial"/>
          <w:sz w:val="22"/>
          <w:szCs w:val="22"/>
          <w:color w:val="auto"/>
        </w:rPr>
        <w:t xml:space="preserve">, </w:t>
      </w:r>
      <w:r>
        <w:rPr>
          <w:rFonts w:ascii="Arial" w:cs="Arial" w:eastAsia="Arial" w:hAnsi="Arial"/>
          <w:sz w:val="22"/>
          <w:szCs w:val="22"/>
          <w:u w:val="single" w:color="auto"/>
          <w:color w:val="auto"/>
        </w:rPr>
        <w:t>(e)</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(r)</w:t>
      </w:r>
      <w:r>
        <w:rPr>
          <w:rFonts w:ascii="Arial" w:cs="Arial" w:eastAsia="Arial" w:hAnsi="Arial"/>
          <w:sz w:val="22"/>
          <w:szCs w:val="22"/>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84" w:lineRule="exact"/>
        <w:rPr>
          <w:rFonts w:ascii="Arial" w:cs="Arial" w:eastAsia="Arial" w:hAnsi="Arial"/>
          <w:sz w:val="22"/>
          <w:szCs w:val="22"/>
          <w:color w:val="auto"/>
        </w:rPr>
      </w:pPr>
    </w:p>
    <w:p>
      <w:pPr>
        <w:jc w:val="both"/>
        <w:ind w:firstLine="1505"/>
        <w:spacing w:after="0"/>
        <w:tabs>
          <w:tab w:leader="none" w:pos="1929" w:val="left"/>
        </w:tabs>
        <w:numPr>
          <w:ilvl w:val="1"/>
          <w:numId w:val="212"/>
        </w:numPr>
        <w:rPr>
          <w:rFonts w:ascii="Arial" w:cs="Arial" w:eastAsia="Arial" w:hAnsi="Arial"/>
          <w:sz w:val="22"/>
          <w:szCs w:val="22"/>
          <w:color w:val="auto"/>
        </w:rPr>
      </w:pPr>
      <w:r>
        <w:rPr>
          <w:rFonts w:ascii="Arial" w:cs="Arial" w:eastAsia="Arial" w:hAnsi="Arial"/>
          <w:sz w:val="22"/>
          <w:szCs w:val="22"/>
          <w:color w:val="auto"/>
        </w:rPr>
        <w:t>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86" w:lineRule="exact"/>
        <w:rPr>
          <w:rFonts w:ascii="Arial" w:cs="Arial" w:eastAsia="Arial" w:hAnsi="Arial"/>
          <w:sz w:val="22"/>
          <w:szCs w:val="22"/>
          <w:color w:val="auto"/>
        </w:rPr>
      </w:pPr>
    </w:p>
    <w:p>
      <w:pPr>
        <w:jc w:val="both"/>
        <w:ind w:firstLine="1505"/>
        <w:spacing w:after="0" w:line="252" w:lineRule="auto"/>
        <w:tabs>
          <w:tab w:leader="none" w:pos="1929" w:val="left"/>
        </w:tabs>
        <w:numPr>
          <w:ilvl w:val="1"/>
          <w:numId w:val="212"/>
        </w:numPr>
        <w:rPr>
          <w:rFonts w:ascii="Arial" w:cs="Arial" w:eastAsia="Arial" w:hAnsi="Arial"/>
          <w:sz w:val="21"/>
          <w:szCs w:val="21"/>
          <w:color w:val="auto"/>
        </w:rPr>
      </w:pPr>
      <w:r>
        <w:rPr>
          <w:rFonts w:ascii="Arial" w:cs="Arial" w:eastAsia="Arial" w:hAnsi="Arial"/>
          <w:sz w:val="21"/>
          <w:szCs w:val="21"/>
          <w:color w:val="auto"/>
        </w:rPr>
        <w:t>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123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1" w:name="page202"/>
    <w:bookmarkEnd w:id="201"/>
    <w:p>
      <w:pPr>
        <w:jc w:val="both"/>
        <w:spacing w:after="0" w:line="249" w:lineRule="auto"/>
        <w:rPr>
          <w:sz w:val="20"/>
          <w:szCs w:val="20"/>
          <w:color w:val="auto"/>
        </w:rPr>
      </w:pPr>
      <w:r>
        <w:rPr>
          <w:rFonts w:ascii="Arial" w:cs="Arial" w:eastAsia="Arial" w:hAnsi="Arial"/>
          <w:sz w:val="21"/>
          <w:szCs w:val="21"/>
          <w:color w:val="auto"/>
        </w:rPr>
        <w:t xml:space="preserve">maturity (for the avoidance of doubt, after giving effect to any applicable grace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w:t>
      </w:r>
      <w:r>
        <w:rPr>
          <w:rFonts w:ascii="Arial" w:cs="Arial" w:eastAsia="Arial" w:hAnsi="Arial"/>
          <w:sz w:val="21"/>
          <w:szCs w:val="21"/>
          <w:u w:val="single" w:color="auto"/>
          <w:color w:val="auto"/>
        </w:rPr>
        <w:t>clause (h)</w:t>
      </w:r>
      <w:r>
        <w:rPr>
          <w:rFonts w:ascii="Arial" w:cs="Arial" w:eastAsia="Arial" w:hAnsi="Arial"/>
          <w:sz w:val="21"/>
          <w:szCs w:val="21"/>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to the extent it becomes due or is paid in cash (other than interest or expenses) as a result of an “event of default” (as defined in the documents governing such convertible Material Indebtedness);</w:t>
      </w:r>
    </w:p>
    <w:p>
      <w:pPr>
        <w:spacing w:after="0" w:line="178" w:lineRule="exact"/>
        <w:rPr>
          <w:sz w:val="20"/>
          <w:szCs w:val="20"/>
          <w:color w:val="auto"/>
        </w:rPr>
      </w:pPr>
    </w:p>
    <w:p>
      <w:pPr>
        <w:jc w:val="both"/>
        <w:ind w:firstLine="1505"/>
        <w:spacing w:after="0" w:line="277" w:lineRule="auto"/>
        <w:tabs>
          <w:tab w:leader="none" w:pos="192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51" w:lineRule="exact"/>
        <w:rPr>
          <w:rFonts w:ascii="Arial" w:cs="Arial" w:eastAsia="Arial" w:hAnsi="Arial"/>
          <w:sz w:val="19"/>
          <w:szCs w:val="19"/>
          <w:color w:val="auto"/>
        </w:rPr>
      </w:pPr>
    </w:p>
    <w:p>
      <w:pPr>
        <w:jc w:val="both"/>
        <w:ind w:firstLine="1505"/>
        <w:spacing w:after="0" w:line="246" w:lineRule="auto"/>
        <w:tabs>
          <w:tab w:leader="none" w:pos="1929" w:val="left"/>
        </w:tabs>
        <w:numPr>
          <w:ilvl w:val="0"/>
          <w:numId w:val="213"/>
        </w:numPr>
        <w:rPr>
          <w:rFonts w:ascii="Arial" w:cs="Arial" w:eastAsia="Arial" w:hAnsi="Arial"/>
          <w:sz w:val="21"/>
          <w:szCs w:val="21"/>
          <w:color w:val="auto"/>
        </w:rPr>
      </w:pPr>
      <w:r>
        <w:rPr>
          <w:rFonts w:ascii="Arial" w:cs="Arial" w:eastAsia="Arial" w:hAnsi="Arial"/>
          <w:sz w:val="21"/>
          <w:szCs w:val="21"/>
          <w:color w:val="auto"/>
        </w:rPr>
        <w:t xml:space="preserve">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9" w:lineRule="exact"/>
        <w:rPr>
          <w:rFonts w:ascii="Arial" w:cs="Arial" w:eastAsia="Arial" w:hAnsi="Arial"/>
          <w:sz w:val="21"/>
          <w:szCs w:val="21"/>
          <w:color w:val="auto"/>
        </w:rPr>
      </w:pPr>
    </w:p>
    <w:p>
      <w:pPr>
        <w:ind w:right="20" w:firstLine="1505"/>
        <w:spacing w:after="0" w:line="250" w:lineRule="auto"/>
        <w:tabs>
          <w:tab w:leader="none" w:pos="1929"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Borrower or any of its Subsidiaries (other than Immaterial Subsidiaries) shall become unable, admit in writing its inability or fail generally to pay its debts as they become due;</w:t>
      </w:r>
    </w:p>
    <w:p>
      <w:pPr>
        <w:spacing w:after="0" w:line="174" w:lineRule="exact"/>
        <w:rPr>
          <w:rFonts w:ascii="Arial" w:cs="Arial" w:eastAsia="Arial" w:hAnsi="Arial"/>
          <w:sz w:val="22"/>
          <w:szCs w:val="22"/>
          <w:color w:val="auto"/>
        </w:rPr>
      </w:pPr>
    </w:p>
    <w:p>
      <w:pPr>
        <w:jc w:val="both"/>
        <w:ind w:firstLine="1505"/>
        <w:spacing w:after="0" w:line="249" w:lineRule="auto"/>
        <w:tabs>
          <w:tab w:leader="none" w:pos="1929" w:val="left"/>
        </w:tabs>
        <w:numPr>
          <w:ilvl w:val="0"/>
          <w:numId w:val="213"/>
        </w:numPr>
        <w:rPr>
          <w:rFonts w:ascii="Arial" w:cs="Arial" w:eastAsia="Arial" w:hAnsi="Arial"/>
          <w:sz w:val="21"/>
          <w:szCs w:val="21"/>
          <w:color w:val="auto"/>
        </w:rPr>
      </w:pPr>
      <w:r>
        <w:rPr>
          <w:rFonts w:ascii="Arial" w:cs="Arial" w:eastAsia="Arial" w:hAnsi="Arial"/>
          <w:sz w:val="21"/>
          <w:szCs w:val="21"/>
          <w:color w:val="auto"/>
        </w:rPr>
        <w:t>one or more judgments for the payment of money in an aggregate amount in excess of $15,000,000 shall be rendered against the 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78" w:lineRule="exact"/>
        <w:rPr>
          <w:rFonts w:ascii="Arial" w:cs="Arial" w:eastAsia="Arial" w:hAnsi="Arial"/>
          <w:sz w:val="21"/>
          <w:szCs w:val="21"/>
          <w:color w:val="auto"/>
        </w:rPr>
      </w:pPr>
    </w:p>
    <w:p>
      <w:pPr>
        <w:ind w:right="40" w:firstLine="1505"/>
        <w:spacing w:after="0" w:line="328" w:lineRule="auto"/>
        <w:tabs>
          <w:tab w:leader="none" w:pos="1929" w:val="left"/>
        </w:tabs>
        <w:numPr>
          <w:ilvl w:val="0"/>
          <w:numId w:val="213"/>
        </w:numPr>
        <w:rPr>
          <w:rFonts w:ascii="Arial" w:cs="Arial" w:eastAsia="Arial" w:hAnsi="Arial"/>
          <w:sz w:val="19"/>
          <w:szCs w:val="19"/>
          <w:color w:val="auto"/>
        </w:rPr>
      </w:pPr>
      <w:r>
        <w:rPr>
          <w:rFonts w:ascii="Arial" w:cs="Arial" w:eastAsia="Arial" w:hAnsi="Arial"/>
          <w:sz w:val="19"/>
          <w:szCs w:val="19"/>
          <w:color w:val="auto"/>
        </w:rPr>
        <w:t>an ERISA Event shall have occurred that, in the opinion of the Required Lenders, when taken together with all other ERISA Events that have occurred, could reasonably be expected to result in a Material Adverse Effect;</w:t>
      </w:r>
    </w:p>
    <w:p>
      <w:pPr>
        <w:spacing w:after="0" w:line="104" w:lineRule="exact"/>
        <w:rPr>
          <w:rFonts w:ascii="Arial" w:cs="Arial" w:eastAsia="Arial" w:hAnsi="Arial"/>
          <w:sz w:val="19"/>
          <w:szCs w:val="19"/>
          <w:color w:val="auto"/>
        </w:rPr>
      </w:pPr>
    </w:p>
    <w:p>
      <w:pPr>
        <w:ind w:left="1940" w:hanging="435"/>
        <w:spacing w:after="0"/>
        <w:tabs>
          <w:tab w:leader="none" w:pos="1940"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1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124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2" w:name="page203"/>
    <w:bookmarkEnd w:id="202"/>
    <w:p>
      <w:pPr>
        <w:ind w:left="1500"/>
        <w:spacing w:after="0"/>
        <w:tabs>
          <w:tab w:leader="none" w:pos="192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PennantPark Investment Advisers, LLC or an Affiliate thereof shall cease to be the investment advisor for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Borrower;</w:t>
      </w:r>
    </w:p>
    <w:p>
      <w:pPr>
        <w:spacing w:after="0" w:line="188" w:lineRule="exact"/>
        <w:rPr>
          <w:sz w:val="20"/>
          <w:szCs w:val="20"/>
          <w:color w:val="auto"/>
        </w:rPr>
      </w:pPr>
    </w:p>
    <w:p>
      <w:pPr>
        <w:jc w:val="both"/>
        <w:ind w:firstLine="1505"/>
        <w:spacing w:after="0" w:line="279" w:lineRule="auto"/>
        <w:tabs>
          <w:tab w:leader="none" w:pos="192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Administrative Agent, free and clear of all other Liens (other than Liens permitted under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50" w:lineRule="exact"/>
        <w:rPr>
          <w:rFonts w:ascii="Arial" w:cs="Arial" w:eastAsia="Arial" w:hAnsi="Arial"/>
          <w:sz w:val="19"/>
          <w:szCs w:val="19"/>
          <w:color w:val="auto"/>
        </w:rPr>
      </w:pPr>
    </w:p>
    <w:p>
      <w:pPr>
        <w:jc w:val="both"/>
        <w:ind w:firstLine="1505"/>
        <w:spacing w:after="0"/>
        <w:tabs>
          <w:tab w:leader="none" w:pos="192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except for expiration in accordance with its terms, any of the Security Documents shall for whatever reason be terminated or cease to be in full force and effect in any material respect, or the enforceability thereof shall be contested by the Borrower;</w:t>
      </w:r>
    </w:p>
    <w:p>
      <w:pPr>
        <w:spacing w:after="0" w:line="186" w:lineRule="exact"/>
        <w:rPr>
          <w:rFonts w:ascii="Arial" w:cs="Arial" w:eastAsia="Arial" w:hAnsi="Arial"/>
          <w:sz w:val="22"/>
          <w:szCs w:val="22"/>
          <w:color w:val="auto"/>
        </w:rPr>
      </w:pPr>
    </w:p>
    <w:p>
      <w:pPr>
        <w:jc w:val="both"/>
        <w:ind w:firstLine="1505"/>
        <w:spacing w:after="0" w:line="238" w:lineRule="auto"/>
        <w:tabs>
          <w:tab w:leader="none" w:pos="192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the Obligors shall at any time, without the consent of the Required Lenders fail to comply with the covenant contained in </w:t>
      </w:r>
      <w:r>
        <w:rPr>
          <w:rFonts w:ascii="Arial" w:cs="Arial" w:eastAsia="Arial" w:hAnsi="Arial"/>
          <w:sz w:val="22"/>
          <w:szCs w:val="22"/>
          <w:u w:val="single" w:color="auto"/>
          <w:color w:val="auto"/>
        </w:rPr>
        <w:t>Section 5.11</w:t>
      </w:r>
      <w:r>
        <w:rPr>
          <w:rFonts w:ascii="Arial" w:cs="Arial" w:eastAsia="Arial" w:hAnsi="Arial"/>
          <w:sz w:val="22"/>
          <w:szCs w:val="22"/>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84" w:lineRule="exact"/>
        <w:rPr>
          <w:rFonts w:ascii="Arial" w:cs="Arial" w:eastAsia="Arial" w:hAnsi="Arial"/>
          <w:sz w:val="22"/>
          <w:szCs w:val="22"/>
          <w:color w:val="auto"/>
        </w:rPr>
      </w:pPr>
    </w:p>
    <w:p>
      <w:pPr>
        <w:ind w:right="20" w:firstLine="1505"/>
        <w:spacing w:after="0" w:line="250" w:lineRule="auto"/>
        <w:tabs>
          <w:tab w:leader="none" w:pos="192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the Borrower or any of its Subsidiaries shall cause or permit the occurrence of any condition or event that would result in any recourse to any Obligor under any Permitted SBIC Guarantee;</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then, and in every such event (other than an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200" w:lineRule="exact"/>
        <w:rPr>
          <w:sz w:val="20"/>
          <w:szCs w:val="20"/>
          <w:color w:val="auto"/>
        </w:rPr>
      </w:pPr>
    </w:p>
    <w:p>
      <w:pPr>
        <w:spacing w:after="0" w:line="204"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In the event that the Loans shall be declared, or shall become, due and payable pursuant to the immediately preceding paragraph then, upon notice from the Administrative Agent or Lenders with LC Exposure representing more than 50% of the total LC Exposure demanding</w:t>
      </w:r>
    </w:p>
    <w:p>
      <w:pPr>
        <w:spacing w:after="0" w:line="19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125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3" w:name="page204"/>
    <w:bookmarkEnd w:id="203"/>
    <w:p>
      <w:pPr>
        <w:jc w:val="both"/>
        <w:spacing w:after="0" w:line="236" w:lineRule="auto"/>
        <w:rPr>
          <w:sz w:val="20"/>
          <w:szCs w:val="20"/>
          <w:color w:val="auto"/>
        </w:rPr>
      </w:pPr>
      <w:r>
        <w:rPr>
          <w:rFonts w:ascii="Arial" w:cs="Arial" w:eastAsia="Arial" w:hAnsi="Arial"/>
          <w:sz w:val="22"/>
          <w:szCs w:val="22"/>
          <w:color w:val="auto"/>
        </w:rPr>
        <w:t xml:space="preserve">the deposit of Cash Collateral pursuant to this paragraph, the Borrower shall immediately deposit into the Letter of Credit Collateral Account cash in an amount equal to the LC Exposure as of such date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any accrued and unpaid interest thereon;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(j)</w:t>
      </w:r>
      <w:r>
        <w:rPr>
          <w:rFonts w:ascii="Arial" w:cs="Arial" w:eastAsia="Arial" w:hAnsi="Arial"/>
          <w:sz w:val="22"/>
          <w:szCs w:val="22"/>
          <w:color w:val="auto"/>
        </w:rPr>
        <w:t xml:space="preserve"> of this Article.</w:t>
      </w:r>
    </w:p>
    <w:p>
      <w:pPr>
        <w:spacing w:after="0" w:line="187"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9"/>
          <w:szCs w:val="19"/>
          <w:u w:val="single" w:color="auto"/>
          <w:color w:val="auto"/>
        </w:rPr>
        <w:t>clause</w:t>
      </w:r>
    </w:p>
    <w:p>
      <w:pPr>
        <w:spacing w:after="0" w:line="4" w:lineRule="exact"/>
        <w:rPr>
          <w:sz w:val="20"/>
          <w:szCs w:val="20"/>
          <w:color w:val="auto"/>
        </w:rPr>
      </w:pPr>
    </w:p>
    <w:p>
      <w:pPr>
        <w:jc w:val="both"/>
        <w:ind w:firstLine="8"/>
        <w:spacing w:after="0" w:line="270" w:lineRule="auto"/>
        <w:tabs>
          <w:tab w:leader="none" w:pos="309" w:val="left"/>
        </w:tabs>
        <w:numPr>
          <w:ilvl w:val="0"/>
          <w:numId w:val="215"/>
        </w:numPr>
        <w:rPr>
          <w:rFonts w:ascii="Arial" w:cs="Arial" w:eastAsia="Arial" w:hAnsi="Arial"/>
          <w:sz w:val="19"/>
          <w:szCs w:val="19"/>
          <w:u w:val="single" w:color="auto"/>
          <w:color w:val="auto"/>
        </w:rPr>
      </w:pPr>
      <w:r>
        <w:rPr>
          <w:rFonts w:ascii="Arial" w:cs="Arial" w:eastAsia="Arial" w:hAnsi="Arial"/>
          <w:sz w:val="19"/>
          <w:szCs w:val="19"/>
          <w:color w:val="auto"/>
        </w:rPr>
        <w:t xml:space="preserve">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ADMINISTRATIVE AGENT</w:t>
      </w:r>
    </w:p>
    <w:p>
      <w:pPr>
        <w:spacing w:after="0" w:line="206"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u w:val="single" w:color="auto"/>
          <w:color w:val="auto"/>
        </w:rPr>
        <w:t>Appointment of the Administrative Agent</w:t>
      </w:r>
      <w:r>
        <w:rPr>
          <w:rFonts w:ascii="Arial" w:cs="Arial" w:eastAsia="Arial" w:hAnsi="Arial"/>
          <w:sz w:val="19"/>
          <w:szCs w:val="19"/>
          <w:color w:val="auto"/>
        </w:rPr>
        <w:t>. Each of the Lenders and the Issuing Bank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5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126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4" w:name="page205"/>
    <w:bookmarkEnd w:id="204"/>
    <w:p>
      <w:pPr>
        <w:jc w:val="both"/>
        <w:ind w:firstLine="1497"/>
        <w:spacing w:after="0" w:line="236"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u w:val="single" w:color="auto"/>
          <w:color w:val="auto"/>
        </w:rPr>
        <w:t>Capacity as Lender</w:t>
      </w:r>
      <w:r>
        <w:rPr>
          <w:rFonts w:ascii="Arial" w:cs="Arial" w:eastAsia="Arial" w:hAnsi="Arial"/>
          <w:sz w:val="22"/>
          <w:szCs w:val="22"/>
          <w:color w:val="auto"/>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7"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Limitation of Duties; Exculpation</w:t>
      </w:r>
      <w:r>
        <w:rPr>
          <w:rFonts w:ascii="Arial" w:cs="Arial" w:eastAsia="Arial" w:hAnsi="Arial"/>
          <w:sz w:val="19"/>
          <w:szCs w:val="19"/>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to any Lender or Issuing Bank for any action taken or not taken by it with the consent or at the request of the Required Lenders or in the absence of its own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or therein, other than to confirm receipt of items expressly required to be delivered to the Administrative Agent.</w:t>
      </w:r>
    </w:p>
    <w:p>
      <w:pPr>
        <w:spacing w:after="0" w:line="200" w:lineRule="exact"/>
        <w:rPr>
          <w:sz w:val="20"/>
          <w:szCs w:val="20"/>
          <w:color w:val="auto"/>
        </w:rPr>
      </w:pPr>
    </w:p>
    <w:p>
      <w:pPr>
        <w:spacing w:after="0" w:line="209"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u w:val="single" w:color="auto"/>
          <w:color w:val="auto"/>
        </w:rPr>
        <w:t>Reliance</w:t>
      </w:r>
      <w:r>
        <w:rPr>
          <w:rFonts w:ascii="Arial" w:cs="Arial" w:eastAsia="Arial" w:hAnsi="Arial"/>
          <w:sz w:val="22"/>
          <w:szCs w:val="22"/>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7"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u w:val="single" w:color="auto"/>
          <w:color w:val="auto"/>
        </w:rPr>
        <w:t>Sub-Agents</w:t>
      </w:r>
      <w:r>
        <w:rPr>
          <w:rFonts w:ascii="Arial" w:cs="Arial" w:eastAsia="Arial" w:hAnsi="Arial"/>
          <w:sz w:val="22"/>
          <w:szCs w:val="22"/>
          <w:color w:val="auto"/>
        </w:rPr>
        <w:t>. The Administrative Agent may perform any and all its duties and exercise its rights and powers by or through any one or more sub-agents appointed by the Administrative Agent. The Administrative Agent and any such sub-agent may perform any</w:t>
      </w:r>
    </w:p>
    <w:p>
      <w:pPr>
        <w:spacing w:after="0" w:line="19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127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5" w:name="page206"/>
    <w:bookmarkEnd w:id="205"/>
    <w:p>
      <w:pPr>
        <w:jc w:val="both"/>
        <w:spacing w:after="0" w:line="279" w:lineRule="auto"/>
        <w:rPr>
          <w:sz w:val="20"/>
          <w:szCs w:val="20"/>
          <w:color w:val="auto"/>
        </w:rPr>
      </w:pPr>
      <w:r>
        <w:rPr>
          <w:rFonts w:ascii="Arial" w:cs="Arial" w:eastAsia="Arial" w:hAnsi="Arial"/>
          <w:sz w:val="19"/>
          <w:szCs w:val="19"/>
          <w:color w:val="auto"/>
        </w:rPr>
        <w:t>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count of competent jurisdiction determines in a final and non-appealable judgment that the Administrative Agent acted with gross negligence or willful misconduct in the selection of such sub-agents.</w:t>
      </w:r>
    </w:p>
    <w:p>
      <w:pPr>
        <w:spacing w:after="0" w:line="150"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Resignation; Successor Administrative Agent</w:t>
      </w:r>
      <w:r>
        <w:rPr>
          <w:rFonts w:ascii="Arial" w:cs="Arial" w:eastAsia="Arial" w:hAnsi="Arial"/>
          <w:sz w:val="19"/>
          <w:szCs w:val="19"/>
          <w:color w:val="auto"/>
        </w:rPr>
        <w:t xml:space="preserve">. The Administrative Agent may resign at any time by notifying the Lenders, the Issuing Bank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shall continue in effect for its benefit in respect of any actions taken or omitted to be taken by it while it was acting as Administrative Agent.</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Any resignation by Truist as Administrative Agent pursuant to this Section shall also constitute its resignation as Issuing Bank and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52"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Reliance by Lenders</w:t>
      </w:r>
      <w:r>
        <w:rPr>
          <w:rFonts w:ascii="Arial" w:cs="Arial" w:eastAsia="Arial" w:hAnsi="Arial"/>
          <w:sz w:val="22"/>
          <w:szCs w:val="22"/>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w:t>
      </w:r>
    </w:p>
    <w:p>
      <w:pPr>
        <w:spacing w:after="0" w:line="19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128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6" w:name="page207"/>
    <w:bookmarkEnd w:id="206"/>
    <w:p>
      <w:pPr>
        <w:jc w:val="both"/>
        <w:spacing w:after="0" w:line="277" w:lineRule="auto"/>
        <w:rPr>
          <w:sz w:val="20"/>
          <w:szCs w:val="20"/>
          <w:color w:val="auto"/>
        </w:rPr>
      </w:pPr>
      <w:r>
        <w:rPr>
          <w:rFonts w:ascii="Arial" w:cs="Arial" w:eastAsia="Arial" w:hAnsi="Arial"/>
          <w:sz w:val="19"/>
          <w:szCs w:val="19"/>
          <w:color w:val="auto"/>
        </w:rPr>
        <w:t>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5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169" w:lineRule="exact"/>
        <w:rPr>
          <w:sz w:val="20"/>
          <w:szCs w:val="20"/>
          <w:color w:val="auto"/>
        </w:rPr>
      </w:pPr>
    </w:p>
    <w:p>
      <w:pPr>
        <w:jc w:val="both"/>
        <w:ind w:firstLine="1497"/>
        <w:spacing w:after="0" w:line="270"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u w:val="single" w:color="auto"/>
          <w:color w:val="auto"/>
        </w:rPr>
        <w:t>Modifications to Loan Documents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(w) to release any Subsidiary Guarantor from its guarantee obligations to the extent it may be released in accordance with Section 10.03 of the Guarantee and Security Agreement, (x) to release any Lien covering property that is the subject of either a disposition of property permitted hereunder or a disposition to which the Required Lenders have consented, (y) for the avoidance of doubt, execute and deliver agreements, instruments and other documents reasonably requested by the Borrower to implement collateral sharing with respect to Secured Longer-Term Indebtedness and Secured Shorter-Term Indebtedness, and (z) following the (i) cancellation or termination of any commitment to extend credit or issue Letters of Credit under this Agreement or any other Loan Document, (ii) final payment and performance in full of all obligations under this Agreement or any other Loan Document so long as all Letters of Credit have expired, been terminated, Cash Collateralized or backstopped and all LC Disbursements have been reimbursed and (iii) termination of this Agreement, to release all Liens and guarantees by Obligors.</w:t>
      </w:r>
    </w:p>
    <w:p>
      <w:pPr>
        <w:spacing w:after="0" w:line="200" w:lineRule="exact"/>
        <w:rPr>
          <w:sz w:val="20"/>
          <w:szCs w:val="20"/>
          <w:color w:val="auto"/>
        </w:rPr>
      </w:pPr>
    </w:p>
    <w:p>
      <w:pPr>
        <w:spacing w:after="0" w:line="21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u w:val="single" w:color="auto"/>
          <w:color w:val="auto"/>
        </w:rPr>
        <w:t>Erroneous Payments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52" w:lineRule="auto"/>
        <w:tabs>
          <w:tab w:leader="none" w:pos="192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If the Administrative Agent notifies a Lender, an Issuing Bank or an Indemnitee, or any Person who has received funds on behalf of a Lender, an Issuing Bank or an Indemnitee (any such Lender, Issuing Bank, Indemnitee or other recipient, a “</w:t>
      </w:r>
      <w:r>
        <w:rPr>
          <w:rFonts w:ascii="Arial" w:cs="Arial" w:eastAsia="Arial" w:hAnsi="Arial"/>
          <w:sz w:val="21"/>
          <w:szCs w:val="21"/>
          <w:u w:val="single" w:color="auto"/>
          <w:color w:val="auto"/>
        </w:rPr>
        <w:t>Payment Recipient</w:t>
      </w:r>
      <w:r>
        <w:rPr>
          <w:rFonts w:ascii="Arial" w:cs="Arial" w:eastAsia="Arial" w:hAnsi="Arial"/>
          <w:sz w:val="21"/>
          <w:szCs w:val="21"/>
          <w:color w:val="auto"/>
        </w:rPr>
        <w:t xml:space="preserve">”), that the Administrative Agent has determined in its sole discretion (whether or not after receipt of any notice under immediately succeeding </w:t>
      </w:r>
      <w:r>
        <w:rPr>
          <w:rFonts w:ascii="Arial" w:cs="Arial" w:eastAsia="Arial" w:hAnsi="Arial"/>
          <w:sz w:val="21"/>
          <w:szCs w:val="21"/>
          <w:u w:val="single" w:color="auto"/>
          <w:color w:val="auto"/>
        </w:rPr>
        <w:t>clause (b)</w:t>
      </w:r>
      <w:r>
        <w:rPr>
          <w:rFonts w:ascii="Arial" w:cs="Arial" w:eastAsia="Arial" w:hAnsi="Arial"/>
          <w:sz w:val="21"/>
          <w:szCs w:val="21"/>
          <w:color w:val="auto"/>
        </w:rPr>
        <w:t>) that any funds received by</w:t>
      </w:r>
    </w:p>
    <w:p>
      <w:pPr>
        <w:spacing w:after="0" w:line="18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129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7" w:name="page208"/>
    <w:bookmarkEnd w:id="207"/>
    <w:p>
      <w:pPr>
        <w:jc w:val="both"/>
        <w:spacing w:after="0" w:line="271" w:lineRule="auto"/>
        <w:rPr>
          <w:sz w:val="20"/>
          <w:szCs w:val="20"/>
          <w:color w:val="auto"/>
        </w:rPr>
      </w:pPr>
      <w:r>
        <w:rPr>
          <w:rFonts w:ascii="Arial" w:cs="Arial" w:eastAsia="Arial" w:hAnsi="Arial"/>
          <w:sz w:val="19"/>
          <w:szCs w:val="19"/>
          <w:color w:val="auto"/>
        </w:rPr>
        <w:t>such Payment Recipient from the Administrative Agent or any of its Affiliates were erroneously 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conclusive, absent manifest error.</w:t>
      </w:r>
    </w:p>
    <w:p>
      <w:pPr>
        <w:spacing w:after="0" w:line="164" w:lineRule="exact"/>
        <w:rPr>
          <w:sz w:val="20"/>
          <w:szCs w:val="20"/>
          <w:color w:val="auto"/>
        </w:rPr>
      </w:pPr>
    </w:p>
    <w:p>
      <w:pPr>
        <w:jc w:val="both"/>
        <w:ind w:firstLine="1505"/>
        <w:spacing w:after="0" w:line="245" w:lineRule="auto"/>
        <w:tabs>
          <w:tab w:leader="none" w:pos="1929" w:val="left"/>
        </w:tabs>
        <w:numPr>
          <w:ilvl w:val="0"/>
          <w:numId w:val="217"/>
        </w:numPr>
        <w:rPr>
          <w:rFonts w:ascii="Arial" w:cs="Arial" w:eastAsia="Arial" w:hAnsi="Arial"/>
          <w:sz w:val="21"/>
          <w:szCs w:val="21"/>
          <w:color w:val="auto"/>
        </w:rPr>
      </w:pPr>
      <w:r>
        <w:rPr>
          <w:rFonts w:ascii="Arial" w:cs="Arial" w:eastAsia="Arial" w:hAnsi="Arial"/>
          <w:sz w:val="21"/>
          <w:szCs w:val="21"/>
          <w:color w:val="auto"/>
        </w:rPr>
        <w:t xml:space="preserve">Without limiting the immediately preceding </w:t>
      </w:r>
      <w:r>
        <w:rPr>
          <w:rFonts w:ascii="Arial" w:cs="Arial" w:eastAsia="Arial" w:hAnsi="Arial"/>
          <w:sz w:val="21"/>
          <w:szCs w:val="21"/>
          <w:u w:val="single" w:color="auto"/>
          <w:color w:val="auto"/>
        </w:rPr>
        <w:t>clause (a)</w:t>
      </w:r>
      <w:r>
        <w:rPr>
          <w:rFonts w:ascii="Arial" w:cs="Arial" w:eastAsia="Arial" w:hAnsi="Arial"/>
          <w:sz w:val="21"/>
          <w:szCs w:val="21"/>
          <w:color w:val="auto"/>
        </w:rPr>
        <w:t>,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spacing w:after="0" w:line="184" w:lineRule="exact"/>
        <w:rPr>
          <w:sz w:val="20"/>
          <w:szCs w:val="20"/>
          <w:color w:val="auto"/>
        </w:rPr>
      </w:pPr>
    </w:p>
    <w:p>
      <w:pPr>
        <w:jc w:val="both"/>
        <w:ind w:left="760" w:firstLine="745"/>
        <w:spacing w:after="0" w:line="297" w:lineRule="auto"/>
        <w:tabs>
          <w:tab w:leader="none" w:pos="1941" w:val="left"/>
        </w:tabs>
        <w:numPr>
          <w:ilvl w:val="0"/>
          <w:numId w:val="218"/>
        </w:numPr>
        <w:rPr>
          <w:rFonts w:ascii="Arial" w:cs="Arial" w:eastAsia="Arial" w:hAnsi="Arial"/>
          <w:sz w:val="19"/>
          <w:szCs w:val="19"/>
          <w:color w:val="auto"/>
        </w:rPr>
      </w:pPr>
      <w:r>
        <w:rPr>
          <w:rFonts w:ascii="Arial" w:cs="Arial" w:eastAsia="Arial" w:hAnsi="Arial"/>
          <w:sz w:val="19"/>
          <w:szCs w:val="19"/>
          <w:color w:val="auto"/>
        </w:rPr>
        <w:t xml:space="preserve">(A) in the case of the immediately preceding </w:t>
      </w:r>
      <w:r>
        <w:rPr>
          <w:rFonts w:ascii="Arial" w:cs="Arial" w:eastAsia="Arial" w:hAnsi="Arial"/>
          <w:sz w:val="19"/>
          <w:szCs w:val="19"/>
          <w:u w:val="single" w:color="auto"/>
          <w:color w:val="auto"/>
        </w:rPr>
        <w:t>clause (x)</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(y)</w:t>
      </w:r>
      <w:r>
        <w:rPr>
          <w:rFonts w:ascii="Arial" w:cs="Arial" w:eastAsia="Arial" w:hAnsi="Arial"/>
          <w:sz w:val="19"/>
          <w:szCs w:val="19"/>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9"/>
          <w:szCs w:val="19"/>
          <w:u w:val="single" w:color="auto"/>
          <w:color w:val="auto"/>
        </w:rPr>
        <w:t>clause (z)</w:t>
      </w:r>
      <w:r>
        <w:rPr>
          <w:rFonts w:ascii="Arial" w:cs="Arial" w:eastAsia="Arial" w:hAnsi="Arial"/>
          <w:sz w:val="19"/>
          <w:szCs w:val="19"/>
          <w:color w:val="auto"/>
        </w:rPr>
        <w:t>), in each case, with respect to such payment, prepayment or repayment; and</w:t>
      </w:r>
    </w:p>
    <w:p>
      <w:pPr>
        <w:spacing w:after="0" w:line="133" w:lineRule="exact"/>
        <w:rPr>
          <w:rFonts w:ascii="Arial" w:cs="Arial" w:eastAsia="Arial" w:hAnsi="Arial"/>
          <w:sz w:val="19"/>
          <w:szCs w:val="19"/>
          <w:color w:val="auto"/>
        </w:rPr>
      </w:pPr>
    </w:p>
    <w:p>
      <w:pPr>
        <w:jc w:val="both"/>
        <w:ind w:left="760" w:firstLine="745"/>
        <w:spacing w:after="0" w:line="252" w:lineRule="auto"/>
        <w:tabs>
          <w:tab w:leader="none" w:pos="194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Arial" w:cs="Arial" w:eastAsia="Arial" w:hAnsi="Arial"/>
          <w:sz w:val="21"/>
          <w:szCs w:val="21"/>
          <w:u w:val="single" w:color="auto"/>
          <w:color w:val="auto"/>
        </w:rPr>
        <w:t>Section 8.09(b)</w:t>
      </w:r>
      <w:r>
        <w:rPr>
          <w:rFonts w:ascii="Arial" w:cs="Arial" w:eastAsia="Arial" w:hAnsi="Arial"/>
          <w:sz w:val="21"/>
          <w:szCs w:val="21"/>
          <w:color w:val="auto"/>
        </w:rPr>
        <w:t>.</w:t>
      </w:r>
    </w:p>
    <w:p>
      <w:pPr>
        <w:spacing w:after="0" w:line="174" w:lineRule="exact"/>
        <w:rPr>
          <w:sz w:val="20"/>
          <w:szCs w:val="20"/>
          <w:color w:val="auto"/>
        </w:rPr>
      </w:pPr>
    </w:p>
    <w:p>
      <w:pPr>
        <w:jc w:val="both"/>
        <w:ind w:right="20" w:firstLine="1505"/>
        <w:spacing w:after="0" w:line="297" w:lineRule="auto"/>
        <w:tabs>
          <w:tab w:leader="none" w:pos="192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8" w:name="page209"/>
    <w:bookmarkEnd w:id="208"/>
    <w:p>
      <w:pPr>
        <w:spacing w:after="0" w:line="250" w:lineRule="auto"/>
        <w:rPr>
          <w:sz w:val="20"/>
          <w:szCs w:val="20"/>
          <w:color w:val="auto"/>
        </w:rPr>
      </w:pPr>
      <w:r>
        <w:rPr>
          <w:rFonts w:ascii="Arial" w:cs="Arial" w:eastAsia="Arial" w:hAnsi="Arial"/>
          <w:sz w:val="22"/>
          <w:szCs w:val="22"/>
          <w:color w:val="auto"/>
        </w:rPr>
        <w:t xml:space="preserve">source, against any amount due to the Administrative Agent under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or under the indemnification provisions of this Agreement.</w:t>
      </w:r>
    </w:p>
    <w:p>
      <w:pPr>
        <w:spacing w:after="0" w:line="175" w:lineRule="exact"/>
        <w:rPr>
          <w:sz w:val="20"/>
          <w:szCs w:val="20"/>
          <w:color w:val="auto"/>
        </w:rPr>
      </w:pPr>
    </w:p>
    <w:p>
      <w:pPr>
        <w:jc w:val="both"/>
        <w:ind w:firstLine="1505"/>
        <w:spacing w:after="0" w:line="268" w:lineRule="auto"/>
        <w:tabs>
          <w:tab w:leader="none" w:pos="192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In the event that an Erroneous Payment (or portion thereof) is not recovered by the Administrative Agent for any reason, after demand therefor by the Administrative Agent in accordance with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9"/>
          <w:szCs w:val="19"/>
          <w:u w:val="single" w:color="auto"/>
          <w:color w:val="auto"/>
        </w:rPr>
        <w:t>Erroneous Payment Return</w:t>
      </w:r>
      <w:r>
        <w:rPr>
          <w:rFonts w:ascii="Arial" w:cs="Arial" w:eastAsia="Arial" w:hAnsi="Arial"/>
          <w:sz w:val="19"/>
          <w:szCs w:val="19"/>
          <w:color w:val="auto"/>
        </w:rPr>
        <w:t xml:space="preserve"> </w:t>
      </w:r>
      <w:r>
        <w:rPr>
          <w:rFonts w:ascii="Arial" w:cs="Arial" w:eastAsia="Arial" w:hAnsi="Arial"/>
          <w:sz w:val="19"/>
          <w:szCs w:val="19"/>
          <w:u w:val="single" w:color="auto"/>
          <w:color w:val="auto"/>
        </w:rPr>
        <w:t>Deficiency</w:t>
      </w:r>
      <w:r>
        <w:rPr>
          <w:rFonts w:ascii="Arial" w:cs="Arial" w:eastAsia="Arial" w:hAnsi="Arial"/>
          <w:sz w:val="19"/>
          <w:szCs w:val="19"/>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9"/>
          <w:szCs w:val="19"/>
          <w:u w:val="single" w:color="auto"/>
          <w:color w:val="auto"/>
        </w:rPr>
        <w:t>Erroneous Payment Impacted Class</w:t>
      </w:r>
      <w:r>
        <w:rPr>
          <w:rFonts w:ascii="Arial" w:cs="Arial" w:eastAsia="Arial" w:hAnsi="Arial"/>
          <w:sz w:val="19"/>
          <w:szCs w:val="19"/>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9"/>
          <w:szCs w:val="19"/>
          <w:u w:val="single" w:color="auto"/>
          <w:color w:val="auto"/>
        </w:rPr>
        <w:t>Erroneous Payment Deficiency Assignment</w:t>
      </w:r>
      <w:r>
        <w:rPr>
          <w:rFonts w:ascii="Arial" w:cs="Arial" w:eastAsia="Arial" w:hAnsi="Arial"/>
          <w:sz w:val="19"/>
          <w:szCs w:val="19"/>
          <w:color w:val="auto"/>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have acquired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Arial" w:cs="Arial" w:eastAsia="Arial" w:hAnsi="Arial"/>
          <w:sz w:val="19"/>
          <w:szCs w:val="19"/>
          <w:u w:val="single" w:color="auto"/>
          <w:color w:val="auto"/>
        </w:rPr>
        <w:t>Section 9.04(b)</w:t>
      </w:r>
      <w:r>
        <w:rPr>
          <w:rFonts w:ascii="Arial" w:cs="Arial" w:eastAsia="Arial" w:hAnsi="Arial"/>
          <w:sz w:val="19"/>
          <w:szCs w:val="19"/>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Indemnitee under the Loan Documents with respect to each Erroneous Payment Return Deficiency (the “</w:t>
      </w:r>
      <w:r>
        <w:rPr>
          <w:rFonts w:ascii="Arial" w:cs="Arial" w:eastAsia="Arial" w:hAnsi="Arial"/>
          <w:sz w:val="19"/>
          <w:szCs w:val="19"/>
          <w:u w:val="single" w:color="auto"/>
          <w:color w:val="auto"/>
        </w:rPr>
        <w:t>Erroneous Payment Subrogation Rights</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9" w:name="page210"/>
    <w:bookmarkEnd w:id="209"/>
    <w:p>
      <w:pPr>
        <w:jc w:val="both"/>
        <w:ind w:firstLine="1505"/>
        <w:spacing w:after="0" w:line="236" w:lineRule="auto"/>
        <w:tabs>
          <w:tab w:leader="none" w:pos="192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The parties hereto agree that an Erroneous Payment shall not pay, prepay, repay, discharge or otherwise satisfy any Revolving Credit Exposure or other obligations owed by the Borrower or any other Obligor, except, in each case, to the extent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87" w:lineRule="exact"/>
        <w:rPr>
          <w:rFonts w:ascii="Arial" w:cs="Arial" w:eastAsia="Arial" w:hAnsi="Arial"/>
          <w:sz w:val="22"/>
          <w:szCs w:val="22"/>
          <w:color w:val="auto"/>
        </w:rPr>
      </w:pPr>
    </w:p>
    <w:p>
      <w:pPr>
        <w:jc w:val="both"/>
        <w:ind w:firstLine="1505"/>
        <w:spacing w:after="0" w:line="287" w:lineRule="auto"/>
        <w:tabs>
          <w:tab w:leader="none" w:pos="1929" w:val="left"/>
        </w:tabs>
        <w:numPr>
          <w:ilvl w:val="0"/>
          <w:numId w:val="221"/>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42" w:lineRule="exact"/>
        <w:rPr>
          <w:rFonts w:ascii="Arial" w:cs="Arial" w:eastAsia="Arial" w:hAnsi="Arial"/>
          <w:sz w:val="19"/>
          <w:szCs w:val="19"/>
          <w:color w:val="auto"/>
        </w:rPr>
      </w:pPr>
    </w:p>
    <w:p>
      <w:pPr>
        <w:jc w:val="both"/>
        <w:ind w:firstLine="1505"/>
        <w:spacing w:after="0" w:line="238" w:lineRule="auto"/>
        <w:tabs>
          <w:tab w:leader="none" w:pos="1929" w:val="left"/>
        </w:tabs>
        <w:numPr>
          <w:ilvl w:val="0"/>
          <w:numId w:val="221"/>
        </w:numPr>
        <w:rPr>
          <w:rFonts w:ascii="Arial" w:cs="Arial" w:eastAsia="Arial" w:hAnsi="Arial"/>
          <w:sz w:val="22"/>
          <w:szCs w:val="22"/>
          <w:color w:val="auto"/>
        </w:rPr>
      </w:pPr>
      <w:r>
        <w:rPr>
          <w:rFonts w:ascii="Arial" w:cs="Arial" w:eastAsia="Arial" w:hAnsi="Arial"/>
          <w:sz w:val="22"/>
          <w:szCs w:val="22"/>
          <w:color w:val="auto"/>
        </w:rPr>
        <w:t xml:space="preserve">Each party’s obligations, agreements and waivers under this </w:t>
      </w:r>
      <w:r>
        <w:rPr>
          <w:rFonts w:ascii="Arial" w:cs="Arial" w:eastAsia="Arial" w:hAnsi="Arial"/>
          <w:sz w:val="22"/>
          <w:szCs w:val="22"/>
          <w:u w:val="single" w:color="auto"/>
          <w:color w:val="auto"/>
        </w:rPr>
        <w:t>Section 8.09</w:t>
      </w:r>
      <w:r>
        <w:rPr>
          <w:rFonts w:ascii="Arial" w:cs="Arial" w:eastAsia="Arial" w:hAnsi="Arial"/>
          <w:sz w:val="22"/>
          <w:szCs w:val="22"/>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33" w:lineRule="exact"/>
        <w:rPr>
          <w:sz w:val="20"/>
          <w:szCs w:val="20"/>
          <w:color w:val="auto"/>
        </w:rPr>
      </w:pPr>
    </w:p>
    <w:p>
      <w:pPr>
        <w:ind w:left="4720"/>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Notices; Electronic Communications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tabs>
          <w:tab w:leader="none" w:pos="1956"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Notices Generally</w:t>
      </w:r>
      <w:r>
        <w:rPr>
          <w:rFonts w:ascii="Arial" w:cs="Arial" w:eastAsia="Arial" w:hAnsi="Arial"/>
          <w:sz w:val="22"/>
          <w:szCs w:val="22"/>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telecopy, as follows:</w:t>
      </w:r>
    </w:p>
    <w:p>
      <w:pPr>
        <w:spacing w:after="0" w:line="186" w:lineRule="exact"/>
        <w:rPr>
          <w:sz w:val="20"/>
          <w:szCs w:val="20"/>
          <w:color w:val="auto"/>
        </w:rPr>
      </w:pPr>
    </w:p>
    <w:p>
      <w:pPr>
        <w:ind w:left="1940" w:hanging="435"/>
        <w:spacing w:after="0"/>
        <w:tabs>
          <w:tab w:leader="none" w:pos="194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if to the Borrower, to it at:</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PennantPark Investment Corporation</w:t>
      </w:r>
    </w:p>
    <w:p>
      <w:pPr>
        <w:ind w:left="3000"/>
        <w:spacing w:after="0" w:line="197" w:lineRule="auto"/>
        <w:rPr>
          <w:sz w:val="20"/>
          <w:szCs w:val="20"/>
          <w:color w:val="auto"/>
        </w:rPr>
      </w:pPr>
      <w:r>
        <w:rPr>
          <w:rFonts w:ascii="Arial" w:cs="Arial" w:eastAsia="Arial" w:hAnsi="Arial"/>
          <w:sz w:val="22"/>
          <w:szCs w:val="22"/>
          <w:color w:val="auto"/>
        </w:rPr>
        <w:t>590 Madison Avenue, 15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000"/>
        <w:spacing w:after="0" w:line="230" w:lineRule="auto"/>
        <w:rPr>
          <w:sz w:val="20"/>
          <w:szCs w:val="20"/>
          <w:color w:val="auto"/>
        </w:rPr>
      </w:pPr>
      <w:r>
        <w:rPr>
          <w:rFonts w:ascii="Arial" w:cs="Arial" w:eastAsia="Arial" w:hAnsi="Arial"/>
          <w:sz w:val="22"/>
          <w:szCs w:val="22"/>
          <w:color w:val="auto"/>
        </w:rPr>
        <w:t>New York, New York 10022</w:t>
      </w:r>
    </w:p>
    <w:p>
      <w:pPr>
        <w:ind w:left="3000"/>
        <w:spacing w:after="0" w:line="231" w:lineRule="auto"/>
        <w:rPr>
          <w:sz w:val="20"/>
          <w:szCs w:val="20"/>
          <w:color w:val="auto"/>
        </w:rPr>
      </w:pPr>
      <w:r>
        <w:rPr>
          <w:rFonts w:ascii="Arial" w:cs="Arial" w:eastAsia="Arial" w:hAnsi="Arial"/>
          <w:sz w:val="22"/>
          <w:szCs w:val="22"/>
          <w:color w:val="auto"/>
        </w:rPr>
        <w:t>Attention: Richard Cheung, Chief Financial Officer</w:t>
      </w:r>
    </w:p>
    <w:p>
      <w:pPr>
        <w:ind w:left="3000"/>
        <w:spacing w:after="0" w:line="230" w:lineRule="auto"/>
        <w:rPr>
          <w:sz w:val="20"/>
          <w:szCs w:val="20"/>
          <w:color w:val="auto"/>
        </w:rPr>
      </w:pPr>
      <w:r>
        <w:rPr>
          <w:rFonts w:ascii="Arial" w:cs="Arial" w:eastAsia="Arial" w:hAnsi="Arial"/>
          <w:sz w:val="22"/>
          <w:szCs w:val="22"/>
          <w:color w:val="auto"/>
        </w:rPr>
        <w:t>Telecopy Number: (212) 905-1075</w:t>
      </w:r>
    </w:p>
    <w:p>
      <w:pPr>
        <w:spacing w:after="0" w:line="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Telephone: (212) 905-1083</w:t>
      </w:r>
    </w:p>
    <w:p>
      <w:pPr>
        <w:spacing w:after="0" w:line="188" w:lineRule="exact"/>
        <w:rPr>
          <w:sz w:val="20"/>
          <w:szCs w:val="20"/>
          <w:color w:val="auto"/>
        </w:rPr>
      </w:pPr>
    </w:p>
    <w:p>
      <w:pPr>
        <w:ind w:left="1500"/>
        <w:spacing w:after="0"/>
        <w:tabs>
          <w:tab w:leader="none" w:pos="192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if to the Administrative Agent or Swingline Lender, to it at:</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Truist Bank</w:t>
      </w:r>
    </w:p>
    <w:p>
      <w:pPr>
        <w:ind w:left="3000"/>
        <w:spacing w:after="0" w:line="238" w:lineRule="auto"/>
        <w:rPr>
          <w:sz w:val="20"/>
          <w:szCs w:val="20"/>
          <w:color w:val="auto"/>
        </w:rPr>
      </w:pPr>
      <w:r>
        <w:rPr>
          <w:rFonts w:ascii="Arial" w:cs="Arial" w:eastAsia="Arial" w:hAnsi="Arial"/>
          <w:sz w:val="22"/>
          <w:szCs w:val="22"/>
          <w:color w:val="auto"/>
        </w:rPr>
        <w:t>3333 Peachtree Road, 7th Floor</w:t>
      </w:r>
    </w:p>
    <w:p>
      <w:pPr>
        <w:ind w:left="3000"/>
        <w:spacing w:after="0" w:line="230" w:lineRule="auto"/>
        <w:rPr>
          <w:sz w:val="20"/>
          <w:szCs w:val="20"/>
          <w:color w:val="auto"/>
        </w:rPr>
      </w:pPr>
      <w:r>
        <w:rPr>
          <w:rFonts w:ascii="Arial" w:cs="Arial" w:eastAsia="Arial" w:hAnsi="Arial"/>
          <w:sz w:val="22"/>
          <w:szCs w:val="22"/>
          <w:color w:val="auto"/>
        </w:rPr>
        <w:t>Atlanta, Georgia 30326</w:t>
      </w:r>
    </w:p>
    <w:p>
      <w:pPr>
        <w:ind w:left="3000"/>
        <w:spacing w:after="0" w:line="231" w:lineRule="auto"/>
        <w:rPr>
          <w:sz w:val="20"/>
          <w:szCs w:val="20"/>
          <w:color w:val="auto"/>
        </w:rPr>
      </w:pPr>
      <w:r>
        <w:rPr>
          <w:rFonts w:ascii="Arial" w:cs="Arial" w:eastAsia="Arial" w:hAnsi="Arial"/>
          <w:sz w:val="22"/>
          <w:szCs w:val="22"/>
          <w:color w:val="auto"/>
        </w:rPr>
        <w:t>Attention: Hays Wood</w:t>
      </w:r>
    </w:p>
    <w:p>
      <w:pPr>
        <w:ind w:left="3000"/>
        <w:spacing w:after="0"/>
        <w:rPr>
          <w:sz w:val="20"/>
          <w:szCs w:val="20"/>
          <w:color w:val="auto"/>
        </w:rPr>
      </w:pPr>
      <w:r>
        <w:rPr>
          <w:rFonts w:ascii="Arial" w:cs="Arial" w:eastAsia="Arial" w:hAnsi="Arial"/>
          <w:sz w:val="22"/>
          <w:szCs w:val="22"/>
          <w:color w:val="auto"/>
        </w:rPr>
        <w:t>Telecopy Number: (404) 836-5879</w:t>
      </w:r>
    </w:p>
    <w:p>
      <w:pPr>
        <w:spacing w:after="0" w:line="19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0" w:name="page211"/>
    <w:bookmarkEnd w:id="210"/>
    <w:p>
      <w:pPr>
        <w:ind w:left="300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Truist Bank</w:t>
      </w:r>
    </w:p>
    <w:p>
      <w:pPr>
        <w:spacing w:after="0" w:line="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Agency Services</w:t>
      </w:r>
    </w:p>
    <w:p>
      <w:pPr>
        <w:ind w:left="3000"/>
        <w:spacing w:after="0" w:line="184" w:lineRule="auto"/>
        <w:rPr>
          <w:sz w:val="20"/>
          <w:szCs w:val="20"/>
          <w:color w:val="auto"/>
        </w:rPr>
      </w:pPr>
      <w:r>
        <w:rPr>
          <w:rFonts w:ascii="Arial" w:cs="Arial" w:eastAsia="Arial" w:hAnsi="Arial"/>
          <w:sz w:val="22"/>
          <w:szCs w:val="22"/>
          <w:color w:val="auto"/>
        </w:rPr>
        <w:t>303 Peachtree Road, N. 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000"/>
        <w:spacing w:after="0" w:line="230" w:lineRule="auto"/>
        <w:rPr>
          <w:sz w:val="20"/>
          <w:szCs w:val="20"/>
          <w:color w:val="auto"/>
        </w:rPr>
      </w:pPr>
      <w:r>
        <w:rPr>
          <w:rFonts w:ascii="Arial" w:cs="Arial" w:eastAsia="Arial" w:hAnsi="Arial"/>
          <w:sz w:val="22"/>
          <w:szCs w:val="22"/>
          <w:color w:val="auto"/>
        </w:rPr>
        <w:t>Atlanta, Georgia 30308</w:t>
      </w:r>
    </w:p>
    <w:p>
      <w:pPr>
        <w:ind w:left="3000"/>
        <w:spacing w:after="0" w:line="231" w:lineRule="auto"/>
        <w:rPr>
          <w:sz w:val="20"/>
          <w:szCs w:val="20"/>
          <w:color w:val="auto"/>
        </w:rPr>
      </w:pPr>
      <w:r>
        <w:rPr>
          <w:rFonts w:ascii="Arial" w:cs="Arial" w:eastAsia="Arial" w:hAnsi="Arial"/>
          <w:sz w:val="22"/>
          <w:szCs w:val="22"/>
          <w:color w:val="auto"/>
        </w:rPr>
        <w:t>Attention: Wanda Gregory</w:t>
      </w:r>
    </w:p>
    <w:p>
      <w:pPr>
        <w:ind w:left="300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(iii) if to the Issuing Bank, to it at:</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Truist Bank</w:t>
      </w:r>
    </w:p>
    <w:p>
      <w:pPr>
        <w:ind w:left="3000"/>
        <w:spacing w:after="0" w:line="197" w:lineRule="auto"/>
        <w:rPr>
          <w:sz w:val="20"/>
          <w:szCs w:val="20"/>
          <w:color w:val="auto"/>
        </w:rPr>
      </w:pPr>
      <w:r>
        <w:rPr>
          <w:rFonts w:ascii="Arial" w:cs="Arial" w:eastAsia="Arial" w:hAnsi="Arial"/>
          <w:sz w:val="22"/>
          <w:szCs w:val="22"/>
          <w:color w:val="auto"/>
        </w:rPr>
        <w:t>303 Peachtree Road, N. E./ 25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000"/>
        <w:spacing w:after="0" w:line="230" w:lineRule="auto"/>
        <w:rPr>
          <w:sz w:val="20"/>
          <w:szCs w:val="20"/>
          <w:color w:val="auto"/>
        </w:rPr>
      </w:pPr>
      <w:r>
        <w:rPr>
          <w:rFonts w:ascii="Arial" w:cs="Arial" w:eastAsia="Arial" w:hAnsi="Arial"/>
          <w:sz w:val="22"/>
          <w:szCs w:val="22"/>
          <w:color w:val="auto"/>
        </w:rPr>
        <w:t>Atlanta, Georgia 30308</w:t>
      </w:r>
    </w:p>
    <w:p>
      <w:pPr>
        <w:ind w:left="3000"/>
        <w:spacing w:after="0" w:line="231" w:lineRule="auto"/>
        <w:rPr>
          <w:sz w:val="20"/>
          <w:szCs w:val="20"/>
          <w:color w:val="auto"/>
        </w:rPr>
      </w:pPr>
      <w:r>
        <w:rPr>
          <w:rFonts w:ascii="Arial" w:cs="Arial" w:eastAsia="Arial" w:hAnsi="Arial"/>
          <w:sz w:val="22"/>
          <w:szCs w:val="22"/>
          <w:color w:val="auto"/>
        </w:rPr>
        <w:t>Attention: Wanda Gregory</w:t>
      </w:r>
    </w:p>
    <w:p>
      <w:pPr>
        <w:ind w:left="3000"/>
        <w:spacing w:after="0"/>
        <w:rPr>
          <w:sz w:val="20"/>
          <w:szCs w:val="20"/>
          <w:color w:val="auto"/>
        </w:rPr>
      </w:pPr>
      <w:r>
        <w:rPr>
          <w:rFonts w:ascii="Arial" w:cs="Arial" w:eastAsia="Arial" w:hAnsi="Arial"/>
          <w:sz w:val="22"/>
          <w:szCs w:val="22"/>
          <w:color w:val="auto"/>
        </w:rPr>
        <w:t>Telecopy Number: (404) 658-4906</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(iv) if to any other Lender, to it at its address (or telecopy number) set forth in its Administrative Questionnaire.</w:t>
      </w:r>
    </w:p>
    <w:p>
      <w:pPr>
        <w:spacing w:after="0" w:line="241"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below, shall be effective as provided in said </w:t>
      </w:r>
      <w:r>
        <w:rPr>
          <w:rFonts w:ascii="Arial" w:cs="Arial" w:eastAsia="Arial" w:hAnsi="Arial"/>
          <w:sz w:val="19"/>
          <w:szCs w:val="19"/>
          <w:u w:val="single" w:color="auto"/>
          <w:color w:val="auto"/>
        </w:rPr>
        <w:t>paragraph (b)</w:t>
      </w:r>
      <w:r>
        <w:rPr>
          <w:rFonts w:ascii="Arial" w:cs="Arial" w:eastAsia="Arial" w:hAnsi="Arial"/>
          <w:sz w:val="19"/>
          <w:szCs w:val="19"/>
          <w:color w:val="auto"/>
        </w:rPr>
        <w:t>.</w:t>
      </w:r>
    </w:p>
    <w:p>
      <w:pPr>
        <w:spacing w:after="0" w:line="143" w:lineRule="exact"/>
        <w:rPr>
          <w:sz w:val="20"/>
          <w:szCs w:val="20"/>
          <w:color w:val="auto"/>
        </w:rPr>
      </w:pPr>
    </w:p>
    <w:p>
      <w:pPr>
        <w:jc w:val="both"/>
        <w:ind w:firstLine="1505"/>
        <w:spacing w:after="0" w:line="234" w:lineRule="auto"/>
        <w:tabs>
          <w:tab w:leader="none" w:pos="1956" w:val="left"/>
        </w:tabs>
        <w:numPr>
          <w:ilvl w:val="0"/>
          <w:numId w:val="224"/>
        </w:numPr>
        <w:rPr>
          <w:rFonts w:ascii="Arial" w:cs="Arial" w:eastAsia="Arial" w:hAnsi="Arial"/>
          <w:sz w:val="22"/>
          <w:szCs w:val="22"/>
          <w:color w:val="auto"/>
        </w:rPr>
      </w:pPr>
      <w:r>
        <w:rPr>
          <w:rFonts w:ascii="Arial" w:cs="Arial" w:eastAsia="Arial" w:hAnsi="Arial"/>
          <w:sz w:val="22"/>
          <w:szCs w:val="22"/>
          <w:u w:val="single" w:color="auto"/>
          <w:color w:val="auto"/>
        </w:rPr>
        <w:t>Electronic Communications</w:t>
      </w:r>
      <w:r>
        <w:rPr>
          <w:rFonts w:ascii="Arial" w:cs="Arial" w:eastAsia="Arial" w:hAnsi="Arial"/>
          <w:sz w:val="22"/>
          <w:szCs w:val="22"/>
          <w:color w:val="auto"/>
        </w:rPr>
        <w:t xml:space="preserve">. Notices and other communications to the Lenders and the Issuing Bank hereunder may be delivered or furnished by electronic communication (including e-mail and Internet or intranet websites) pursuant to procedures approved by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foregoing shall not apply to notices to any Lender or the Issuing Bank pursuant to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if such Lender or the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approval of such procedures may be limited to particular notices or communications.</w:t>
      </w:r>
    </w:p>
    <w:p>
      <w:pPr>
        <w:spacing w:after="0" w:line="187" w:lineRule="exact"/>
        <w:rPr>
          <w:sz w:val="20"/>
          <w:szCs w:val="20"/>
          <w:color w:val="auto"/>
        </w:rPr>
      </w:pPr>
    </w:p>
    <w:p>
      <w:pPr>
        <w:jc w:val="both"/>
        <w:ind w:firstLine="1505"/>
        <w:spacing w:after="0" w:line="234" w:lineRule="auto"/>
        <w:tabs>
          <w:tab w:leader="none" w:pos="1785"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2"/>
          <w:szCs w:val="22"/>
          <w:u w:val="single" w:color="auto"/>
          <w:color w:val="auto"/>
        </w:rPr>
        <w:t>clause</w:t>
      </w:r>
    </w:p>
    <w:p>
      <w:pPr>
        <w:spacing w:after="0" w:line="19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133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1" w:name="page212"/>
    <w:bookmarkEnd w:id="211"/>
    <w:p>
      <w:pPr>
        <w:ind w:left="260" w:hanging="252"/>
        <w:spacing w:after="0"/>
        <w:tabs>
          <w:tab w:leader="none" w:pos="260" w:val="left"/>
        </w:tabs>
        <w:numPr>
          <w:ilvl w:val="0"/>
          <w:numId w:val="226"/>
        </w:numPr>
        <w:rPr>
          <w:rFonts w:ascii="Arial" w:cs="Arial" w:eastAsia="Arial" w:hAnsi="Arial"/>
          <w:sz w:val="22"/>
          <w:szCs w:val="22"/>
          <w:u w:val="single" w:color="auto"/>
          <w:color w:val="auto"/>
        </w:rPr>
      </w:pPr>
      <w:r>
        <w:rPr>
          <w:rFonts w:ascii="Arial" w:cs="Arial" w:eastAsia="Arial" w:hAnsi="Arial"/>
          <w:sz w:val="22"/>
          <w:szCs w:val="22"/>
          <w:color w:val="auto"/>
        </w:rPr>
        <w:t>of notification that such notice or communication is available and identifying the website address therefor.</w:t>
      </w:r>
    </w:p>
    <w:p>
      <w:pPr>
        <w:spacing w:after="0" w:line="20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55" w:lineRule="exact"/>
        <w:rPr>
          <w:sz w:val="20"/>
          <w:szCs w:val="20"/>
          <w:color w:val="auto"/>
        </w:rPr>
      </w:pPr>
    </w:p>
    <w:p>
      <w:pPr>
        <w:jc w:val="both"/>
        <w:ind w:firstLine="1505"/>
        <w:spacing w:after="0" w:line="273" w:lineRule="auto"/>
        <w:tabs>
          <w:tab w:leader="none" w:pos="1956" w:val="left"/>
        </w:tabs>
        <w:numPr>
          <w:ilvl w:val="0"/>
          <w:numId w:val="227"/>
        </w:numPr>
        <w:rPr>
          <w:rFonts w:ascii="Arial" w:cs="Arial" w:eastAsia="Arial" w:hAnsi="Arial"/>
          <w:sz w:val="19"/>
          <w:szCs w:val="19"/>
          <w:color w:val="auto"/>
        </w:rPr>
      </w:pPr>
      <w:r>
        <w:rPr>
          <w:rFonts w:ascii="Arial" w:cs="Arial" w:eastAsia="Arial" w:hAnsi="Arial"/>
          <w:sz w:val="19"/>
          <w:szCs w:val="19"/>
          <w:u w:val="single" w:color="auto"/>
          <w:color w:val="auto"/>
        </w:rPr>
        <w:t>Private Side Information Contacts</w:t>
      </w:r>
      <w:r>
        <w:rPr>
          <w:rFonts w:ascii="Arial" w:cs="Arial" w:eastAsia="Arial" w:hAnsi="Arial"/>
          <w:sz w:val="19"/>
          <w:szCs w:val="19"/>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60" w:lineRule="exact"/>
        <w:rPr>
          <w:rFonts w:ascii="Arial" w:cs="Arial" w:eastAsia="Arial" w:hAnsi="Arial"/>
          <w:sz w:val="19"/>
          <w:szCs w:val="19"/>
          <w:color w:val="auto"/>
        </w:rPr>
      </w:pPr>
    </w:p>
    <w:p>
      <w:pPr>
        <w:jc w:val="both"/>
        <w:ind w:firstLine="1505"/>
        <w:spacing w:after="0" w:line="248" w:lineRule="auto"/>
        <w:tabs>
          <w:tab w:leader="none" w:pos="1929" w:val="left"/>
        </w:tabs>
        <w:numPr>
          <w:ilvl w:val="0"/>
          <w:numId w:val="227"/>
        </w:numPr>
        <w:rPr>
          <w:rFonts w:ascii="Arial" w:cs="Arial" w:eastAsia="Arial" w:hAnsi="Arial"/>
          <w:sz w:val="21"/>
          <w:szCs w:val="21"/>
          <w:color w:val="auto"/>
        </w:rPr>
      </w:pPr>
      <w:r>
        <w:rPr>
          <w:rFonts w:ascii="Arial" w:cs="Arial" w:eastAsia="Arial" w:hAnsi="Arial"/>
          <w:sz w:val="21"/>
          <w:szCs w:val="21"/>
          <w:u w:val="single" w:color="auto"/>
          <w:color w:val="auto"/>
        </w:rPr>
        <w:t>Documents to be Delivered under Sections 5.01 and 5.12(a)</w:t>
      </w:r>
      <w:r>
        <w:rPr>
          <w:rFonts w:ascii="Arial" w:cs="Arial" w:eastAsia="Arial" w:hAnsi="Arial"/>
          <w:sz w:val="21"/>
          <w:szCs w:val="21"/>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21"/>
          <w:szCs w:val="21"/>
          <w:u w:val="single" w:color="auto"/>
          <w:color w:val="auto"/>
        </w:rPr>
        <w:t>Sections 5.01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5.12(a)</w:t>
      </w:r>
      <w:r>
        <w:rPr>
          <w:rFonts w:ascii="Arial" w:cs="Arial" w:eastAsia="Arial" w:hAnsi="Arial"/>
          <w:sz w:val="21"/>
          <w:szCs w:val="21"/>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Administrative Agent shall have no responsibility to maintain access to Intralinks™ or an equivalent website.</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u w:val="single" w:color="auto"/>
          <w:color w:val="auto"/>
        </w:rPr>
        <w:t>Waivers; Amendments</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97" w:lineRule="auto"/>
        <w:tabs>
          <w:tab w:leader="none" w:pos="1943" w:val="left"/>
        </w:tabs>
        <w:numPr>
          <w:ilvl w:val="0"/>
          <w:numId w:val="228"/>
        </w:numPr>
        <w:rPr>
          <w:rFonts w:ascii="Arial" w:cs="Arial" w:eastAsia="Arial" w:hAnsi="Arial"/>
          <w:sz w:val="19"/>
          <w:szCs w:val="19"/>
          <w:color w:val="auto"/>
        </w:rPr>
      </w:pPr>
      <w:r>
        <w:rPr>
          <w:rFonts w:ascii="Arial" w:cs="Arial" w:eastAsia="Arial" w:hAnsi="Arial"/>
          <w:sz w:val="19"/>
          <w:szCs w:val="19"/>
          <w:u w:val="single" w:color="auto"/>
          <w:color w:val="auto"/>
        </w:rPr>
        <w:t>No Deemed Waivers Remedies Cumulative</w:t>
      </w:r>
      <w:r>
        <w:rPr>
          <w:rFonts w:ascii="Arial" w:cs="Arial" w:eastAsia="Arial" w:hAnsi="Arial"/>
          <w:sz w:val="19"/>
          <w:szCs w:val="19"/>
          <w:color w:val="auto"/>
        </w:rPr>
        <w:t>. No failure or delay by the Administrative Agent the Issuing Bank, the Swingline Lender or any other Lender in exercising any right or power hereunder shall operate as a waiver thereof nor shall any single or partial exercise of any such right or power, or any abandonment or discontinuance of steps to enforce</w:t>
      </w:r>
    </w:p>
    <w:p>
      <w:pPr>
        <w:spacing w:after="0" w:line="14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134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2" w:name="page213"/>
    <w:bookmarkEnd w:id="212"/>
    <w:p>
      <w:pPr>
        <w:jc w:val="both"/>
        <w:spacing w:after="0" w:line="275" w:lineRule="auto"/>
        <w:rPr>
          <w:sz w:val="20"/>
          <w:szCs w:val="20"/>
          <w:color w:val="auto"/>
        </w:rPr>
      </w:pPr>
      <w:r>
        <w:rPr>
          <w:rFonts w:ascii="Arial" w:cs="Arial" w:eastAsia="Arial" w:hAnsi="Arial"/>
          <w:sz w:val="19"/>
          <w:szCs w:val="19"/>
          <w:color w:val="auto"/>
        </w:rPr>
        <w:t xml:space="preserve">such a right or power, preclude any other or further exercise thereof or the exercise of any other right or power. The rights and remedies of the Administrative Agent, the Issuing Bank, the Swingline Lender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the Swingline Lender, any Lender or the Issuing Bank may have had notice or knowledge of such Default at the time.</w:t>
      </w:r>
    </w:p>
    <w:p>
      <w:pPr>
        <w:spacing w:after="0" w:line="157" w:lineRule="exact"/>
        <w:rPr>
          <w:sz w:val="20"/>
          <w:szCs w:val="20"/>
          <w:color w:val="auto"/>
        </w:rPr>
      </w:pPr>
    </w:p>
    <w:p>
      <w:pPr>
        <w:jc w:val="both"/>
        <w:ind w:firstLine="1505"/>
        <w:spacing w:after="0" w:line="238" w:lineRule="auto"/>
        <w:tabs>
          <w:tab w:leader="none" w:pos="1970" w:val="left"/>
        </w:tabs>
        <w:numPr>
          <w:ilvl w:val="0"/>
          <w:numId w:val="229"/>
        </w:numPr>
        <w:rPr>
          <w:rFonts w:ascii="Arial" w:cs="Arial" w:eastAsia="Arial" w:hAnsi="Arial"/>
          <w:sz w:val="22"/>
          <w:szCs w:val="22"/>
          <w:color w:val="auto"/>
        </w:rPr>
      </w:pPr>
      <w:r>
        <w:rPr>
          <w:rFonts w:ascii="Arial" w:cs="Arial" w:eastAsia="Arial" w:hAnsi="Arial"/>
          <w:sz w:val="22"/>
          <w:szCs w:val="22"/>
          <w:u w:val="single" w:color="auto"/>
          <w:color w:val="auto"/>
        </w:rPr>
        <w:t>Amendments to this Agreement</w:t>
      </w:r>
      <w:r>
        <w:rPr>
          <w:rFonts w:ascii="Arial" w:cs="Arial" w:eastAsia="Arial" w:hAnsi="Arial"/>
          <w:sz w:val="22"/>
          <w:szCs w:val="22"/>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agreement shall</w:t>
      </w:r>
    </w:p>
    <w:p>
      <w:pPr>
        <w:spacing w:after="0" w:line="185" w:lineRule="exact"/>
        <w:rPr>
          <w:sz w:val="20"/>
          <w:szCs w:val="20"/>
          <w:color w:val="auto"/>
        </w:rPr>
      </w:pPr>
    </w:p>
    <w:p>
      <w:pPr>
        <w:ind w:left="1940" w:hanging="435"/>
        <w:spacing w:after="0"/>
        <w:tabs>
          <w:tab w:leader="none" w:pos="194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increase the Commitment of any Lender without the written consent of such Lender,</w:t>
      </w:r>
    </w:p>
    <w:p>
      <w:pPr>
        <w:spacing w:after="0" w:line="206" w:lineRule="exact"/>
        <w:rPr>
          <w:rFonts w:ascii="Arial" w:cs="Arial" w:eastAsia="Arial" w:hAnsi="Arial"/>
          <w:sz w:val="22"/>
          <w:szCs w:val="22"/>
          <w:color w:val="auto"/>
        </w:rPr>
      </w:pPr>
    </w:p>
    <w:p>
      <w:pPr>
        <w:jc w:val="both"/>
        <w:ind w:left="760" w:firstLine="745"/>
        <w:spacing w:after="0"/>
        <w:tabs>
          <w:tab w:leader="none" w:pos="194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reduce the principal amount of any Loan or LC Disbursement or reduce the rate of interest thereon (other than with respect to the election of or the failure to elect the Default Rate), or reduce any fees payable hereunder, without the written consent of each Lender directly affected thereby,</w:t>
      </w:r>
    </w:p>
    <w:p>
      <w:pPr>
        <w:spacing w:after="0" w:line="186" w:lineRule="exact"/>
        <w:rPr>
          <w:rFonts w:ascii="Arial" w:cs="Arial" w:eastAsia="Arial" w:hAnsi="Arial"/>
          <w:sz w:val="22"/>
          <w:szCs w:val="22"/>
          <w:color w:val="auto"/>
        </w:rPr>
      </w:pPr>
    </w:p>
    <w:p>
      <w:pPr>
        <w:jc w:val="both"/>
        <w:ind w:left="760" w:firstLine="745"/>
        <w:spacing w:after="0" w:line="238" w:lineRule="auto"/>
        <w:tabs>
          <w:tab w:leader="none" w:pos="194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w:t>
      </w:r>
    </w:p>
    <w:p>
      <w:pPr>
        <w:spacing w:after="0" w:line="184" w:lineRule="exact"/>
        <w:rPr>
          <w:rFonts w:ascii="Arial" w:cs="Arial" w:eastAsia="Arial" w:hAnsi="Arial"/>
          <w:sz w:val="22"/>
          <w:szCs w:val="22"/>
          <w:color w:val="auto"/>
        </w:rPr>
      </w:pPr>
    </w:p>
    <w:p>
      <w:pPr>
        <w:ind w:left="760" w:firstLine="745"/>
        <w:spacing w:after="0" w:line="328" w:lineRule="auto"/>
        <w:tabs>
          <w:tab w:leader="none" w:pos="1941"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change </w:t>
      </w:r>
      <w:r>
        <w:rPr>
          <w:rFonts w:ascii="Arial" w:cs="Arial" w:eastAsia="Arial" w:hAnsi="Arial"/>
          <w:sz w:val="19"/>
          <w:szCs w:val="19"/>
          <w:u w:val="single" w:color="auto"/>
          <w:color w:val="auto"/>
        </w:rPr>
        <w:t>Section 2.17(b)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in a manner that would alter the pro rata sharing of payments, or making of disbursements, required thereby without the written consent of each Lender directly affected thereby, or</w:t>
      </w:r>
    </w:p>
    <w:p>
      <w:pPr>
        <w:spacing w:after="0" w:line="104" w:lineRule="exact"/>
        <w:rPr>
          <w:rFonts w:ascii="Arial" w:cs="Arial" w:eastAsia="Arial" w:hAnsi="Arial"/>
          <w:sz w:val="19"/>
          <w:szCs w:val="19"/>
          <w:color w:val="auto"/>
        </w:rPr>
      </w:pPr>
    </w:p>
    <w:p>
      <w:pPr>
        <w:jc w:val="both"/>
        <w:ind w:left="760" w:firstLine="745"/>
        <w:spacing w:after="0" w:line="238" w:lineRule="auto"/>
        <w:tabs>
          <w:tab w:leader="none" w:pos="1941" w:val="left"/>
        </w:tabs>
        <w:numPr>
          <w:ilvl w:val="0"/>
          <w:numId w:val="230"/>
        </w:numPr>
        <w:rPr>
          <w:rFonts w:ascii="Arial" w:cs="Arial" w:eastAsia="Arial" w:hAnsi="Arial"/>
          <w:sz w:val="22"/>
          <w:szCs w:val="22"/>
          <w:color w:val="auto"/>
        </w:rPr>
      </w:pPr>
      <w:r>
        <w:rPr>
          <w:rFonts w:ascii="Arial" w:cs="Arial" w:eastAsia="Arial" w:hAnsi="Arial"/>
          <w:sz w:val="22"/>
          <w:szCs w:val="22"/>
          <w:color w:val="auto"/>
        </w:rPr>
        <w:t>change any of the provisions of this Section or the definition of the term “Required Lenders” or any other provision hereof specifying the number or percentage of Lenders required to waive, amend or modify any rights hereunder or make any determination or grant any consent hereunder, without the written consent of each Lender directly affected thereby;</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(x)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and (y) the consent of Lenders (other than Defaulting Lenders) holding not less than two-thirds of the Revolving Credit Exposure and unused Commitments (other than of Defaulting Lenders) will be required (A) for any adverse change affecting the provisions of this</w:t>
      </w:r>
    </w:p>
    <w:p>
      <w:pPr>
        <w:spacing w:after="0" w:line="1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135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3" w:name="page214"/>
    <w:bookmarkEnd w:id="213"/>
    <w:p>
      <w:pPr>
        <w:spacing w:after="0"/>
        <w:rPr>
          <w:sz w:val="20"/>
          <w:szCs w:val="20"/>
          <w:color w:val="auto"/>
        </w:rPr>
      </w:pPr>
      <w:r>
        <w:rPr>
          <w:rFonts w:ascii="Arial" w:cs="Arial" w:eastAsia="Arial" w:hAnsi="Arial"/>
          <w:sz w:val="19"/>
          <w:szCs w:val="19"/>
          <w:color w:val="auto"/>
        </w:rPr>
        <w:t xml:space="preserve">Agreement relating to the Borrowing Base (including the definitions used therein), or the provisions of </w:t>
      </w:r>
      <w:r>
        <w:rPr>
          <w:rFonts w:ascii="Arial" w:cs="Arial" w:eastAsia="Arial" w:hAnsi="Arial"/>
          <w:sz w:val="19"/>
          <w:szCs w:val="19"/>
          <w:u w:val="single" w:color="auto"/>
          <w:color w:val="auto"/>
        </w:rPr>
        <w:t>Section 5.12(c)(ii)</w:t>
      </w:r>
      <w:r>
        <w:rPr>
          <w:rFonts w:ascii="Arial" w:cs="Arial" w:eastAsia="Arial" w:hAnsi="Arial"/>
          <w:sz w:val="19"/>
          <w:szCs w:val="19"/>
          <w:color w:val="auto"/>
        </w:rPr>
        <w:t>, and</w:t>
      </w:r>
    </w:p>
    <w:p>
      <w:pPr>
        <w:spacing w:after="0" w:line="43" w:lineRule="exact"/>
        <w:rPr>
          <w:sz w:val="20"/>
          <w:szCs w:val="20"/>
          <w:color w:val="auto"/>
        </w:rPr>
      </w:pPr>
    </w:p>
    <w:p>
      <w:pPr>
        <w:ind w:firstLine="8"/>
        <w:spacing w:after="0" w:line="236" w:lineRule="auto"/>
        <w:tabs>
          <w:tab w:leader="none" w:pos="345" w:val="left"/>
        </w:tabs>
        <w:numPr>
          <w:ilvl w:val="0"/>
          <w:numId w:val="231"/>
        </w:numPr>
        <w:rPr>
          <w:rFonts w:ascii="Arial" w:cs="Arial" w:eastAsia="Arial" w:hAnsi="Arial"/>
          <w:sz w:val="22"/>
          <w:szCs w:val="22"/>
          <w:u w:val="single" w:color="auto"/>
          <w:color w:val="auto"/>
        </w:rPr>
      </w:pPr>
      <w:r>
        <w:rPr>
          <w:rFonts w:ascii="Arial" w:cs="Arial" w:eastAsia="Arial" w:hAnsi="Arial"/>
          <w:sz w:val="22"/>
          <w:szCs w:val="22"/>
          <w:color w:val="auto"/>
        </w:rPr>
        <w:t>for any release of any material portion of the Collateral other than for fair value or as otherwise permitted hereunder or under the other Loan Documents.</w:t>
      </w:r>
    </w:p>
    <w:p>
      <w:pPr>
        <w:spacing w:after="0" w:line="187" w:lineRule="exact"/>
        <w:rPr>
          <w:sz w:val="20"/>
          <w:szCs w:val="20"/>
          <w:color w:val="auto"/>
        </w:rPr>
      </w:pPr>
    </w:p>
    <w:p>
      <w:pPr>
        <w:jc w:val="both"/>
        <w:ind w:firstLine="1497"/>
        <w:spacing w:after="0" w:line="269" w:lineRule="auto"/>
        <w:rPr>
          <w:sz w:val="20"/>
          <w:szCs w:val="20"/>
          <w:color w:val="auto"/>
        </w:rPr>
      </w:pPr>
      <w:r>
        <w:rPr>
          <w:rFonts w:ascii="Arial" w:cs="Arial" w:eastAsia="Arial" w:hAnsi="Arial"/>
          <w:sz w:val="19"/>
          <w:szCs w:val="19"/>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 Any Non-Extending Lender that has had all of its obligations under this Agreement and each other Loan Document paid in full shall cease to be a Lender under the Loan Documents following the earlier to occur of (i) such Non-Extending Lender’s Non-Extended Commitment Termination Date or</w:t>
      </w:r>
    </w:p>
    <w:p>
      <w:pPr>
        <w:spacing w:after="0" w:line="1" w:lineRule="exact"/>
        <w:rPr>
          <w:sz w:val="20"/>
          <w:szCs w:val="20"/>
          <w:color w:val="auto"/>
        </w:rPr>
      </w:pPr>
    </w:p>
    <w:p>
      <w:pPr>
        <w:ind w:firstLine="8"/>
        <w:spacing w:after="0" w:line="308" w:lineRule="auto"/>
        <w:tabs>
          <w:tab w:leader="none" w:pos="32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the termination of such Non-Extending Lender’s Commitment in its entirety pursuant to </w:t>
      </w:r>
      <w:r>
        <w:rPr>
          <w:rFonts w:ascii="Arial" w:cs="Arial" w:eastAsia="Arial" w:hAnsi="Arial"/>
          <w:sz w:val="19"/>
          <w:szCs w:val="19"/>
          <w:u w:val="single" w:color="auto"/>
          <w:color w:val="auto"/>
        </w:rPr>
        <w:t>Section 2.08(f)</w:t>
      </w:r>
      <w:r>
        <w:rPr>
          <w:rFonts w:ascii="Arial" w:cs="Arial" w:eastAsia="Arial" w:hAnsi="Arial"/>
          <w:sz w:val="19"/>
          <w:szCs w:val="19"/>
          <w:color w:val="auto"/>
        </w:rPr>
        <w:t>, except with respect to any provision applicable to such Non-Extending Lender that expressly survives the termination of a Loan Document.</w:t>
      </w:r>
    </w:p>
    <w:p>
      <w:pPr>
        <w:spacing w:after="0" w:line="123" w:lineRule="exact"/>
        <w:rPr>
          <w:rFonts w:ascii="Arial" w:cs="Arial" w:eastAsia="Arial" w:hAnsi="Arial"/>
          <w:sz w:val="19"/>
          <w:szCs w:val="19"/>
          <w:color w:val="auto"/>
        </w:rPr>
      </w:pPr>
    </w:p>
    <w:p>
      <w:pPr>
        <w:jc w:val="both"/>
        <w:ind w:firstLine="1505"/>
        <w:spacing w:after="0" w:line="270" w:lineRule="auto"/>
        <w:tabs>
          <w:tab w:leader="none" w:pos="1943" w:val="left"/>
        </w:tabs>
        <w:numPr>
          <w:ilvl w:val="1"/>
          <w:numId w:val="232"/>
        </w:numPr>
        <w:rPr>
          <w:rFonts w:ascii="Arial" w:cs="Arial" w:eastAsia="Arial" w:hAnsi="Arial"/>
          <w:sz w:val="19"/>
          <w:szCs w:val="19"/>
          <w:color w:val="auto"/>
        </w:rPr>
      </w:pPr>
      <w:r>
        <w:rPr>
          <w:rFonts w:ascii="Arial" w:cs="Arial" w:eastAsia="Arial" w:hAnsi="Arial"/>
          <w:sz w:val="19"/>
          <w:szCs w:val="19"/>
          <w:u w:val="single" w:color="auto"/>
          <w:color w:val="auto"/>
        </w:rPr>
        <w:t>Amendments to Security Documents</w:t>
      </w:r>
      <w:r>
        <w:rPr>
          <w:rFonts w:ascii="Arial" w:cs="Arial" w:eastAsia="Arial" w:hAnsi="Arial"/>
          <w:sz w:val="19"/>
          <w:szCs w:val="19"/>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9"/>
          <w:szCs w:val="19"/>
          <w:u w:val="single" w:color="auto"/>
          <w:color w:val="auto"/>
        </w:rPr>
        <w:t>Section 2.08(e)</w:t>
      </w:r>
      <w:r>
        <w:rPr>
          <w:rFonts w:ascii="Arial" w:cs="Arial" w:eastAsia="Arial" w:hAnsi="Arial"/>
          <w:sz w:val="19"/>
          <w:szCs w:val="19"/>
          <w:color w:val="auto"/>
        </w:rPr>
        <w:t xml:space="preserve"> to an amount not greater than $750,000,000) except pursuant to an agreement or agreements in writing entered into by the Borrower, and by the Collateral Agent with the consent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 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Section 10.03 of the Guarantee and Security Agreement and (z) to release (and to acknowledge the release of) all Liens and guarantees of Obligors with respect to the Revolving Credit Exposure upon the termination of this Agreement (including in connection with a complete refinancing) following the payment in full in cash of all Revolving Credit Exposure (other than contingent indemnification and fee reimbursement obligations) following the termination of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Administrative Agent shall not be required under this </w:t>
      </w:r>
      <w:r>
        <w:rPr>
          <w:rFonts w:ascii="Arial" w:cs="Arial" w:eastAsia="Arial" w:hAnsi="Arial"/>
          <w:sz w:val="19"/>
          <w:szCs w:val="19"/>
          <w:u w:val="single" w:color="auto"/>
          <w:color w:val="auto"/>
        </w:rPr>
        <w:t>clause (z)</w:t>
      </w:r>
      <w:r>
        <w:rPr>
          <w:rFonts w:ascii="Arial" w:cs="Arial" w:eastAsia="Arial" w:hAnsi="Arial"/>
          <w:sz w:val="19"/>
          <w:szCs w:val="19"/>
          <w:color w:val="auto"/>
        </w:rPr>
        <w:t xml:space="preserve"> to instruct the Collateral Agent to release any Lien or guarantee of an Obligor solely as it relates to</w:t>
      </w:r>
    </w:p>
    <w:p>
      <w:pPr>
        <w:spacing w:after="0" w:line="200" w:lineRule="exact"/>
        <w:rPr>
          <w:sz w:val="20"/>
          <w:szCs w:val="20"/>
          <w:color w:val="auto"/>
        </w:rPr>
      </w:pPr>
    </w:p>
    <w:p>
      <w:pPr>
        <w:spacing w:after="0" w:line="21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136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4" w:name="page215"/>
    <w:bookmarkEnd w:id="214"/>
    <w:p>
      <w:pPr>
        <w:spacing w:after="0" w:line="250" w:lineRule="auto"/>
        <w:rPr>
          <w:sz w:val="20"/>
          <w:szCs w:val="20"/>
          <w:color w:val="auto"/>
        </w:rPr>
      </w:pPr>
      <w:r>
        <w:rPr>
          <w:rFonts w:ascii="Arial" w:cs="Arial" w:eastAsia="Arial" w:hAnsi="Arial"/>
          <w:sz w:val="22"/>
          <w:szCs w:val="22"/>
          <w:color w:val="auto"/>
        </w:rPr>
        <w:t>such Lien securing or guarantee guaranteeing any Secured Obligations other than Credit Agreement Obligations (in each case, as defined in the Guarantee and Security Agreement).</w:t>
      </w:r>
    </w:p>
    <w:p>
      <w:pPr>
        <w:spacing w:after="0" w:line="175" w:lineRule="exact"/>
        <w:rPr>
          <w:sz w:val="20"/>
          <w:szCs w:val="20"/>
          <w:color w:val="auto"/>
        </w:rPr>
      </w:pPr>
    </w:p>
    <w:p>
      <w:pPr>
        <w:jc w:val="both"/>
        <w:ind w:firstLine="1505"/>
        <w:spacing w:after="0" w:line="277" w:lineRule="auto"/>
        <w:tabs>
          <w:tab w:leader="none" w:pos="1929" w:val="left"/>
        </w:tabs>
        <w:numPr>
          <w:ilvl w:val="0"/>
          <w:numId w:val="233"/>
        </w:numPr>
        <w:rPr>
          <w:rFonts w:ascii="Arial" w:cs="Arial" w:eastAsia="Arial" w:hAnsi="Arial"/>
          <w:sz w:val="19"/>
          <w:szCs w:val="19"/>
          <w:color w:val="auto"/>
        </w:rPr>
      </w:pPr>
      <w:r>
        <w:rPr>
          <w:rFonts w:ascii="Arial" w:cs="Arial" w:eastAsia="Arial" w:hAnsi="Arial"/>
          <w:sz w:val="19"/>
          <w:szCs w:val="19"/>
          <w:u w:val="single" w:color="auto"/>
          <w:color w:val="auto"/>
        </w:rPr>
        <w:t>Replacement of Non-Consenting Lender</w:t>
      </w:r>
      <w:r>
        <w:rPr>
          <w:rFonts w:ascii="Arial" w:cs="Arial" w:eastAsia="Arial" w:hAnsi="Arial"/>
          <w:sz w:val="19"/>
          <w:szCs w:val="19"/>
          <w:color w:val="auto"/>
        </w:rPr>
        <w:t xml:space="preserve">. If, in connection with any proposed change, waiver, discharge or termination to any of the provisions of this Agreement as contemplated by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9"/>
          <w:szCs w:val="19"/>
          <w:u w:val="single" w:color="auto"/>
          <w:color w:val="auto"/>
        </w:rPr>
        <w:t>Section 2.18(b)</w:t>
      </w:r>
      <w:r>
        <w:rPr>
          <w:rFonts w:ascii="Arial" w:cs="Arial" w:eastAsia="Arial" w:hAnsi="Arial"/>
          <w:sz w:val="19"/>
          <w:szCs w:val="19"/>
          <w:color w:val="auto"/>
        </w:rPr>
        <w:t xml:space="preserve"> so long as at the time of such replacement, each such replacement Lender consents to the proposed change, waiver, discharge or termination.</w:t>
      </w:r>
    </w:p>
    <w:p>
      <w:pPr>
        <w:spacing w:after="0" w:line="15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Expenses; Indemnity; Damage Waiver</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1" w:lineRule="auto"/>
        <w:tabs>
          <w:tab w:leader="none" w:pos="1943"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pay (i) all reasonable and documented out-of-pocket costs and expenses incurred by the 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(iii) all reasonable and documented out-of-pocket costs and expenses incurred by the Administrative Agent, the Issuing Bank, the Swingline Lender or any other Lender, including the reasonable and documented fees, charges and disbursements of one outside counsel for the Administrative Agent, the Issuing Bank and the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reasonably incurred in connection with any filing, registration, recording or perfection of any security interest contemplated by any Security Document or any other document referred to therein.</w:t>
      </w:r>
    </w:p>
    <w:p>
      <w:pPr>
        <w:spacing w:after="0" w:line="156" w:lineRule="exact"/>
        <w:rPr>
          <w:rFonts w:ascii="Arial" w:cs="Arial" w:eastAsia="Arial" w:hAnsi="Arial"/>
          <w:sz w:val="19"/>
          <w:szCs w:val="19"/>
          <w:color w:val="auto"/>
        </w:rPr>
      </w:pPr>
    </w:p>
    <w:p>
      <w:pPr>
        <w:jc w:val="both"/>
        <w:ind w:firstLine="1505"/>
        <w:spacing w:after="0" w:line="275" w:lineRule="auto"/>
        <w:tabs>
          <w:tab w:leader="none" w:pos="1943"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Indemnification by the Borrower</w:t>
      </w:r>
      <w:r>
        <w:rPr>
          <w:rFonts w:ascii="Arial" w:cs="Arial" w:eastAsia="Arial" w:hAnsi="Arial"/>
          <w:sz w:val="19"/>
          <w:szCs w:val="19"/>
          <w:color w:val="auto"/>
        </w:rPr>
        <w:t>. The Borrower shall indemnify the Administrative Agent, the Issuing Bank, the Swingline Lender and each Lender,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against, and hold each Indemnitee harmless from, any and all losses, claims, damages, liabilities, actions, judgments, suits, costs, expenses and disbursements of any kind or 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in connection with any investigative, administrative</w:t>
      </w:r>
    </w:p>
    <w:p>
      <w:pPr>
        <w:spacing w:after="0" w:line="16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137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5" w:name="page216"/>
    <w:bookmarkEnd w:id="215"/>
    <w:p>
      <w:pPr>
        <w:jc w:val="both"/>
        <w:spacing w:after="0" w:line="269" w:lineRule="auto"/>
        <w:rPr>
          <w:sz w:val="20"/>
          <w:szCs w:val="20"/>
          <w:color w:val="auto"/>
        </w:rPr>
      </w:pPr>
      <w:r>
        <w:rPr>
          <w:rFonts w:ascii="Arial" w:cs="Arial" w:eastAsia="Arial" w:hAnsi="Arial"/>
          <w:sz w:val="19"/>
          <w:szCs w:val="19"/>
          <w:color w:val="auto"/>
        </w:rPr>
        <w:t xml:space="preserve">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including the fees, charges and disbursements of counsel for any Indemnitee as specified above,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are (A) determined by a court of competent jurisdiction by final and nonappealable judgment to have resulted from the willful misconduct or gross negligence of such Indemnitee or its Related Parties, (B) result from the settlement of any such claim, investigation, litigation or other proceedings described in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above unless the Borrower has consented to such settlement (which consent shall not be unreasonably withheld or delayed (provided that nothing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restrict the right of any person to settle any claim for which it has waived its right of indemnity by the Borrower) or (C) result from disputes solely among Indemnitees and not involving any act or omission of an Obligor or any of Affiliate thereof (other than any dispute against the Administrative Agent in its capacity as such). Notwithstanding the foregoing, it is understood and agreed that indemnification for Taxes is subject to the provisions of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0" w:lineRule="exact"/>
        <w:rPr>
          <w:sz w:val="20"/>
          <w:szCs w:val="20"/>
          <w:color w:val="auto"/>
        </w:rPr>
      </w:pPr>
    </w:p>
    <w:p>
      <w:pPr>
        <w:spacing w:after="0" w:line="217" w:lineRule="exact"/>
        <w:rPr>
          <w:sz w:val="20"/>
          <w:szCs w:val="20"/>
          <w:color w:val="auto"/>
        </w:rPr>
      </w:pPr>
    </w:p>
    <w:p>
      <w:pPr>
        <w:jc w:val="both"/>
        <w:ind w:firstLine="1505"/>
        <w:spacing w:after="0" w:line="246" w:lineRule="auto"/>
        <w:tabs>
          <w:tab w:leader="none" w:pos="1929" w:val="left"/>
        </w:tabs>
        <w:numPr>
          <w:ilvl w:val="0"/>
          <w:numId w:val="235"/>
        </w:numPr>
        <w:rPr>
          <w:rFonts w:ascii="Arial" w:cs="Arial" w:eastAsia="Arial" w:hAnsi="Arial"/>
          <w:sz w:val="21"/>
          <w:szCs w:val="21"/>
          <w:color w:val="auto"/>
        </w:rPr>
      </w:pPr>
      <w:r>
        <w:rPr>
          <w:rFonts w:ascii="Arial" w:cs="Arial" w:eastAsia="Arial" w:hAnsi="Arial"/>
          <w:sz w:val="21"/>
          <w:szCs w:val="21"/>
          <w:color w:val="auto"/>
        </w:rPr>
        <w:t xml:space="preserve">The Borrower shall not be liable to any Indemnitee for any special, indirect, consequential or punitive Losses (as opposed to direct or actual damages (which may include special, indirect, consequential or punitive Losses asserted against any such party hereto by a third party)) arising out of, in connection with, or as a result of this Agreement or any agreement or instrument contemplated hereby, the Transactions, any Loan or Letter of Credit or the use of proceeds thereof, asserted by an Indemnitee against the Borrower or any other Obligor ;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limitation shall not be deemed to impair or affect the obligations of the Borrower under the preceding provisions of this subsection with respect to Losses not expressly described in the foregoing limitation.</w:t>
      </w:r>
    </w:p>
    <w:p>
      <w:pPr>
        <w:spacing w:after="0" w:line="184" w:lineRule="exact"/>
        <w:rPr>
          <w:rFonts w:ascii="Arial" w:cs="Arial" w:eastAsia="Arial" w:hAnsi="Arial"/>
          <w:sz w:val="21"/>
          <w:szCs w:val="21"/>
          <w:color w:val="auto"/>
        </w:rPr>
      </w:pPr>
    </w:p>
    <w:p>
      <w:pPr>
        <w:jc w:val="both"/>
        <w:ind w:firstLine="1505"/>
        <w:spacing w:after="0" w:line="249" w:lineRule="auto"/>
        <w:tabs>
          <w:tab w:leader="none" w:pos="1929" w:val="left"/>
        </w:tabs>
        <w:numPr>
          <w:ilvl w:val="0"/>
          <w:numId w:val="235"/>
        </w:numPr>
        <w:rPr>
          <w:rFonts w:ascii="Arial" w:cs="Arial" w:eastAsia="Arial" w:hAnsi="Arial"/>
          <w:sz w:val="21"/>
          <w:szCs w:val="21"/>
          <w:color w:val="auto"/>
        </w:rPr>
      </w:pPr>
      <w:r>
        <w:rPr>
          <w:rFonts w:ascii="Arial" w:cs="Arial" w:eastAsia="Arial" w:hAnsi="Arial"/>
          <w:sz w:val="21"/>
          <w:szCs w:val="21"/>
          <w:u w:val="single" w:color="auto"/>
          <w:color w:val="auto"/>
        </w:rPr>
        <w:t>Reimbursement by Lenders</w:t>
      </w:r>
      <w:r>
        <w:rPr>
          <w:rFonts w:ascii="Arial" w:cs="Arial" w:eastAsia="Arial" w:hAnsi="Arial"/>
          <w:sz w:val="21"/>
          <w:szCs w:val="21"/>
          <w:color w:val="auto"/>
        </w:rPr>
        <w:t xml:space="preserve">. To the extent that the Borrower fails to pay any amount required to be paid by it to the Administrative Agent, the Issuing Bank or the Swingline Lender under </w:t>
      </w:r>
      <w:r>
        <w:rPr>
          <w:rFonts w:ascii="Arial" w:cs="Arial" w:eastAsia="Arial" w:hAnsi="Arial"/>
          <w:sz w:val="21"/>
          <w:szCs w:val="21"/>
          <w:u w:val="single" w:color="auto"/>
          <w:color w:val="auto"/>
        </w:rPr>
        <w:t>paragraph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unreimbursed expense or</w:t>
      </w:r>
    </w:p>
    <w:p>
      <w:pPr>
        <w:spacing w:after="0" w:line="18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138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6" w:name="page217"/>
    <w:bookmarkEnd w:id="216"/>
    <w:p>
      <w:pPr>
        <w:spacing w:after="0" w:line="250" w:lineRule="auto"/>
        <w:rPr>
          <w:sz w:val="20"/>
          <w:szCs w:val="20"/>
          <w:color w:val="auto"/>
        </w:rPr>
      </w:pPr>
      <w:r>
        <w:rPr>
          <w:rFonts w:ascii="Arial" w:cs="Arial" w:eastAsia="Arial" w:hAnsi="Arial"/>
          <w:sz w:val="22"/>
          <w:szCs w:val="22"/>
          <w:color w:val="auto"/>
        </w:rPr>
        <w:t>indemnified loss, claim, damage, liability or related expense, as the case may be, was incurred by or asserted against the Administrative Agent, the Issuing Bank or the Swingline Lender in its capacity as such.</w:t>
      </w:r>
    </w:p>
    <w:p>
      <w:pPr>
        <w:spacing w:after="0" w:line="175" w:lineRule="exact"/>
        <w:rPr>
          <w:sz w:val="20"/>
          <w:szCs w:val="20"/>
          <w:color w:val="auto"/>
        </w:rPr>
      </w:pPr>
    </w:p>
    <w:p>
      <w:pPr>
        <w:jc w:val="both"/>
        <w:ind w:firstLine="1505"/>
        <w:spacing w:after="0" w:line="274" w:lineRule="auto"/>
        <w:tabs>
          <w:tab w:leader="none" w:pos="1929" w:val="left"/>
        </w:tabs>
        <w:numPr>
          <w:ilvl w:val="0"/>
          <w:numId w:val="236"/>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willful misconduct or gross negligence of such Indemnitee or its Related Parties, as determined by a final, non-appealable judgment of a court of competent jurisdiction.</w:t>
      </w:r>
    </w:p>
    <w:p>
      <w:pPr>
        <w:spacing w:after="0" w:line="158" w:lineRule="exact"/>
        <w:rPr>
          <w:rFonts w:ascii="Arial" w:cs="Arial" w:eastAsia="Arial" w:hAnsi="Arial"/>
          <w:sz w:val="19"/>
          <w:szCs w:val="19"/>
          <w:color w:val="auto"/>
        </w:rPr>
      </w:pPr>
    </w:p>
    <w:p>
      <w:pPr>
        <w:ind w:left="1500" w:right="340" w:firstLine="5"/>
        <w:spacing w:after="0" w:line="435" w:lineRule="auto"/>
        <w:tabs>
          <w:tab w:leader="none" w:pos="1932" w:val="left"/>
        </w:tabs>
        <w:numPr>
          <w:ilvl w:val="0"/>
          <w:numId w:val="236"/>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All amounts due under this Section shall be payable promptly after written demand therefor. SECTION 9.04.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1" w:lineRule="exact"/>
        <w:rPr>
          <w:sz w:val="20"/>
          <w:szCs w:val="20"/>
          <w:color w:val="auto"/>
        </w:rPr>
      </w:pPr>
    </w:p>
    <w:p>
      <w:pPr>
        <w:jc w:val="both"/>
        <w:ind w:firstLine="1505"/>
        <w:spacing w:after="0" w:line="245" w:lineRule="auto"/>
        <w:tabs>
          <w:tab w:leader="none" w:pos="1929" w:val="left"/>
        </w:tabs>
        <w:numPr>
          <w:ilvl w:val="0"/>
          <w:numId w:val="237"/>
        </w:numPr>
        <w:rPr>
          <w:rFonts w:ascii="Arial" w:cs="Arial" w:eastAsia="Arial" w:hAnsi="Arial"/>
          <w:sz w:val="21"/>
          <w:szCs w:val="21"/>
          <w:color w:val="auto"/>
        </w:rPr>
      </w:pPr>
      <w:r>
        <w:rPr>
          <w:rFonts w:ascii="Arial" w:cs="Arial" w:eastAsia="Arial" w:hAnsi="Arial"/>
          <w:sz w:val="21"/>
          <w:szCs w:val="21"/>
          <w:u w:val="single" w:color="auto"/>
          <w:color w:val="auto"/>
        </w:rPr>
        <w:t>Assignments Generally</w:t>
      </w:r>
      <w:r>
        <w:rPr>
          <w:rFonts w:ascii="Arial" w:cs="Arial" w:eastAsia="Arial" w:hAnsi="Arial"/>
          <w:sz w:val="21"/>
          <w:szCs w:val="21"/>
          <w:color w:val="auto"/>
        </w:rPr>
        <w:t>. The provisions of this Agreement shall be binding upon and inure to the benefit of the parties hereto and their respective successors and assigns permitted hereby (including any Affiliate of the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80" w:lineRule="exact"/>
        <w:rPr>
          <w:rFonts w:ascii="Arial" w:cs="Arial" w:eastAsia="Arial" w:hAnsi="Arial"/>
          <w:sz w:val="21"/>
          <w:szCs w:val="21"/>
          <w:color w:val="auto"/>
        </w:rPr>
      </w:pPr>
    </w:p>
    <w:p>
      <w:pPr>
        <w:ind w:left="1940" w:hanging="435"/>
        <w:spacing w:after="0"/>
        <w:tabs>
          <w:tab w:leader="none" w:pos="1940"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Assignments by Lenders</w:t>
      </w:r>
      <w:r>
        <w:rPr>
          <w:rFonts w:ascii="Arial" w:cs="Arial" w:eastAsia="Arial" w:hAnsi="Arial"/>
          <w:sz w:val="22"/>
          <w:szCs w:val="22"/>
          <w:color w:val="auto"/>
        </w:rPr>
        <w:t>.</w:t>
      </w:r>
    </w:p>
    <w:p>
      <w:pPr>
        <w:spacing w:after="0" w:line="206" w:lineRule="exact"/>
        <w:rPr>
          <w:sz w:val="20"/>
          <w:szCs w:val="20"/>
          <w:color w:val="auto"/>
        </w:rPr>
      </w:pPr>
    </w:p>
    <w:p>
      <w:pPr>
        <w:jc w:val="both"/>
        <w:ind w:left="760" w:firstLine="745"/>
        <w:spacing w:after="0" w:line="236" w:lineRule="auto"/>
        <w:tabs>
          <w:tab w:leader="none" w:pos="1941" w:val="left"/>
        </w:tabs>
        <w:numPr>
          <w:ilvl w:val="0"/>
          <w:numId w:val="238"/>
        </w:numPr>
        <w:rPr>
          <w:rFonts w:ascii="Arial" w:cs="Arial" w:eastAsia="Arial" w:hAnsi="Arial"/>
          <w:sz w:val="22"/>
          <w:szCs w:val="22"/>
          <w:color w:val="auto"/>
        </w:rPr>
      </w:pPr>
      <w:r>
        <w:rPr>
          <w:rFonts w:ascii="Arial" w:cs="Arial" w:eastAsia="Arial" w:hAnsi="Arial"/>
          <w:sz w:val="22"/>
          <w:szCs w:val="22"/>
          <w:u w:val="single" w:color="auto"/>
          <w:color w:val="auto"/>
        </w:rPr>
        <w:t>Assignments Generally</w:t>
      </w:r>
      <w:r>
        <w:rPr>
          <w:rFonts w:ascii="Arial" w:cs="Arial" w:eastAsia="Arial" w:hAnsi="Arial"/>
          <w:sz w:val="22"/>
          <w:szCs w:val="22"/>
          <w:color w:val="auto"/>
        </w:rPr>
        <w:t xml:space="preserve">. Subject to the conditions set forth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below, any Lender may assign to one or more assignees (other than natural persons, any Defaulting Lender or any Person listed in the Prohibited Assignees and Participants Side Letter)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187" w:lineRule="exact"/>
        <w:rPr>
          <w:rFonts w:ascii="Arial" w:cs="Arial" w:eastAsia="Arial" w:hAnsi="Arial"/>
          <w:sz w:val="22"/>
          <w:szCs w:val="22"/>
          <w:color w:val="auto"/>
        </w:rPr>
      </w:pPr>
    </w:p>
    <w:p>
      <w:pPr>
        <w:ind w:left="1500" w:firstLine="754"/>
        <w:spacing w:after="0" w:line="250" w:lineRule="auto"/>
        <w:tabs>
          <w:tab w:leader="none" w:pos="2681" w:val="left"/>
        </w:tabs>
        <w:numPr>
          <w:ilvl w:val="1"/>
          <w:numId w:val="238"/>
        </w:numPr>
        <w:rPr>
          <w:rFonts w:ascii="Arial" w:cs="Arial" w:eastAsia="Arial" w:hAnsi="Arial"/>
          <w:sz w:val="22"/>
          <w:szCs w:val="22"/>
          <w:color w:val="auto"/>
        </w:rPr>
      </w:pPr>
      <w:r>
        <w:rPr>
          <w:rFonts w:ascii="Arial" w:cs="Arial" w:eastAsia="Arial" w:hAnsi="Arial"/>
          <w:sz w:val="22"/>
          <w:szCs w:val="22"/>
          <w:color w:val="auto"/>
        </w:rPr>
        <w:t xml:space="preserve">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Borrower shall be required for an assignment to a Lender, an Affiliate of a Lender, or, if an Event of</w:t>
      </w:r>
    </w:p>
    <w:p>
      <w:pPr>
        <w:spacing w:after="0" w:line="18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139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7" w:name="page218"/>
    <w:bookmarkEnd w:id="217"/>
    <w:p>
      <w:pPr>
        <w:jc w:val="both"/>
        <w:ind w:left="740"/>
        <w:spacing w:after="0" w:line="257" w:lineRule="auto"/>
        <w:rPr>
          <w:sz w:val="20"/>
          <w:szCs w:val="20"/>
          <w:color w:val="auto"/>
        </w:rPr>
      </w:pPr>
      <w:r>
        <w:rPr>
          <w:rFonts w:ascii="Arial" w:cs="Arial" w:eastAsia="Arial" w:hAnsi="Arial"/>
          <w:sz w:val="21"/>
          <w:szCs w:val="21"/>
          <w:color w:val="auto"/>
        </w:rPr>
        <w:t xml:space="preserve">Default has occurred and is continuing, any other assignee;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Borrower shall be deemed to have consented to any such assignment unless it shall have objected thereto by written notice to the Administrative Agent within five Business Days after having received notice thereof; and</w:t>
      </w:r>
    </w:p>
    <w:p>
      <w:pPr>
        <w:spacing w:after="0" w:line="169" w:lineRule="exact"/>
        <w:rPr>
          <w:sz w:val="20"/>
          <w:szCs w:val="20"/>
          <w:color w:val="auto"/>
        </w:rPr>
      </w:pPr>
    </w:p>
    <w:p>
      <w:pPr>
        <w:ind w:left="1920" w:hanging="426"/>
        <w:spacing w:after="0"/>
        <w:tabs>
          <w:tab w:leader="none" w:pos="192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the Administrative Agent and the Issuing Bank.</w:t>
      </w:r>
    </w:p>
    <w:p>
      <w:pPr>
        <w:spacing w:after="0" w:line="206" w:lineRule="exact"/>
        <w:rPr>
          <w:rFonts w:ascii="Arial" w:cs="Arial" w:eastAsia="Arial" w:hAnsi="Arial"/>
          <w:sz w:val="22"/>
          <w:szCs w:val="22"/>
          <w:color w:val="auto"/>
        </w:rPr>
      </w:pPr>
    </w:p>
    <w:p>
      <w:pPr>
        <w:ind w:left="1180" w:hanging="435"/>
        <w:spacing w:after="0"/>
        <w:tabs>
          <w:tab w:leader="none" w:pos="1180"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Certain Conditions to Assignments</w:t>
      </w:r>
      <w:r>
        <w:rPr>
          <w:rFonts w:ascii="Arial" w:cs="Arial" w:eastAsia="Arial" w:hAnsi="Arial"/>
          <w:sz w:val="19"/>
          <w:szCs w:val="19"/>
          <w:color w:val="auto"/>
        </w:rPr>
        <w:t>. Assignments shall be subject to the following additional conditions:</w:t>
      </w:r>
    </w:p>
    <w:p>
      <w:pPr>
        <w:spacing w:after="0" w:line="240" w:lineRule="exact"/>
        <w:rPr>
          <w:rFonts w:ascii="Arial" w:cs="Arial" w:eastAsia="Arial" w:hAnsi="Arial"/>
          <w:sz w:val="19"/>
          <w:szCs w:val="19"/>
          <w:color w:val="auto"/>
        </w:rPr>
      </w:pPr>
    </w:p>
    <w:p>
      <w:pPr>
        <w:jc w:val="both"/>
        <w:ind w:left="740" w:firstLine="754"/>
        <w:spacing w:after="0" w:line="246" w:lineRule="auto"/>
        <w:tabs>
          <w:tab w:leader="none" w:pos="1921" w:val="left"/>
        </w:tabs>
        <w:numPr>
          <w:ilvl w:val="1"/>
          <w:numId w:val="240"/>
        </w:numPr>
        <w:rPr>
          <w:rFonts w:ascii="Arial" w:cs="Arial" w:eastAsia="Arial" w:hAnsi="Arial"/>
          <w:sz w:val="21"/>
          <w:szCs w:val="21"/>
          <w:color w:val="auto"/>
        </w:rPr>
      </w:pPr>
      <w:r>
        <w:rPr>
          <w:rFonts w:ascii="Arial" w:cs="Arial" w:eastAsia="Arial" w:hAnsi="Arial"/>
          <w:sz w:val="21"/>
          <w:szCs w:val="21"/>
          <w:color w:val="auto"/>
        </w:rPr>
        <w:t xml:space="preserve">except in the case of an assignment to a Lender or an Affiliate of a Lender or an assignment of the entire 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consent of the Borrower shall be required if an Event of Default has occurred and is continuing;</w:t>
      </w:r>
    </w:p>
    <w:p>
      <w:pPr>
        <w:spacing w:after="0" w:line="184" w:lineRule="exact"/>
        <w:rPr>
          <w:rFonts w:ascii="Arial" w:cs="Arial" w:eastAsia="Arial" w:hAnsi="Arial"/>
          <w:sz w:val="21"/>
          <w:szCs w:val="21"/>
          <w:color w:val="auto"/>
        </w:rPr>
      </w:pPr>
    </w:p>
    <w:p>
      <w:pPr>
        <w:jc w:val="both"/>
        <w:ind w:left="740" w:firstLine="754"/>
        <w:spacing w:after="0" w:line="257" w:lineRule="auto"/>
        <w:tabs>
          <w:tab w:leader="none" w:pos="1921" w:val="left"/>
        </w:tabs>
        <w:numPr>
          <w:ilvl w:val="1"/>
          <w:numId w:val="240"/>
        </w:numPr>
        <w:rPr>
          <w:rFonts w:ascii="Arial" w:cs="Arial" w:eastAsia="Arial" w:hAnsi="Arial"/>
          <w:sz w:val="21"/>
          <w:szCs w:val="21"/>
          <w:color w:val="auto"/>
        </w:rPr>
      </w:pPr>
      <w:r>
        <w:rPr>
          <w:rFonts w:ascii="Arial" w:cs="Arial" w:eastAsia="Arial" w:hAnsi="Arial"/>
          <w:sz w:val="21"/>
          <w:szCs w:val="21"/>
          <w:color w:val="auto"/>
        </w:rPr>
        <w:t>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69" w:lineRule="exact"/>
        <w:rPr>
          <w:rFonts w:ascii="Arial" w:cs="Arial" w:eastAsia="Arial" w:hAnsi="Arial"/>
          <w:sz w:val="21"/>
          <w:szCs w:val="21"/>
          <w:color w:val="auto"/>
        </w:rPr>
      </w:pPr>
    </w:p>
    <w:p>
      <w:pPr>
        <w:ind w:left="740" w:firstLine="754"/>
        <w:spacing w:after="0" w:line="287" w:lineRule="auto"/>
        <w:tabs>
          <w:tab w:leader="none" w:pos="1921"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an Assignment and Assumption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together with a processing and recordation fee of U.S. $3,500 (which fee shall not be payable in connection with an assignment to a Lender or to an Affiliate of a Lender), for which the Borrower and the Guarantors shall not be obligated; and</w:t>
      </w:r>
    </w:p>
    <w:p>
      <w:pPr>
        <w:spacing w:after="0" w:line="142" w:lineRule="exact"/>
        <w:rPr>
          <w:rFonts w:ascii="Arial" w:cs="Arial" w:eastAsia="Arial" w:hAnsi="Arial"/>
          <w:sz w:val="19"/>
          <w:szCs w:val="19"/>
          <w:color w:val="auto"/>
        </w:rPr>
      </w:pPr>
    </w:p>
    <w:p>
      <w:pPr>
        <w:ind w:left="740" w:right="40" w:firstLine="754"/>
        <w:spacing w:after="0" w:line="250" w:lineRule="auto"/>
        <w:tabs>
          <w:tab w:leader="none" w:pos="1921" w:val="left"/>
        </w:tabs>
        <w:numPr>
          <w:ilvl w:val="1"/>
          <w:numId w:val="240"/>
        </w:numPr>
        <w:rPr>
          <w:rFonts w:ascii="Arial" w:cs="Arial" w:eastAsia="Arial" w:hAnsi="Arial"/>
          <w:sz w:val="22"/>
          <w:szCs w:val="22"/>
          <w:color w:val="auto"/>
        </w:rPr>
      </w:pPr>
      <w:r>
        <w:rPr>
          <w:rFonts w:ascii="Arial" w:cs="Arial" w:eastAsia="Arial" w:hAnsi="Arial"/>
          <w:sz w:val="22"/>
          <w:szCs w:val="22"/>
          <w:color w:val="auto"/>
        </w:rPr>
        <w:t>the assignee, if it shall not already be a Lender of the applicable Class, shall deliver to the Administrative Agent an Administrative Questionnaire.</w:t>
      </w:r>
    </w:p>
    <w:p>
      <w:pPr>
        <w:spacing w:after="0" w:line="174" w:lineRule="exact"/>
        <w:rPr>
          <w:rFonts w:ascii="Arial" w:cs="Arial" w:eastAsia="Arial" w:hAnsi="Arial"/>
          <w:sz w:val="22"/>
          <w:szCs w:val="22"/>
          <w:color w:val="auto"/>
        </w:rPr>
      </w:pPr>
    </w:p>
    <w:p>
      <w:pPr>
        <w:jc w:val="both"/>
        <w:ind w:firstLine="745"/>
        <w:spacing w:after="0" w:line="274" w:lineRule="auto"/>
        <w:tabs>
          <w:tab w:leader="none" w:pos="1194"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Effectiveness of Assignments</w:t>
      </w:r>
      <w:r>
        <w:rPr>
          <w:rFonts w:ascii="Arial" w:cs="Arial" w:eastAsia="Arial" w:hAnsi="Arial"/>
          <w:sz w:val="19"/>
          <w:szCs w:val="19"/>
          <w:color w:val="auto"/>
        </w:rPr>
        <w:t xml:space="preserve">. Subject to acceptance and recording thereof pursuant to </w:t>
      </w:r>
      <w:r>
        <w:rPr>
          <w:rFonts w:ascii="Arial" w:cs="Arial" w:eastAsia="Arial" w:hAnsi="Arial"/>
          <w:sz w:val="19"/>
          <w:szCs w:val="19"/>
          <w:u w:val="single" w:color="auto"/>
          <w:color w:val="auto"/>
        </w:rPr>
        <w:t>paragraph (c)</w:t>
      </w:r>
      <w:r>
        <w:rPr>
          <w:rFonts w:ascii="Arial" w:cs="Arial" w:eastAsia="Arial" w:hAnsi="Arial"/>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9.03</w:t>
      </w:r>
      <w:r>
        <w:rPr>
          <w:rFonts w:ascii="Arial" w:cs="Arial" w:eastAsia="Arial" w:hAnsi="Arial"/>
          <w:sz w:val="19"/>
          <w:szCs w:val="19"/>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9"/>
          <w:szCs w:val="19"/>
          <w:u w:val="single" w:color="auto"/>
          <w:color w:val="auto"/>
        </w:rPr>
        <w:t>Section 9.04</w:t>
      </w:r>
      <w:r>
        <w:rPr>
          <w:rFonts w:ascii="Arial" w:cs="Arial" w:eastAsia="Arial" w:hAnsi="Arial"/>
          <w:sz w:val="19"/>
          <w:szCs w:val="19"/>
          <w:color w:val="auto"/>
        </w:rPr>
        <w:t xml:space="preserve"> shall be</w:t>
      </w:r>
    </w:p>
    <w:p>
      <w:pPr>
        <w:spacing w:after="0" w:line="16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218" w:name="page219"/>
    <w:bookmarkEnd w:id="218"/>
    <w:p>
      <w:pPr>
        <w:jc w:val="both"/>
        <w:ind w:left="760"/>
        <w:spacing w:after="0" w:line="271" w:lineRule="auto"/>
        <w:rPr>
          <w:sz w:val="20"/>
          <w:szCs w:val="20"/>
          <w:color w:val="auto"/>
        </w:rPr>
      </w:pPr>
      <w:r>
        <w:rPr>
          <w:rFonts w:ascii="Arial" w:cs="Arial" w:eastAsia="Arial" w:hAnsi="Arial"/>
          <w:sz w:val="19"/>
          <w:szCs w:val="19"/>
          <w:color w:val="auto"/>
        </w:rPr>
        <w:t xml:space="preserve">treated for purposes of this Agreement as a sale by such Lender of a participation in such rights and obligations in accordance with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9"/>
          <w:szCs w:val="19"/>
          <w:u w:val="single" w:color="auto"/>
          <w:color w:val="auto"/>
        </w:rPr>
        <w:t>Section 9.04(b)(ii)</w:t>
      </w:r>
      <w:r>
        <w:rPr>
          <w:rFonts w:ascii="Arial" w:cs="Arial" w:eastAsia="Arial" w:hAnsi="Arial"/>
          <w:sz w:val="19"/>
          <w:szCs w:val="19"/>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Issuing Bank,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0" w:lineRule="exact"/>
        <w:rPr>
          <w:sz w:val="20"/>
          <w:szCs w:val="20"/>
          <w:color w:val="auto"/>
        </w:rPr>
      </w:pPr>
    </w:p>
    <w:p>
      <w:pPr>
        <w:jc w:val="both"/>
        <w:ind w:firstLine="1505"/>
        <w:spacing w:after="0" w:line="274" w:lineRule="auto"/>
        <w:tabs>
          <w:tab w:leader="none" w:pos="1929"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Maintenance of Registers by Administrative Agent</w:t>
      </w:r>
      <w:r>
        <w:rPr>
          <w:rFonts w:ascii="Arial" w:cs="Arial" w:eastAsia="Arial" w:hAnsi="Arial"/>
          <w:sz w:val="19"/>
          <w:szCs w:val="19"/>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Registers shall be conclusive absent manifest error, and the Borrower, the Administrative Agent, the Issuing Bank and the Lenders may treat each Person whose name is recorded in the Registers pursuant to the terms hereof as a Lender hereunder for all purposes of this Agreement, notwithstanding notice to the contrary. The Registers shall be available for inspection by the Borrower, the Issuing Bank and any Lender, at any reasonable time and from time to time upon reasonable prior notice.</w:t>
      </w:r>
    </w:p>
    <w:p>
      <w:pPr>
        <w:spacing w:after="0" w:line="158" w:lineRule="exact"/>
        <w:rPr>
          <w:rFonts w:ascii="Arial" w:cs="Arial" w:eastAsia="Arial" w:hAnsi="Arial"/>
          <w:sz w:val="19"/>
          <w:szCs w:val="19"/>
          <w:color w:val="auto"/>
        </w:rPr>
      </w:pPr>
    </w:p>
    <w:p>
      <w:pPr>
        <w:jc w:val="both"/>
        <w:ind w:firstLine="1505"/>
        <w:spacing w:after="0" w:line="279" w:lineRule="auto"/>
        <w:tabs>
          <w:tab w:leader="none" w:pos="1943" w:val="left"/>
        </w:tabs>
        <w:numPr>
          <w:ilvl w:val="0"/>
          <w:numId w:val="241"/>
        </w:numPr>
        <w:rPr>
          <w:rFonts w:ascii="Arial" w:cs="Arial" w:eastAsia="Arial" w:hAnsi="Arial"/>
          <w:sz w:val="19"/>
          <w:szCs w:val="19"/>
          <w:color w:val="auto"/>
        </w:rPr>
      </w:pPr>
      <w:r>
        <w:rPr>
          <w:rFonts w:ascii="Arial" w:cs="Arial" w:eastAsia="Arial" w:hAnsi="Arial"/>
          <w:sz w:val="19"/>
          <w:szCs w:val="19"/>
          <w:u w:val="single" w:color="auto"/>
          <w:color w:val="auto"/>
        </w:rPr>
        <w:t>Acceptance of Assignments by Administrative Agent</w:t>
      </w:r>
      <w:r>
        <w:rPr>
          <w:rFonts w:ascii="Arial" w:cs="Arial" w:eastAsia="Arial" w:hAnsi="Arial"/>
          <w:sz w:val="19"/>
          <w:szCs w:val="19"/>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and any written consent to such assignment required by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0" w:lineRule="exact"/>
        <w:rPr>
          <w:rFonts w:ascii="Arial" w:cs="Arial" w:eastAsia="Arial" w:hAnsi="Arial"/>
          <w:sz w:val="19"/>
          <w:szCs w:val="19"/>
          <w:color w:val="auto"/>
        </w:rPr>
      </w:pPr>
    </w:p>
    <w:p>
      <w:pPr>
        <w:jc w:val="both"/>
        <w:ind w:firstLine="1505"/>
        <w:spacing w:after="0" w:line="238" w:lineRule="auto"/>
        <w:tabs>
          <w:tab w:leader="none" w:pos="1956" w:val="left"/>
        </w:tabs>
        <w:numPr>
          <w:ilvl w:val="0"/>
          <w:numId w:val="241"/>
        </w:numPr>
        <w:rPr>
          <w:rFonts w:ascii="Arial" w:cs="Arial" w:eastAsia="Arial" w:hAnsi="Arial"/>
          <w:sz w:val="22"/>
          <w:szCs w:val="22"/>
          <w:color w:val="auto"/>
        </w:rPr>
      </w:pPr>
      <w:r>
        <w:rPr>
          <w:rFonts w:ascii="Arial" w:cs="Arial" w:eastAsia="Arial" w:hAnsi="Arial"/>
          <w:sz w:val="22"/>
          <w:szCs w:val="22"/>
          <w:u w:val="single" w:color="auto"/>
          <w:color w:val="auto"/>
        </w:rPr>
        <w:t>Special Purposes Vehicles</w:t>
      </w:r>
      <w:r>
        <w:rPr>
          <w:rFonts w:ascii="Arial" w:cs="Arial" w:eastAsia="Arial" w:hAnsi="Arial"/>
          <w:sz w:val="22"/>
          <w:szCs w:val="22"/>
          <w:color w:val="auto"/>
        </w:rPr>
        <w:t>. Notwithstanding anything to the contrary contained herein, any Lender (a “</w:t>
      </w:r>
      <w:r>
        <w:rPr>
          <w:rFonts w:ascii="Arial" w:cs="Arial" w:eastAsia="Arial" w:hAnsi="Arial"/>
          <w:sz w:val="22"/>
          <w:szCs w:val="22"/>
          <w:u w:val="single" w:color="auto"/>
          <w:color w:val="auto"/>
        </w:rPr>
        <w:t>Granting Lender</w:t>
      </w:r>
      <w:r>
        <w:rPr>
          <w:rFonts w:ascii="Arial" w:cs="Arial" w:eastAsia="Arial" w:hAnsi="Arial"/>
          <w:sz w:val="22"/>
          <w:szCs w:val="22"/>
          <w:color w:val="auto"/>
        </w:rPr>
        <w:t>”) may grant to a special purpose funding vehicle (an “</w:t>
      </w:r>
      <w:r>
        <w:rPr>
          <w:rFonts w:ascii="Arial" w:cs="Arial" w:eastAsia="Arial" w:hAnsi="Arial"/>
          <w:sz w:val="22"/>
          <w:szCs w:val="22"/>
          <w:u w:val="single" w:color="auto"/>
          <w:color w:val="auto"/>
        </w:rPr>
        <w:t>SPC</w:t>
      </w:r>
      <w:r>
        <w:rPr>
          <w:rFonts w:ascii="Arial" w:cs="Arial" w:eastAsia="Arial" w:hAnsi="Arial"/>
          <w:sz w:val="22"/>
          <w:szCs w:val="22"/>
          <w:color w:val="auto"/>
        </w:rPr>
        <w:t>”) owned or administered by such Granting Lender, identified as such in writing from time to time by the Granting Lender to the Administrative Agent and the Borrower, the option to</w:t>
      </w:r>
    </w:p>
    <w:p>
      <w:pPr>
        <w:spacing w:after="0" w:line="19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9" w:name="page220"/>
    <w:bookmarkEnd w:id="219"/>
    <w:p>
      <w:pPr>
        <w:jc w:val="both"/>
        <w:spacing w:after="0" w:line="273" w:lineRule="auto"/>
        <w:rPr>
          <w:sz w:val="20"/>
          <w:szCs w:val="20"/>
          <w:color w:val="auto"/>
        </w:rPr>
      </w:pPr>
      <w:r>
        <w:rPr>
          <w:rFonts w:ascii="Arial" w:cs="Arial" w:eastAsia="Arial" w:hAnsi="Arial"/>
          <w:sz w:val="19"/>
          <w:szCs w:val="19"/>
          <w:color w:val="auto"/>
        </w:rPr>
        <w:t xml:space="preserve">provide all or any part of any Loan that such Granting Lender would otherwise be obligated to make;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(or any other increased costs protection provision),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55"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9"/>
          <w:szCs w:val="19"/>
          <w:u w:val="single" w:color="auto"/>
          <w:color w:val="auto"/>
        </w:rPr>
        <w:t>paragraph (f)</w:t>
      </w:r>
      <w:r>
        <w:rPr>
          <w:rFonts w:ascii="Arial" w:cs="Arial" w:eastAsia="Arial" w:hAnsi="Arial"/>
          <w:sz w:val="19"/>
          <w:szCs w:val="19"/>
          <w:color w:val="auto"/>
        </w:rPr>
        <w:t xml:space="preserve"> below, and (ii) disclose on a confidential basis (in the same manner described in </w:t>
      </w:r>
      <w:r>
        <w:rPr>
          <w:rFonts w:ascii="Arial" w:cs="Arial" w:eastAsia="Arial" w:hAnsi="Arial"/>
          <w:sz w:val="19"/>
          <w:szCs w:val="19"/>
          <w:u w:val="single" w:color="auto"/>
          <w:color w:val="auto"/>
        </w:rPr>
        <w:t>Section 9.13(b)</w:t>
      </w:r>
      <w:r>
        <w:rPr>
          <w:rFonts w:ascii="Arial" w:cs="Arial" w:eastAsia="Arial" w:hAnsi="Arial"/>
          <w:sz w:val="19"/>
          <w:szCs w:val="19"/>
          <w:color w:val="auto"/>
        </w:rPr>
        <w:t>) any non-public information relating to its Loans to any rating agency, commercial paper dealer or provider of a surety, guarantee or credit or liquidity enhancement to such SPC.</w:t>
      </w:r>
    </w:p>
    <w:p>
      <w:pPr>
        <w:spacing w:after="0" w:line="200" w:lineRule="exact"/>
        <w:rPr>
          <w:sz w:val="20"/>
          <w:szCs w:val="20"/>
          <w:color w:val="auto"/>
        </w:rPr>
      </w:pPr>
    </w:p>
    <w:p>
      <w:pPr>
        <w:spacing w:after="0" w:line="203" w:lineRule="exact"/>
        <w:rPr>
          <w:sz w:val="20"/>
          <w:szCs w:val="20"/>
          <w:color w:val="auto"/>
        </w:rPr>
      </w:pPr>
    </w:p>
    <w:p>
      <w:pPr>
        <w:jc w:val="both"/>
        <w:ind w:firstLine="1505"/>
        <w:spacing w:after="0" w:line="275" w:lineRule="auto"/>
        <w:tabs>
          <w:tab w:leader="none" w:pos="1943"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with the consent of the Borrower (such consent not to be unreasonably withheld or delayed),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consent of the Borrower shall not be required if (x) an Event of Default has occurred and is continuing, (y) such Participant does not have any of the voting rights or consent rights permitted in the immediately succeeding sentence or (z) such Participant does not have the right to receive any non-public information that may be provided pursuant to this Agreement (and the Lender selling such participation agrees with the Borrower at the time of the sale of such participation that it will not deliver such non-public</w:t>
      </w:r>
    </w:p>
    <w:p>
      <w:pPr>
        <w:spacing w:after="0" w:line="16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0" w:name="page221"/>
    <w:bookmarkEnd w:id="220"/>
    <w:p>
      <w:pPr>
        <w:jc w:val="both"/>
        <w:spacing w:after="0" w:line="276" w:lineRule="auto"/>
        <w:rPr>
          <w:sz w:val="20"/>
          <w:szCs w:val="20"/>
          <w:color w:val="auto"/>
        </w:rPr>
      </w:pPr>
      <w:r>
        <w:rPr>
          <w:rFonts w:ascii="Arial" w:cs="Arial" w:eastAsia="Arial" w:hAnsi="Arial"/>
          <w:sz w:val="19"/>
          <w:szCs w:val="19"/>
          <w:color w:val="auto"/>
        </w:rPr>
        <w:t>information to the Participant), (ii) such Lender’s obligations under this Agreement and the other Loan Documents shall remain unchanged, (iii) such Lender shall remain solely responsible to the other parties hereto for the performance of such obligations,</w:t>
      </w:r>
    </w:p>
    <w:p>
      <w:pPr>
        <w:spacing w:after="0" w:line="1" w:lineRule="exact"/>
        <w:rPr>
          <w:sz w:val="20"/>
          <w:szCs w:val="20"/>
          <w:color w:val="auto"/>
        </w:rPr>
      </w:pPr>
    </w:p>
    <w:p>
      <w:pPr>
        <w:jc w:val="both"/>
        <w:ind w:firstLine="8"/>
        <w:spacing w:after="0" w:line="268" w:lineRule="auto"/>
        <w:tabs>
          <w:tab w:leader="none" w:pos="386"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the Borrower, the Administrative Agent, the Issuing Bank and the other Lenders shall continue to deal solely and directly with such Lender in connection with such Lender’s rights and obligations under this Agreement and the other Loan Documents and (v) no Person listed in the Prohibited Assignees and Participants Side Letter may be a Participant.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that affects such Participant. Subject to </w:t>
      </w:r>
      <w:r>
        <w:rPr>
          <w:rFonts w:ascii="Arial" w:cs="Arial" w:eastAsia="Arial" w:hAnsi="Arial"/>
          <w:sz w:val="19"/>
          <w:szCs w:val="19"/>
          <w:u w:val="single" w:color="auto"/>
          <w:color w:val="auto"/>
        </w:rPr>
        <w:t>paragraph (g)</w:t>
      </w:r>
      <w:r>
        <w:rPr>
          <w:rFonts w:ascii="Arial" w:cs="Arial" w:eastAsia="Arial" w:hAnsi="Arial"/>
          <w:sz w:val="19"/>
          <w:szCs w:val="19"/>
          <w:color w:val="auto"/>
        </w:rPr>
        <w:t xml:space="preserve"> of this Section, the Borrower agrees that each Participant shall be entitled to the benefits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to the same extent as if it were a Lender and had acquired its interest by assignment pursuant to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shall not be entitled to receive any greater payment under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w:t>
      </w:r>
      <w:r>
        <w:rPr>
          <w:rFonts w:ascii="Arial" w:cs="Arial" w:eastAsia="Arial" w:hAnsi="Arial"/>
          <w:sz w:val="19"/>
          <w:szCs w:val="19"/>
          <w:u w:val="single" w:color="auto"/>
          <w:color w:val="auto"/>
        </w:rPr>
        <w:t>2.15</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Participant shall be entitled to the benefits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unless the Borrower is notified of the participation granted to such Participant and such Participant shall have complied with the requirements of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as if such Participant is a Lender. To the extent permitted by law, each Participant also shall be entitled to the benefits of </w:t>
      </w:r>
      <w:r>
        <w:rPr>
          <w:rFonts w:ascii="Arial" w:cs="Arial" w:eastAsia="Arial" w:hAnsi="Arial"/>
          <w:sz w:val="19"/>
          <w:szCs w:val="19"/>
          <w:u w:val="single" w:color="auto"/>
          <w:color w:val="auto"/>
        </w:rPr>
        <w:t>Section 9.08</w:t>
      </w:r>
      <w:r>
        <w:rPr>
          <w:rFonts w:ascii="Arial" w:cs="Arial" w:eastAsia="Arial" w:hAnsi="Arial"/>
          <w:sz w:val="19"/>
          <w:szCs w:val="19"/>
          <w:color w:val="auto"/>
        </w:rPr>
        <w:t xml:space="preserve"> as though it were a Lender; provided such Participant agrees to be subject to </w:t>
      </w:r>
      <w:r>
        <w:rPr>
          <w:rFonts w:ascii="Arial" w:cs="Arial" w:eastAsia="Arial" w:hAnsi="Arial"/>
          <w:sz w:val="19"/>
          <w:szCs w:val="19"/>
          <w:u w:val="single" w:color="auto"/>
          <w:color w:val="auto"/>
        </w:rPr>
        <w:t>Section 2.17(d)</w:t>
      </w:r>
      <w:r>
        <w:rPr>
          <w:rFonts w:ascii="Arial" w:cs="Arial" w:eastAsia="Arial" w:hAnsi="Arial"/>
          <w:sz w:val="19"/>
          <w:szCs w:val="19"/>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505"/>
        <w:spacing w:after="0" w:line="235" w:lineRule="auto"/>
        <w:tabs>
          <w:tab w:leader="none" w:pos="1943" w:val="left"/>
        </w:tabs>
        <w:numPr>
          <w:ilvl w:val="1"/>
          <w:numId w:val="243"/>
        </w:numPr>
        <w:rPr>
          <w:rFonts w:ascii="Arial" w:cs="Arial" w:eastAsia="Arial" w:hAnsi="Arial"/>
          <w:sz w:val="22"/>
          <w:szCs w:val="22"/>
          <w:color w:val="auto"/>
        </w:rPr>
      </w:pPr>
      <w:r>
        <w:rPr>
          <w:rFonts w:ascii="Arial" w:cs="Arial" w:eastAsia="Arial" w:hAnsi="Arial"/>
          <w:sz w:val="22"/>
          <w:szCs w:val="22"/>
          <w:u w:val="single" w:color="auto"/>
          <w:color w:val="auto"/>
        </w:rPr>
        <w:t>Limitations on Rights of Participants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t>
      </w:r>
      <w:r>
        <w:rPr>
          <w:rFonts w:ascii="Arial" w:cs="Arial" w:eastAsia="Arial" w:hAnsi="Arial"/>
          <w:sz w:val="22"/>
          <w:szCs w:val="22"/>
          <w:u w:val="single" w:color="auto"/>
          <w:color w:val="auto"/>
        </w:rPr>
        <w:t>2.15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2.16</w:t>
      </w:r>
      <w:r>
        <w:rPr>
          <w:rFonts w:ascii="Arial" w:cs="Arial" w:eastAsia="Arial" w:hAnsi="Arial"/>
          <w:sz w:val="22"/>
          <w:szCs w:val="22"/>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unless the Borrower is notified of the participation sold to such Participant and such Participant agrees, for the benefit of the Borrower, to comply with </w:t>
      </w:r>
      <w:r>
        <w:rPr>
          <w:rFonts w:ascii="Arial" w:cs="Arial" w:eastAsia="Arial" w:hAnsi="Arial"/>
          <w:sz w:val="22"/>
          <w:szCs w:val="22"/>
          <w:u w:val="single" w:color="auto"/>
          <w:color w:val="auto"/>
        </w:rPr>
        <w:t>paragraphs (e)</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(f)</w:t>
      </w:r>
      <w:r>
        <w:rPr>
          <w:rFonts w:ascii="Arial" w:cs="Arial" w:eastAsia="Arial" w:hAnsi="Arial"/>
          <w:sz w:val="22"/>
          <w:szCs w:val="22"/>
          <w:color w:val="auto"/>
        </w:rPr>
        <w:t xml:space="preserve"> of</w:t>
      </w:r>
    </w:p>
    <w:p>
      <w:pPr>
        <w:spacing w:after="0" w:line="19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143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1" w:name="page222"/>
    <w:bookmarkEnd w:id="221"/>
    <w:p>
      <w:pPr>
        <w:jc w:val="both"/>
        <w:spacing w:after="0" w:line="238" w:lineRule="auto"/>
        <w:rPr>
          <w:sz w:val="20"/>
          <w:szCs w:val="20"/>
          <w:color w:val="auto"/>
        </w:rPr>
      </w:pP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85" w:lineRule="exact"/>
        <w:rPr>
          <w:sz w:val="20"/>
          <w:szCs w:val="20"/>
          <w:color w:val="auto"/>
        </w:rPr>
      </w:pPr>
    </w:p>
    <w:p>
      <w:pPr>
        <w:jc w:val="both"/>
        <w:ind w:firstLine="1505"/>
        <w:spacing w:after="0" w:line="282" w:lineRule="auto"/>
        <w:tabs>
          <w:tab w:leader="none" w:pos="1929" w:val="left"/>
        </w:tabs>
        <w:numPr>
          <w:ilvl w:val="0"/>
          <w:numId w:val="244"/>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assignee for such Lender as a party hereto.</w:t>
      </w:r>
    </w:p>
    <w:p>
      <w:pPr>
        <w:spacing w:after="0" w:line="147" w:lineRule="exact"/>
        <w:rPr>
          <w:rFonts w:ascii="Arial" w:cs="Arial" w:eastAsia="Arial" w:hAnsi="Arial"/>
          <w:sz w:val="19"/>
          <w:szCs w:val="19"/>
          <w:color w:val="auto"/>
        </w:rPr>
      </w:pPr>
    </w:p>
    <w:p>
      <w:pPr>
        <w:jc w:val="both"/>
        <w:ind w:firstLine="1505"/>
        <w:spacing w:after="0"/>
        <w:tabs>
          <w:tab w:leader="none" w:pos="1943" w:val="left"/>
        </w:tabs>
        <w:numPr>
          <w:ilvl w:val="0"/>
          <w:numId w:val="244"/>
        </w:numPr>
        <w:rPr>
          <w:rFonts w:ascii="Arial" w:cs="Arial" w:eastAsia="Arial" w:hAnsi="Arial"/>
          <w:sz w:val="22"/>
          <w:szCs w:val="22"/>
          <w:color w:val="auto"/>
        </w:rPr>
      </w:pPr>
      <w:r>
        <w:rPr>
          <w:rFonts w:ascii="Arial" w:cs="Arial" w:eastAsia="Arial" w:hAnsi="Arial"/>
          <w:sz w:val="22"/>
          <w:szCs w:val="22"/>
          <w:u w:val="single" w:color="auto"/>
          <w:color w:val="auto"/>
        </w:rPr>
        <w:t>No Assignments to the Borrower or Affiliates</w:t>
      </w:r>
      <w:r>
        <w:rPr>
          <w:rFonts w:ascii="Arial" w:cs="Arial" w:eastAsia="Arial" w:hAnsi="Arial"/>
          <w:sz w:val="22"/>
          <w:szCs w:val="22"/>
          <w:color w:val="auto"/>
        </w:rPr>
        <w:t>. Anything in this Section to the contrary notwithstanding, no Lender may assign or participate any interest in any Loan or LC Exposure held by it hereunder to the Borrower or any of its Affiliates or Subsidiaries without the prior consent of each Lender.</w:t>
      </w:r>
    </w:p>
    <w:p>
      <w:pPr>
        <w:spacing w:after="0" w:line="186" w:lineRule="exact"/>
        <w:rPr>
          <w:sz w:val="20"/>
          <w:szCs w:val="20"/>
          <w:color w:val="auto"/>
        </w:rPr>
      </w:pPr>
    </w:p>
    <w:p>
      <w:pPr>
        <w:jc w:val="both"/>
        <w:ind w:firstLine="1497"/>
        <w:spacing w:after="0" w:line="244"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21"/>
          <w:szCs w:val="21"/>
          <w:u w:val="single" w:color="auto"/>
          <w:color w:val="auto"/>
        </w:rPr>
        <w:t>Sections 2.14</w:t>
      </w:r>
      <w:r>
        <w:rPr>
          <w:rFonts w:ascii="Arial" w:cs="Arial" w:eastAsia="Arial" w:hAnsi="Arial"/>
          <w:sz w:val="21"/>
          <w:szCs w:val="21"/>
          <w:color w:val="auto"/>
        </w:rPr>
        <w:t xml:space="preserve">, </w:t>
      </w:r>
      <w:r>
        <w:rPr>
          <w:rFonts w:ascii="Arial" w:cs="Arial" w:eastAsia="Arial" w:hAnsi="Arial"/>
          <w:sz w:val="21"/>
          <w:szCs w:val="21"/>
          <w:u w:val="single" w:color="auto"/>
          <w:color w:val="auto"/>
        </w:rPr>
        <w:t>2.15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9.03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VIII</w:t>
      </w:r>
      <w:r>
        <w:rPr>
          <w:rFonts w:ascii="Arial" w:cs="Arial" w:eastAsia="Arial" w:hAnsi="Arial"/>
          <w:sz w:val="21"/>
          <w:szCs w:val="21"/>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Counterparts; Integration; Effectiveness; Electronic Execution</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5" w:lineRule="auto"/>
        <w:tabs>
          <w:tab w:leader="none" w:pos="1983" w:val="left"/>
        </w:tabs>
        <w:numPr>
          <w:ilvl w:val="0"/>
          <w:numId w:val="245"/>
        </w:numPr>
        <w:rPr>
          <w:rFonts w:ascii="Arial" w:cs="Arial" w:eastAsia="Arial" w:hAnsi="Arial"/>
          <w:sz w:val="19"/>
          <w:szCs w:val="19"/>
          <w:color w:val="auto"/>
        </w:rPr>
      </w:pP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w:t>
      </w:r>
    </w:p>
    <w:p>
      <w:pPr>
        <w:spacing w:after="0" w:line="164"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144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2" w:name="page223"/>
    <w:bookmarkEnd w:id="222"/>
    <w:p>
      <w:pPr>
        <w:jc w:val="both"/>
        <w:spacing w:after="0"/>
        <w:rPr>
          <w:sz w:val="20"/>
          <w:szCs w:val="20"/>
          <w:color w:val="auto"/>
        </w:rPr>
      </w:pPr>
      <w:r>
        <w:rPr>
          <w:rFonts w:ascii="Arial" w:cs="Arial" w:eastAsia="Arial" w:hAnsi="Arial"/>
          <w:sz w:val="22"/>
          <w:szCs w:val="22"/>
          <w:color w:val="auto"/>
        </w:rPr>
        <w:t>the benefit of the parties hereto and their respective successors and assigns. Delivery of an executed counterpart of a signature page to this Agreement by telecopy or electronically (e.g. pdf) shall be effective as delivery of a manually executed counterpart of this Agreement.</w:t>
      </w:r>
    </w:p>
    <w:p>
      <w:pPr>
        <w:spacing w:after="0" w:line="186" w:lineRule="exact"/>
        <w:rPr>
          <w:sz w:val="20"/>
          <w:szCs w:val="20"/>
          <w:color w:val="auto"/>
        </w:rPr>
      </w:pPr>
    </w:p>
    <w:p>
      <w:pPr>
        <w:jc w:val="both"/>
        <w:ind w:firstLine="1505"/>
        <w:spacing w:after="0" w:line="248" w:lineRule="auto"/>
        <w:tabs>
          <w:tab w:leader="none" w:pos="1943" w:val="left"/>
        </w:tabs>
        <w:numPr>
          <w:ilvl w:val="0"/>
          <w:numId w:val="246"/>
        </w:numPr>
        <w:rPr>
          <w:rFonts w:ascii="Arial" w:cs="Arial" w:eastAsia="Arial" w:hAnsi="Arial"/>
          <w:sz w:val="21"/>
          <w:szCs w:val="21"/>
          <w:color w:val="auto"/>
        </w:rPr>
      </w:pPr>
      <w:r>
        <w:rPr>
          <w:rFonts w:ascii="Arial" w:cs="Arial" w:eastAsia="Arial" w:hAnsi="Arial"/>
          <w:sz w:val="21"/>
          <w:szCs w:val="21"/>
          <w:u w:val="single" w:color="auto"/>
          <w:color w:val="auto"/>
        </w:rPr>
        <w:t>Electronic Execution of Assignments</w:t>
      </w:r>
      <w:r>
        <w:rPr>
          <w:rFonts w:ascii="Arial" w:cs="Arial" w:eastAsia="Arial" w:hAnsi="Arial"/>
          <w:sz w:val="21"/>
          <w:szCs w:val="21"/>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jc w:val="both"/>
        <w:ind w:firstLine="1497"/>
        <w:spacing w:after="0" w:line="252" w:lineRule="auto"/>
        <w:rPr>
          <w:sz w:val="20"/>
          <w:szCs w:val="20"/>
          <w:color w:val="auto"/>
        </w:rPr>
      </w:pPr>
      <w:r>
        <w:rPr>
          <w:rFonts w:ascii="Arial" w:cs="Arial" w:eastAsia="Arial" w:hAnsi="Arial"/>
          <w:sz w:val="21"/>
          <w:szCs w:val="21"/>
          <w:color w:val="auto"/>
        </w:rPr>
        <w:t xml:space="preserve">SECTION 9.07. </w:t>
      </w:r>
      <w:r>
        <w:rPr>
          <w:rFonts w:ascii="Arial" w:cs="Arial" w:eastAsia="Arial" w:hAnsi="Arial"/>
          <w:sz w:val="21"/>
          <w:szCs w:val="21"/>
          <w:u w:val="single" w:color="auto"/>
          <w:color w:val="auto"/>
        </w:rPr>
        <w:t>Severability</w:t>
      </w:r>
      <w:r>
        <w:rPr>
          <w:rFonts w:ascii="Arial" w:cs="Arial" w:eastAsia="Arial" w:hAnsi="Arial"/>
          <w:sz w:val="21"/>
          <w:szCs w:val="21"/>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4" w:lineRule="exact"/>
        <w:rPr>
          <w:sz w:val="20"/>
          <w:szCs w:val="20"/>
          <w:color w:val="auto"/>
        </w:rPr>
      </w:pPr>
    </w:p>
    <w:p>
      <w:pPr>
        <w:jc w:val="both"/>
        <w:ind w:firstLine="1497"/>
        <w:spacing w:after="0" w:line="271"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9"/>
          <w:szCs w:val="19"/>
          <w:u w:val="single" w:color="auto"/>
          <w:color w:val="auto"/>
        </w:rPr>
        <w:t>Sections 2.17(d)</w:t>
      </w:r>
      <w:r>
        <w:rPr>
          <w:rFonts w:ascii="Arial" w:cs="Arial" w:eastAsia="Arial" w:hAnsi="Arial"/>
          <w:sz w:val="19"/>
          <w:szCs w:val="19"/>
          <w:color w:val="auto"/>
        </w:rPr>
        <w:t xml:space="preserve"> and, pending such payment, shall be segregated by such Defaulting Lender from its other funds and deemed held in trust for the benefit of Administrative Agent, the Issuing Bank,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Etc</w:t>
      </w:r>
      <w:r>
        <w:rPr>
          <w:rFonts w:ascii="Arial" w:cs="Arial" w:eastAsia="Arial" w:hAnsi="Arial"/>
          <w:sz w:val="22"/>
          <w:szCs w:val="22"/>
          <w:color w:val="auto"/>
        </w:rPr>
        <w:t>.</w:t>
      </w:r>
    </w:p>
    <w:p>
      <w:pPr>
        <w:spacing w:after="0" w:line="206" w:lineRule="exact"/>
        <w:rPr>
          <w:sz w:val="20"/>
          <w:szCs w:val="20"/>
          <w:color w:val="auto"/>
        </w:rPr>
      </w:pPr>
    </w:p>
    <w:p>
      <w:pPr>
        <w:ind w:left="1960" w:hanging="455"/>
        <w:spacing w:after="0"/>
        <w:tabs>
          <w:tab w:leader="none" w:pos="1960"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construed in accordance with and governed by the law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 of New York.</w:t>
      </w:r>
    </w:p>
    <w:p>
      <w:pPr>
        <w:spacing w:after="0" w:line="188" w:lineRule="exact"/>
        <w:rPr>
          <w:rFonts w:ascii="Arial" w:cs="Arial" w:eastAsia="Arial" w:hAnsi="Arial"/>
          <w:sz w:val="19"/>
          <w:szCs w:val="19"/>
          <w:color w:val="auto"/>
        </w:rPr>
      </w:pPr>
    </w:p>
    <w:p>
      <w:pPr>
        <w:jc w:val="both"/>
        <w:ind w:firstLine="1505"/>
        <w:spacing w:after="0"/>
        <w:tabs>
          <w:tab w:leader="none" w:pos="1943" w:val="left"/>
        </w:tabs>
        <w:numPr>
          <w:ilvl w:val="0"/>
          <w:numId w:val="247"/>
        </w:numPr>
        <w:rPr>
          <w:rFonts w:ascii="Arial" w:cs="Arial" w:eastAsia="Arial" w:hAnsi="Arial"/>
          <w:sz w:val="22"/>
          <w:szCs w:val="22"/>
          <w:color w:val="auto"/>
        </w:rPr>
      </w:pP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The Borrower hereby irrevocably and unconditionally submits, for itself and its property, to the exclusive jurisdiction of the Supreme Court of the State of New York sitting in New York County and of the United States District Court</w:t>
      </w:r>
    </w:p>
    <w:p>
      <w:pPr>
        <w:spacing w:after="0" w:line="193"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145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3" w:name="page224"/>
    <w:bookmarkEnd w:id="223"/>
    <w:p>
      <w:pPr>
        <w:jc w:val="both"/>
        <w:spacing w:after="0" w:line="275" w:lineRule="auto"/>
        <w:rPr>
          <w:sz w:val="20"/>
          <w:szCs w:val="20"/>
          <w:color w:val="auto"/>
        </w:rPr>
      </w:pPr>
      <w:r>
        <w:rPr>
          <w:rFonts w:ascii="Arial" w:cs="Arial" w:eastAsia="Arial" w:hAnsi="Arial"/>
          <w:sz w:val="19"/>
          <w:szCs w:val="19"/>
          <w:color w:val="auto"/>
        </w:rPr>
        <w:t>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the Borrower or its properties in the courts of any jurisdiction.</w:t>
      </w:r>
    </w:p>
    <w:p>
      <w:pPr>
        <w:spacing w:after="0" w:line="157" w:lineRule="exact"/>
        <w:rPr>
          <w:sz w:val="20"/>
          <w:szCs w:val="20"/>
          <w:color w:val="auto"/>
        </w:rPr>
      </w:pPr>
    </w:p>
    <w:p>
      <w:pPr>
        <w:jc w:val="both"/>
        <w:ind w:firstLine="1505"/>
        <w:spacing w:after="0" w:line="236" w:lineRule="auto"/>
        <w:tabs>
          <w:tab w:leader="none" w:pos="1943"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Waiver of Venue</w:t>
      </w:r>
      <w:r>
        <w:rPr>
          <w:rFonts w:ascii="Arial" w:cs="Arial" w:eastAsia="Arial" w:hAnsi="Arial"/>
          <w:sz w:val="22"/>
          <w:szCs w:val="22"/>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22"/>
          <w:szCs w:val="22"/>
          <w:color w:val="auto"/>
        </w:rPr>
      </w:pPr>
    </w:p>
    <w:p>
      <w:pPr>
        <w:jc w:val="both"/>
        <w:ind w:firstLine="1505"/>
        <w:spacing w:after="0" w:line="236" w:lineRule="auto"/>
        <w:tabs>
          <w:tab w:leader="none" w:pos="1956" w:val="left"/>
        </w:tabs>
        <w:numPr>
          <w:ilvl w:val="0"/>
          <w:numId w:val="248"/>
        </w:numPr>
        <w:rPr>
          <w:rFonts w:ascii="Arial" w:cs="Arial" w:eastAsia="Arial" w:hAnsi="Arial"/>
          <w:sz w:val="22"/>
          <w:szCs w:val="22"/>
          <w:color w:val="auto"/>
        </w:rPr>
      </w:pPr>
      <w:r>
        <w:rPr>
          <w:rFonts w:ascii="Arial" w:cs="Arial" w:eastAsia="Arial" w:hAnsi="Arial"/>
          <w:sz w:val="22"/>
          <w:szCs w:val="22"/>
          <w:u w:val="single" w:color="auto"/>
          <w:color w:val="auto"/>
        </w:rPr>
        <w:t>Service of Process</w:t>
      </w:r>
      <w:r>
        <w:rPr>
          <w:rFonts w:ascii="Arial" w:cs="Arial" w:eastAsia="Arial" w:hAnsi="Arial"/>
          <w:sz w:val="22"/>
          <w:szCs w:val="22"/>
          <w:color w:val="auto"/>
        </w:rPr>
        <w:t xml:space="preserve">. Each party to this Agreement (i) irrevocably consents to service of process in the manner provided for notices in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and (ii) agrees that service as provided in the manner provided for notices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9.01</w:t>
      </w:r>
      <w:r>
        <w:rPr>
          <w:rFonts w:ascii="Arial" w:cs="Arial" w:eastAsia="Arial" w:hAnsi="Arial"/>
          <w:sz w:val="22"/>
          <w:szCs w:val="22"/>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7"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 xml:space="preserve">SECTION 9.11. </w:t>
      </w:r>
      <w:r>
        <w:rPr>
          <w:rFonts w:ascii="Arial" w:cs="Arial" w:eastAsia="Arial" w:hAnsi="Arial"/>
          <w:sz w:val="19"/>
          <w:szCs w:val="19"/>
          <w:u w:val="single" w:color="auto"/>
          <w:color w:val="auto"/>
        </w:rPr>
        <w:t>Judgment Currency</w:t>
      </w:r>
      <w:r>
        <w:rPr>
          <w:rFonts w:ascii="Arial" w:cs="Arial" w:eastAsia="Arial" w:hAnsi="Arial"/>
          <w:sz w:val="19"/>
          <w:szCs w:val="19"/>
          <w:color w:val="auto"/>
        </w:rPr>
        <w:t>. This is an international loan transaction in which the specification of Dollars or any Foreign Currency, as the case may be (the “</w:t>
      </w:r>
      <w:r>
        <w:rPr>
          <w:rFonts w:ascii="Arial" w:cs="Arial" w:eastAsia="Arial" w:hAnsi="Arial"/>
          <w:sz w:val="19"/>
          <w:szCs w:val="19"/>
          <w:u w:val="single" w:color="auto"/>
          <w:color w:val="auto"/>
        </w:rPr>
        <w:t>Specified Currency</w:t>
      </w:r>
      <w:r>
        <w:rPr>
          <w:rFonts w:ascii="Arial" w:cs="Arial" w:eastAsia="Arial" w:hAnsi="Arial"/>
          <w:sz w:val="19"/>
          <w:szCs w:val="19"/>
          <w:color w:val="auto"/>
        </w:rPr>
        <w:t>”), and payment in New York City or the country of the Specified Currency, as the case may be (the “</w:t>
      </w:r>
      <w:r>
        <w:rPr>
          <w:rFonts w:ascii="Arial" w:cs="Arial" w:eastAsia="Arial" w:hAnsi="Arial"/>
          <w:sz w:val="19"/>
          <w:szCs w:val="19"/>
          <w:u w:val="single" w:color="auto"/>
          <w:color w:val="auto"/>
        </w:rPr>
        <w:t>Specified Place</w:t>
      </w:r>
      <w:r>
        <w:rPr>
          <w:rFonts w:ascii="Arial" w:cs="Arial" w:eastAsia="Arial" w:hAnsi="Arial"/>
          <w:sz w:val="19"/>
          <w:szCs w:val="19"/>
          <w:color w:val="auto"/>
        </w:rPr>
        <w:t>”), is of the essence, and the Specified Currency shall be the currency of account in all events 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w:t>
      </w:r>
    </w:p>
    <w:p>
      <w:pPr>
        <w:spacing w:after="0" w:line="15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146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4" w:name="page225"/>
    <w:bookmarkEnd w:id="224"/>
    <w:p>
      <w:pPr>
        <w:jc w:val="both"/>
        <w:spacing w:after="0" w:line="272" w:lineRule="auto"/>
        <w:rPr>
          <w:sz w:val="20"/>
          <w:szCs w:val="20"/>
          <w:color w:val="auto"/>
        </w:rPr>
      </w:pPr>
      <w:r>
        <w:rPr>
          <w:rFonts w:ascii="Arial" w:cs="Arial" w:eastAsia="Arial" w:hAnsi="Arial"/>
          <w:sz w:val="19"/>
          <w:szCs w:val="19"/>
          <w:color w:val="auto"/>
        </w:rPr>
        <w:t>Specified Place due hereunder. If for the purpose of obtaining judgment in any court it is necessary to convert a sum due hereunder in the Specified Currency into another currency (the “</w:t>
      </w:r>
      <w:r>
        <w:rPr>
          <w:rFonts w:ascii="Arial" w:cs="Arial" w:eastAsia="Arial" w:hAnsi="Arial"/>
          <w:sz w:val="19"/>
          <w:szCs w:val="19"/>
          <w:u w:val="single" w:color="auto"/>
          <w:color w:val="auto"/>
        </w:rPr>
        <w:t>Second Currency</w:t>
      </w:r>
      <w:r>
        <w:rPr>
          <w:rFonts w:ascii="Arial" w:cs="Arial" w:eastAsia="Arial" w:hAnsi="Arial"/>
          <w:sz w:val="19"/>
          <w:szCs w:val="19"/>
          <w:color w:val="auto"/>
        </w:rPr>
        <w:t>”),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w:t>
      </w:r>
      <w:r>
        <w:rPr>
          <w:rFonts w:ascii="Arial" w:cs="Arial" w:eastAsia="Arial" w:hAnsi="Arial"/>
          <w:sz w:val="19"/>
          <w:szCs w:val="19"/>
          <w:u w:val="single" w:color="auto"/>
          <w:color w:val="auto"/>
        </w:rPr>
        <w:t>Entitled Person</w:t>
      </w:r>
      <w:r>
        <w:rPr>
          <w:rFonts w:ascii="Arial" w:cs="Arial" w:eastAsia="Arial" w:hAnsi="Arial"/>
          <w:sz w:val="19"/>
          <w:szCs w:val="19"/>
          <w:color w:val="auto"/>
        </w:rPr>
        <w:t>”)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ectPr>
          <w:pgSz w:w="11900" w:h="16838" w:orient="portrait"/>
          <w:cols w:equalWidth="0" w:num="1">
            <w:col w:w="11240"/>
          </w:cols>
          <w:pgMar w:left="320" w:top="3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Headings</w:t>
      </w:r>
      <w:r>
        <w:rPr>
          <w:rFonts w:ascii="Arial" w:cs="Arial" w:eastAsia="Arial" w:hAnsi="Arial"/>
          <w:sz w:val="19"/>
          <w:szCs w:val="19"/>
          <w:color w:val="auto"/>
        </w:rPr>
        <w:t>. convenience of reference only, are not part consideration in interpreting, this Agreement.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firstLine="92"/>
        <w:spacing w:after="0" w:line="274" w:lineRule="auto"/>
        <w:rPr>
          <w:sz w:val="20"/>
          <w:szCs w:val="20"/>
          <w:color w:val="auto"/>
        </w:rPr>
      </w:pPr>
      <w:r>
        <w:rPr>
          <w:rFonts w:ascii="Arial" w:cs="Arial" w:eastAsia="Arial" w:hAnsi="Arial"/>
          <w:sz w:val="21"/>
          <w:szCs w:val="21"/>
          <w:color w:val="auto"/>
        </w:rPr>
        <w:t>Article and Section headings and the Table of Contents used herein are for of this Agreement and shall not affect the construction of, or be taken into</w:t>
      </w:r>
    </w:p>
    <w:p>
      <w:pPr>
        <w:spacing w:after="0" w:line="393" w:lineRule="exact"/>
        <w:rPr>
          <w:sz w:val="20"/>
          <w:szCs w:val="20"/>
          <w:color w:val="auto"/>
        </w:rPr>
      </w:pPr>
    </w:p>
    <w:p>
      <w:pPr>
        <w:sectPr>
          <w:pgSz w:w="11900" w:h="16838" w:orient="portrait"/>
          <w:cols w:equalWidth="0" w:num="2">
            <w:col w:w="4020" w:space="120"/>
            <w:col w:w="7100"/>
          </w:cols>
          <w:pgMar w:left="320" w:top="321" w:right="339" w:bottom="1440" w:gutter="0" w:footer="0" w:header="0"/>
          <w:type w:val="continuous"/>
        </w:sectPr>
      </w:pPr>
    </w:p>
    <w:p>
      <w:pPr>
        <w:ind w:left="1500"/>
        <w:spacing w:after="0"/>
        <w:rPr>
          <w:sz w:val="20"/>
          <w:szCs w:val="20"/>
          <w:color w:val="auto"/>
        </w:rPr>
      </w:pPr>
      <w:r>
        <w:rPr>
          <w:rFonts w:ascii="Arial" w:cs="Arial" w:eastAsia="Arial" w:hAnsi="Arial"/>
          <w:sz w:val="22"/>
          <w:szCs w:val="22"/>
          <w:color w:val="auto"/>
        </w:rPr>
        <w:t xml:space="preserve">SECTION 9.13. </w:t>
      </w:r>
      <w:r>
        <w:rPr>
          <w:rFonts w:ascii="Arial" w:cs="Arial" w:eastAsia="Arial" w:hAnsi="Arial"/>
          <w:sz w:val="22"/>
          <w:szCs w:val="22"/>
          <w:u w:val="single" w:color="auto"/>
          <w:color w:val="auto"/>
        </w:rPr>
        <w:t>Treatment of Certain Information; No Fiduciary Duty; Confidentiality</w:t>
      </w:r>
      <w:r>
        <w:rPr>
          <w:rFonts w:ascii="Arial" w:cs="Arial" w:eastAsia="Arial" w:hAnsi="Arial"/>
          <w:sz w:val="22"/>
          <w:szCs w:val="22"/>
          <w:color w:val="auto"/>
        </w:rPr>
        <w:t>.</w:t>
      </w:r>
    </w:p>
    <w:p>
      <w:pPr>
        <w:spacing w:after="0" w:line="206" w:lineRule="exact"/>
        <w:rPr>
          <w:sz w:val="20"/>
          <w:szCs w:val="20"/>
          <w:color w:val="auto"/>
        </w:rPr>
      </w:pPr>
    </w:p>
    <w:p>
      <w:pPr>
        <w:jc w:val="both"/>
        <w:ind w:firstLine="1505"/>
        <w:spacing w:after="0" w:line="270" w:lineRule="auto"/>
        <w:tabs>
          <w:tab w:leader="none" w:pos="1929"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Treatment of Certain Information</w:t>
      </w:r>
      <w:r>
        <w:rPr>
          <w:rFonts w:ascii="Arial" w:cs="Arial" w:eastAsia="Arial" w:hAnsi="Arial"/>
          <w:sz w:val="19"/>
          <w:szCs w:val="19"/>
          <w:color w:val="auto"/>
        </w:rPr>
        <w:t xml:space="preserve">. The Borrower acknowledges that from time to time financial 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9"/>
          <w:szCs w:val="19"/>
          <w:u w:val="single" w:color="auto"/>
          <w:color w:val="auto"/>
        </w:rPr>
        <w:t>paragraph (b)</w:t>
      </w:r>
      <w:r>
        <w:rPr>
          <w:rFonts w:ascii="Arial" w:cs="Arial" w:eastAsia="Arial" w:hAnsi="Arial"/>
          <w:sz w:val="19"/>
          <w:szCs w:val="19"/>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 (i) the transactions contemplated by the Loan Documents (including the exercise of rights and remedies hereunder and thereunder) are</w:t>
      </w:r>
    </w:p>
    <w:p>
      <w:pPr>
        <w:spacing w:after="0" w:line="17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147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225" w:name="page226"/>
    <w:bookmarkEnd w:id="225"/>
    <w:p>
      <w:pPr>
        <w:jc w:val="both"/>
        <w:spacing w:after="0" w:line="272" w:lineRule="auto"/>
        <w:rPr>
          <w:sz w:val="20"/>
          <w:szCs w:val="20"/>
          <w:color w:val="auto"/>
        </w:rPr>
      </w:pPr>
      <w:r>
        <w:rPr>
          <w:rFonts w:ascii="Arial" w:cs="Arial" w:eastAsia="Arial" w:hAnsi="Arial"/>
          <w:sz w:val="19"/>
          <w:szCs w:val="19"/>
          <w:color w:val="auto"/>
        </w:rPr>
        <w:t>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56" w:lineRule="exact"/>
        <w:rPr>
          <w:sz w:val="20"/>
          <w:szCs w:val="20"/>
          <w:color w:val="auto"/>
        </w:rPr>
      </w:pPr>
    </w:p>
    <w:p>
      <w:pPr>
        <w:jc w:val="both"/>
        <w:ind w:firstLine="1505"/>
        <w:spacing w:after="0" w:line="271" w:lineRule="auto"/>
        <w:tabs>
          <w:tab w:leader="none" w:pos="1956" w:val="left"/>
        </w:tabs>
        <w:numPr>
          <w:ilvl w:val="0"/>
          <w:numId w:val="250"/>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Each of the Administrative Agent, the Lenders, the Swingline Lender and the Issuing Bank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other than to any Person listed in the Prohibited Assignees and Participants Side Letter,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to any rating agencies and market data collectors on a confidential basis, (viii) with the consent of the Borrower or (ix) to the extent such Information (x) becomes publicly available other than as a result of a breach of this Section or (y) becomes available to the Administrative Agent, any Lender, the Issuing Bank or any of their respective Affiliates on a nonconfidential basis from a source other than the Borrower.</w:t>
      </w:r>
    </w:p>
    <w:p>
      <w:pPr>
        <w:spacing w:after="0" w:line="157"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For purposes of this Section, “</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means all information received from the Borrower or any of its Subsidiaries relating to the Borrower or any of its Subsidiaries or any of their respective businesses, other than any such information that is available to the Administrative Agent any Lender or the Issuing Bank on a nonconfidential basis prior to disclosure by the Borrower or any of its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w:t>
      </w:r>
    </w:p>
    <w:p>
      <w:pPr>
        <w:spacing w:after="0" w:line="19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148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6" w:name="page227"/>
    <w:bookmarkEnd w:id="226"/>
    <w:p>
      <w:pPr>
        <w:jc w:val="both"/>
        <w:spacing w:after="0"/>
        <w:rPr>
          <w:sz w:val="20"/>
          <w:szCs w:val="20"/>
          <w:color w:val="auto"/>
        </w:rPr>
      </w:pPr>
      <w:r>
        <w:rPr>
          <w:rFonts w:ascii="Arial" w:cs="Arial" w:eastAsia="Arial" w:hAnsi="Arial"/>
          <w:sz w:val="22"/>
          <w:szCs w:val="22"/>
          <w:color w:val="auto"/>
        </w:rPr>
        <w:t>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jc w:val="both"/>
        <w:ind w:firstLine="1497"/>
        <w:spacing w:after="0" w:line="249" w:lineRule="exact"/>
        <w:rPr>
          <w:sz w:val="20"/>
          <w:szCs w:val="20"/>
          <w:color w:val="auto"/>
        </w:rPr>
      </w:pPr>
      <w:r>
        <w:rPr>
          <w:rFonts w:ascii="Arial" w:cs="Arial" w:eastAsia="Arial" w:hAnsi="Arial"/>
          <w:sz w:val="21"/>
          <w:szCs w:val="21"/>
          <w:color w:val="auto"/>
        </w:rPr>
        <w:t xml:space="preserve">SECTION 9.14. </w:t>
      </w:r>
      <w:r>
        <w:rPr>
          <w:rFonts w:ascii="Arial" w:cs="Arial" w:eastAsia="Arial" w:hAnsi="Arial"/>
          <w:sz w:val="21"/>
          <w:szCs w:val="21"/>
          <w:u w:val="single" w:color="auto"/>
          <w:color w:val="auto"/>
        </w:rPr>
        <w:t>USA PATRIOT Act</w:t>
      </w:r>
      <w:r>
        <w:rPr>
          <w:rFonts w:ascii="Arial" w:cs="Arial" w:eastAsia="Arial" w:hAnsi="Arial"/>
          <w:sz w:val="21"/>
          <w:szCs w:val="21"/>
          <w:color w:val="auto"/>
        </w:rPr>
        <w:t>. Each Lender hereby notifies the Borrower that pursuant to the requirements of the USA PATRIOT Act (Title III of Pub. L. 107</w:t>
      </w:r>
      <w:r>
        <w:rPr>
          <w:rFonts w:ascii="MS PGothic" w:cs="MS PGothic" w:eastAsia="MS PGothic" w:hAnsi="MS PGothic"/>
          <w:sz w:val="21"/>
          <w:szCs w:val="21"/>
          <w:color w:val="auto"/>
        </w:rPr>
        <w:t>‑</w:t>
      </w:r>
      <w:r>
        <w:rPr>
          <w:rFonts w:ascii="Arial" w:cs="Arial" w:eastAsia="Arial" w:hAnsi="Arial"/>
          <w:sz w:val="21"/>
          <w:szCs w:val="21"/>
          <w:color w:val="auto"/>
        </w:rPr>
        <w:t>56 (signed into law October 26, 2001)), it is required to obtain, verify and record information that identifies the Borrower and each other Obligor, which information includes the name and address of the Borrower and each other Obligor and other information that will allow such Lender to identify the Borrower and each other Obligor in accordance with said Act and the Beneficial Ownership Regulation.</w:t>
      </w:r>
    </w:p>
    <w:p>
      <w:pPr>
        <w:spacing w:after="0" w:line="18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1"/>
          <w:szCs w:val="21"/>
          <w:color w:val="auto"/>
        </w:rPr>
        <w:t xml:space="preserve">SECTION 9.15. </w:t>
      </w:r>
      <w:r>
        <w:rPr>
          <w:rFonts w:ascii="Arial" w:cs="Arial" w:eastAsia="Arial" w:hAnsi="Arial"/>
          <w:sz w:val="21"/>
          <w:szCs w:val="21"/>
          <w:u w:val="single" w:color="auto"/>
          <w:color w:val="auto"/>
        </w:rPr>
        <w:t>Effect of Amendment and Restatement of the Existing Agreement</w:t>
      </w:r>
      <w:r>
        <w:rPr>
          <w:rFonts w:ascii="Arial" w:cs="Arial" w:eastAsia="Arial" w:hAnsi="Arial"/>
          <w:sz w:val="21"/>
          <w:szCs w:val="21"/>
          <w:color w:val="auto"/>
        </w:rPr>
        <w:t>. 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84"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21"/>
          <w:szCs w:val="21"/>
          <w:color w:val="auto"/>
        </w:rPr>
        <w:t xml:space="preserve">SECTION 9.16. </w:t>
      </w:r>
      <w:r>
        <w:rPr>
          <w:rFonts w:ascii="Arial" w:cs="Arial" w:eastAsia="Arial" w:hAnsi="Arial"/>
          <w:sz w:val="21"/>
          <w:szCs w:val="21"/>
          <w:u w:val="single" w:color="auto"/>
          <w:color w:val="auto"/>
        </w:rPr>
        <w:t>Acknowledgement and Consent to Bail-In of Affected Financial Institutions</w:t>
      </w:r>
      <w:r>
        <w:rPr>
          <w:rFonts w:ascii="Arial" w:cs="Arial" w:eastAsia="Arial" w:hAnsi="Arial"/>
          <w:sz w:val="21"/>
          <w:szCs w:val="21"/>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right="20" w:firstLine="1505"/>
        <w:spacing w:after="0" w:line="328" w:lineRule="auto"/>
        <w:tabs>
          <w:tab w:leader="none" w:pos="1929"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04" w:lineRule="exact"/>
        <w:rPr>
          <w:rFonts w:ascii="Arial" w:cs="Arial" w:eastAsia="Arial" w:hAnsi="Arial"/>
          <w:sz w:val="19"/>
          <w:szCs w:val="19"/>
          <w:color w:val="auto"/>
        </w:rPr>
      </w:pPr>
    </w:p>
    <w:p>
      <w:pPr>
        <w:ind w:left="1940" w:hanging="435"/>
        <w:spacing w:after="0"/>
        <w:tabs>
          <w:tab w:leader="none" w:pos="194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1500" w:firstLine="754"/>
        <w:spacing w:after="0" w:line="287" w:lineRule="auto"/>
        <w:tabs>
          <w:tab w:leader="none" w:pos="2681" w:val="left"/>
        </w:tabs>
        <w:numPr>
          <w:ilvl w:val="1"/>
          <w:numId w:val="251"/>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149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7" w:name="page228"/>
    <w:bookmarkEnd w:id="227"/>
    <w:p>
      <w:pPr>
        <w:ind w:left="1500" w:right="20" w:firstLine="754"/>
        <w:spacing w:after="0" w:line="250" w:lineRule="auto"/>
        <w:tabs>
          <w:tab w:leader="none" w:pos="2681"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both"/>
        <w:ind w:firstLine="1497"/>
        <w:spacing w:after="0" w:line="275"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Acknowledgement Regarding Any Supported QFCs</w:t>
      </w:r>
      <w:r>
        <w:rPr>
          <w:rFonts w:ascii="Arial" w:cs="Arial" w:eastAsia="Arial" w:hAnsi="Arial"/>
          <w:sz w:val="19"/>
          <w:szCs w:val="19"/>
          <w:color w:val="auto"/>
        </w:rPr>
        <w:t>. To the extent that the Loan Documents provide support, through a guarantee or otherwise, for Hedging Agreements or any other agreement or instrument that is a QFC (such support, “</w:t>
      </w:r>
      <w:r>
        <w:rPr>
          <w:rFonts w:ascii="Arial" w:cs="Arial" w:eastAsia="Arial" w:hAnsi="Arial"/>
          <w:sz w:val="19"/>
          <w:szCs w:val="19"/>
          <w:u w:val="single" w:color="auto"/>
          <w:color w:val="auto"/>
        </w:rPr>
        <w:t>QFC 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7" w:lineRule="exact"/>
        <w:rPr>
          <w:sz w:val="20"/>
          <w:szCs w:val="20"/>
          <w:color w:val="auto"/>
        </w:rPr>
      </w:pPr>
    </w:p>
    <w:p>
      <w:pPr>
        <w:jc w:val="both"/>
        <w:ind w:firstLine="1505"/>
        <w:spacing w:after="0" w:line="272" w:lineRule="auto"/>
        <w:tabs>
          <w:tab w:leader="none" w:pos="1929" w:val="left"/>
        </w:tabs>
        <w:numPr>
          <w:ilvl w:val="0"/>
          <w:numId w:val="253"/>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rFonts w:ascii="Arial" w:cs="Arial" w:eastAsia="Arial" w:hAnsi="Arial"/>
          <w:sz w:val="19"/>
          <w:szCs w:val="19"/>
          <w:color w:val="auto"/>
        </w:rPr>
      </w:pPr>
    </w:p>
    <w:p>
      <w:pPr>
        <w:ind w:left="1940" w:hanging="435"/>
        <w:spacing w:after="0"/>
        <w:tabs>
          <w:tab w:leader="none" w:pos="1940" w:val="left"/>
        </w:tabs>
        <w:numPr>
          <w:ilvl w:val="0"/>
          <w:numId w:val="253"/>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9.17</w:t>
      </w:r>
      <w:r>
        <w:rPr>
          <w:rFonts w:ascii="Arial" w:cs="Arial" w:eastAsia="Arial" w:hAnsi="Arial"/>
          <w:sz w:val="22"/>
          <w:szCs w:val="22"/>
          <w:color w:val="auto"/>
        </w:rPr>
        <w:t>, the following terms have the following meanings:</w:t>
      </w:r>
    </w:p>
    <w:p>
      <w:pPr>
        <w:spacing w:after="0" w:line="206" w:lineRule="exact"/>
        <w:rPr>
          <w:sz w:val="20"/>
          <w:szCs w:val="20"/>
          <w:color w:val="auto"/>
        </w:rPr>
      </w:pPr>
    </w:p>
    <w:p>
      <w:pPr>
        <w:ind w:left="760" w:firstLine="745"/>
        <w:spacing w:after="0" w:line="250" w:lineRule="auto"/>
        <w:tabs>
          <w:tab w:leader="none" w:pos="1941" w:val="left"/>
        </w:tabs>
        <w:numPr>
          <w:ilvl w:val="0"/>
          <w:numId w:val="254"/>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4" w:lineRule="exact"/>
        <w:rPr>
          <w:rFonts w:ascii="Arial" w:cs="Arial" w:eastAsia="Arial" w:hAnsi="Arial"/>
          <w:sz w:val="22"/>
          <w:szCs w:val="22"/>
          <w:color w:val="auto"/>
        </w:rPr>
      </w:pPr>
    </w:p>
    <w:p>
      <w:pPr>
        <w:ind w:left="1940" w:hanging="435"/>
        <w:spacing w:after="0"/>
        <w:tabs>
          <w:tab w:leader="none" w:pos="1940" w:val="left"/>
        </w:tabs>
        <w:numPr>
          <w:ilvl w:val="0"/>
          <w:numId w:val="25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6" w:lineRule="exact"/>
        <w:rPr>
          <w:rFonts w:ascii="Arial" w:cs="Arial" w:eastAsia="Arial" w:hAnsi="Arial"/>
          <w:sz w:val="22"/>
          <w:szCs w:val="22"/>
          <w:color w:val="auto"/>
        </w:rPr>
      </w:pPr>
    </w:p>
    <w:p>
      <w:pPr>
        <w:ind w:left="2680" w:hanging="426"/>
        <w:spacing w:after="0"/>
        <w:tabs>
          <w:tab w:leader="none" w:pos="2680" w:val="left"/>
        </w:tabs>
        <w:numPr>
          <w:ilvl w:val="1"/>
          <w:numId w:val="254"/>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w:t>
      </w:r>
    </w:p>
    <w:p>
      <w:pPr>
        <w:spacing w:after="0" w:line="19" w:lineRule="exact"/>
        <w:rPr>
          <w:rFonts w:ascii="Arial" w:cs="Arial" w:eastAsia="Arial" w:hAnsi="Arial"/>
          <w:sz w:val="21"/>
          <w:szCs w:val="21"/>
          <w:color w:val="auto"/>
        </w:rPr>
      </w:pPr>
    </w:p>
    <w:p>
      <w:pPr>
        <w:ind w:left="1500"/>
        <w:spacing w:after="0"/>
        <w:rPr>
          <w:rFonts w:ascii="Arial" w:cs="Arial" w:eastAsia="Arial" w:hAnsi="Arial"/>
          <w:sz w:val="21"/>
          <w:szCs w:val="21"/>
          <w:color w:val="auto"/>
        </w:rPr>
      </w:pPr>
      <w:r>
        <w:rPr>
          <w:rFonts w:ascii="Arial" w:cs="Arial" w:eastAsia="Arial" w:hAnsi="Arial"/>
          <w:sz w:val="22"/>
          <w:szCs w:val="22"/>
          <w:color w:val="auto"/>
        </w:rPr>
        <w:t>252.82(b);</w:t>
      </w:r>
    </w:p>
    <w:p>
      <w:pPr>
        <w:spacing w:after="0" w:line="188" w:lineRule="exact"/>
        <w:rPr>
          <w:rFonts w:ascii="Arial" w:cs="Arial" w:eastAsia="Arial" w:hAnsi="Arial"/>
          <w:sz w:val="21"/>
          <w:szCs w:val="21"/>
          <w:color w:val="auto"/>
        </w:rPr>
      </w:pPr>
    </w:p>
    <w:p>
      <w:pPr>
        <w:ind w:left="2680" w:hanging="426"/>
        <w:spacing w:after="0"/>
        <w:tabs>
          <w:tab w:leader="none" w:pos="2680" w:val="left"/>
        </w:tabs>
        <w:numPr>
          <w:ilvl w:val="1"/>
          <w:numId w:val="254"/>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w:t>
      </w:r>
    </w:p>
    <w:p>
      <w:pPr>
        <w:spacing w:after="0" w:line="19" w:lineRule="exact"/>
        <w:rPr>
          <w:rFonts w:ascii="Arial" w:cs="Arial" w:eastAsia="Arial" w:hAnsi="Arial"/>
          <w:sz w:val="21"/>
          <w:szCs w:val="21"/>
          <w:color w:val="auto"/>
        </w:rPr>
      </w:pPr>
    </w:p>
    <w:p>
      <w:pPr>
        <w:ind w:left="1500"/>
        <w:spacing w:after="0"/>
        <w:rPr>
          <w:rFonts w:ascii="Arial" w:cs="Arial" w:eastAsia="Arial" w:hAnsi="Arial"/>
          <w:sz w:val="21"/>
          <w:szCs w:val="21"/>
          <w:color w:val="auto"/>
        </w:rPr>
      </w:pPr>
      <w:r>
        <w:rPr>
          <w:rFonts w:ascii="Arial" w:cs="Arial" w:eastAsia="Arial" w:hAnsi="Arial"/>
          <w:sz w:val="22"/>
          <w:szCs w:val="22"/>
          <w:color w:val="auto"/>
        </w:rPr>
        <w:t>47.3(b); or</w:t>
      </w:r>
    </w:p>
    <w:p>
      <w:pPr>
        <w:spacing w:after="0" w:line="19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150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8" w:name="page229"/>
    <w:bookmarkEnd w:id="228"/>
    <w:p>
      <w:pPr>
        <w:ind w:left="1920" w:hanging="426"/>
        <w:spacing w:after="0"/>
        <w:tabs>
          <w:tab w:leader="none" w:pos="1920" w:val="left"/>
        </w:tabs>
        <w:numPr>
          <w:ilvl w:val="1"/>
          <w:numId w:val="255"/>
        </w:numPr>
        <w:rPr>
          <w:rFonts w:ascii="Arial" w:cs="Arial" w:eastAsia="Arial" w:hAnsi="Arial"/>
          <w:sz w:val="21"/>
          <w:szCs w:val="21"/>
          <w:color w:val="auto"/>
        </w:rPr>
      </w:pPr>
      <w:r>
        <w:rPr>
          <w:rFonts w:ascii="Arial" w:cs="Arial" w:eastAsia="Arial" w:hAnsi="Arial"/>
          <w:sz w:val="21"/>
          <w:szCs w:val="21"/>
          <w:color w:val="auto"/>
        </w:rPr>
        <w:t>a “covered FSI” as that term is defined in, and interpreted in accordance with, 12 C.F.R. §</w:t>
      </w:r>
    </w:p>
    <w:p>
      <w:pPr>
        <w:spacing w:after="0" w:line="19" w:lineRule="exact"/>
        <w:rPr>
          <w:rFonts w:ascii="Arial" w:cs="Arial" w:eastAsia="Arial" w:hAnsi="Arial"/>
          <w:sz w:val="21"/>
          <w:szCs w:val="21"/>
          <w:color w:val="auto"/>
        </w:rPr>
      </w:pPr>
    </w:p>
    <w:p>
      <w:pPr>
        <w:ind w:left="740"/>
        <w:spacing w:after="0"/>
        <w:rPr>
          <w:rFonts w:ascii="Arial" w:cs="Arial" w:eastAsia="Arial" w:hAnsi="Arial"/>
          <w:sz w:val="21"/>
          <w:szCs w:val="21"/>
          <w:color w:val="auto"/>
        </w:rPr>
      </w:pPr>
      <w:r>
        <w:rPr>
          <w:rFonts w:ascii="Arial" w:cs="Arial" w:eastAsia="Arial" w:hAnsi="Arial"/>
          <w:sz w:val="22"/>
          <w:szCs w:val="22"/>
          <w:color w:val="auto"/>
        </w:rPr>
        <w:t>382.2(b).</w:t>
      </w:r>
    </w:p>
    <w:p>
      <w:pPr>
        <w:spacing w:after="0" w:line="188" w:lineRule="exact"/>
        <w:rPr>
          <w:rFonts w:ascii="Arial" w:cs="Arial" w:eastAsia="Arial" w:hAnsi="Arial"/>
          <w:sz w:val="21"/>
          <w:szCs w:val="21"/>
          <w:color w:val="auto"/>
        </w:rPr>
      </w:pPr>
    </w:p>
    <w:p>
      <w:pPr>
        <w:ind w:firstLine="745"/>
        <w:spacing w:after="0" w:line="250" w:lineRule="auto"/>
        <w:tabs>
          <w:tab w:leader="none" w:pos="1181" w:val="left"/>
        </w:tabs>
        <w:numPr>
          <w:ilvl w:val="0"/>
          <w:numId w:val="2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74" w:lineRule="exact"/>
        <w:rPr>
          <w:rFonts w:ascii="Arial" w:cs="Arial" w:eastAsia="Arial" w:hAnsi="Arial"/>
          <w:sz w:val="22"/>
          <w:szCs w:val="22"/>
          <w:color w:val="auto"/>
        </w:rPr>
      </w:pPr>
    </w:p>
    <w:p>
      <w:pPr>
        <w:ind w:firstLine="745"/>
        <w:spacing w:after="0" w:line="250" w:lineRule="auto"/>
        <w:tabs>
          <w:tab w:leader="none" w:pos="1181" w:val="left"/>
        </w:tabs>
        <w:numPr>
          <w:ilvl w:val="0"/>
          <w:numId w:val="25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151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52070</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321" w:right="339" w:bottom="1440" w:gutter="0" w:footer="0" w:header="0"/>
        </w:sectPr>
      </w:pPr>
    </w:p>
    <w:bookmarkStart w:id="229" w:name="page230"/>
    <w:bookmarkEnd w:id="229"/>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PENNANTPARK INVESTMENT CORPORATION</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-17780</wp:posOffset>
            </wp:positionV>
            <wp:extent cx="27432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5240"/>
        <w:spacing w:after="0" w:line="238" w:lineRule="auto"/>
        <w:rPr>
          <w:sz w:val="20"/>
          <w:szCs w:val="20"/>
          <w:color w:val="auto"/>
        </w:rPr>
      </w:pPr>
      <w:r>
        <w:rPr>
          <w:rFonts w:ascii="Arial" w:cs="Arial" w:eastAsia="Arial" w:hAnsi="Arial"/>
          <w:sz w:val="22"/>
          <w:szCs w:val="22"/>
          <w:color w:val="auto"/>
        </w:rPr>
        <w:t>Name:</w:t>
      </w:r>
    </w:p>
    <w:p>
      <w:pPr>
        <w:jc w:val="center"/>
        <w:ind w:right="280"/>
        <w:spacing w:after="0"/>
        <w:rPr>
          <w:sz w:val="20"/>
          <w:szCs w:val="20"/>
          <w:color w:val="auto"/>
        </w:rPr>
      </w:pPr>
      <w:r>
        <w:rPr>
          <w:rFonts w:ascii="Arial" w:cs="Arial" w:eastAsia="Arial" w:hAnsi="Arial"/>
          <w:sz w:val="22"/>
          <w:szCs w:val="22"/>
          <w:color w:val="auto"/>
        </w:rPr>
        <w:t>Title:</w:t>
      </w:r>
    </w:p>
    <w:p>
      <w:pPr>
        <w:spacing w:after="0" w:line="39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 xml:space="preserve">DOCVARIABLE #DNDocID \* MERGEFORMAT 748401849 152 </w:t>
      </w:r>
      <w:r>
        <w:rPr>
          <w:rFonts w:ascii="Arial" w:cs="Arial" w:eastAsia="Arial" w:hAnsi="Arial"/>
          <w:sz w:val="17"/>
          <w:szCs w:val="17"/>
          <w:i w:val="1"/>
          <w:iCs w:val="1"/>
          <w:color w:val="auto"/>
        </w:rPr>
        <w:t>Second Amended and Restated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0" w:name="page231"/>
    <w:bookmarkEnd w:id="230"/>
    <w:p>
      <w:pPr>
        <w:ind w:left="3380" w:right="220"/>
        <w:spacing w:after="0" w:line="250" w:lineRule="auto"/>
        <w:rPr>
          <w:sz w:val="20"/>
          <w:szCs w:val="20"/>
          <w:color w:val="auto"/>
        </w:rPr>
      </w:pPr>
      <w:r>
        <w:rPr>
          <w:rFonts w:ascii="Arial" w:cs="Arial" w:eastAsia="Arial" w:hAnsi="Arial"/>
          <w:sz w:val="22"/>
          <w:szCs w:val="22"/>
          <w:color w:val="auto"/>
        </w:rPr>
        <w:t>TRUIST BANK, as Administrative Agent, Swingline Lender, Issuing Bank and a Lender</w:t>
      </w:r>
    </w:p>
    <w:p>
      <w:pPr>
        <w:spacing w:after="0" w:line="17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-17780</wp:posOffset>
            </wp:positionV>
            <wp:extent cx="27432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20"/>
        <w:spacing w:after="0"/>
        <w:rPr>
          <w:sz w:val="20"/>
          <w:szCs w:val="20"/>
          <w:color w:val="auto"/>
        </w:rPr>
      </w:pPr>
      <w:r>
        <w:rPr>
          <w:rFonts w:ascii="Arial" w:cs="Arial" w:eastAsia="Arial" w:hAnsi="Arial"/>
          <w:sz w:val="22"/>
          <w:szCs w:val="22"/>
          <w:color w:val="auto"/>
        </w:rPr>
        <w:t>Title:</w:t>
      </w:r>
    </w:p>
    <w:p>
      <w:pPr>
        <w:spacing w:after="0" w:line="398" w:lineRule="exact"/>
        <w:rPr>
          <w:sz w:val="20"/>
          <w:szCs w:val="20"/>
          <w:color w:val="auto"/>
        </w:rPr>
      </w:pPr>
    </w:p>
    <w:p>
      <w:pPr>
        <w:jc w:val="right"/>
        <w:ind w:left="3860"/>
        <w:spacing w:after="0" w:line="291" w:lineRule="auto"/>
        <w:rPr>
          <w:sz w:val="20"/>
          <w:szCs w:val="20"/>
          <w:color w:val="auto"/>
        </w:rPr>
      </w:pPr>
      <w:r>
        <w:rPr>
          <w:rFonts w:ascii="Arial" w:cs="Arial" w:eastAsia="Arial" w:hAnsi="Arial"/>
          <w:sz w:val="14"/>
          <w:szCs w:val="14"/>
          <w:color w:val="auto"/>
        </w:rPr>
        <w:t xml:space="preserve">DOCVARIABLE #DNDocID \* MERGEFORMAT 748401849 153 </w:t>
      </w:r>
      <w:r>
        <w:rPr>
          <w:rFonts w:ascii="Arial" w:cs="Arial" w:eastAsia="Arial" w:hAnsi="Arial"/>
          <w:sz w:val="17"/>
          <w:szCs w:val="17"/>
          <w:i w:val="1"/>
          <w:iCs w:val="1"/>
          <w:color w:val="auto"/>
        </w:rPr>
        <w:t>Second Amended and Restated</w:t>
      </w:r>
      <w:r>
        <w:rPr>
          <w:rFonts w:ascii="Arial" w:cs="Arial" w:eastAsia="Arial" w:hAnsi="Arial"/>
          <w:sz w:val="14"/>
          <w:szCs w:val="14"/>
          <w:color w:val="auto"/>
        </w:rPr>
        <w:t xml:space="preserve"> </w:t>
      </w:r>
      <w:r>
        <w:rPr>
          <w:rFonts w:ascii="Arial" w:cs="Arial" w:eastAsia="Arial" w:hAnsi="Arial"/>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20955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231" w:name="page232"/>
    <w:bookmarkEnd w:id="231"/>
    <w:p>
      <w:pPr>
        <w:ind w:left="3380"/>
        <w:spacing w:after="0"/>
        <w:rPr>
          <w:sz w:val="20"/>
          <w:szCs w:val="20"/>
          <w:color w:val="auto"/>
        </w:rPr>
      </w:pPr>
      <w:r>
        <w:rPr>
          <w:rFonts w:ascii="Arial" w:cs="Arial" w:eastAsia="Arial" w:hAnsi="Arial"/>
          <w:sz w:val="22"/>
          <w:szCs w:val="22"/>
          <w:color w:val="auto"/>
        </w:rPr>
        <w:t>JPMORGAN CHASE BANK, N.A., as a Lender</w:t>
      </w:r>
    </w:p>
    <w:p>
      <w:pPr>
        <w:spacing w:after="0" w:line="206"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2421255</wp:posOffset>
            </wp:positionH>
            <wp:positionV relativeFrom="paragraph">
              <wp:posOffset>-17780</wp:posOffset>
            </wp:positionV>
            <wp:extent cx="2743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left="3860"/>
        <w:spacing w:after="0" w:line="291" w:lineRule="auto"/>
        <w:rPr>
          <w:sz w:val="20"/>
          <w:szCs w:val="20"/>
          <w:color w:val="auto"/>
        </w:rPr>
      </w:pPr>
      <w:r>
        <w:rPr>
          <w:rFonts w:ascii="Arial" w:cs="Arial" w:eastAsia="Arial" w:hAnsi="Arial"/>
          <w:sz w:val="14"/>
          <w:szCs w:val="14"/>
          <w:color w:val="auto"/>
        </w:rPr>
        <w:t xml:space="preserve">DOCVARIABLE #DNDocID \* MERGEFORMAT 748401849 154 </w:t>
      </w:r>
      <w:r>
        <w:rPr>
          <w:rFonts w:ascii="Arial" w:cs="Arial" w:eastAsia="Arial" w:hAnsi="Arial"/>
          <w:sz w:val="17"/>
          <w:szCs w:val="17"/>
          <w:i w:val="1"/>
          <w:iCs w:val="1"/>
          <w:color w:val="auto"/>
        </w:rPr>
        <w:t>Second Amended and Restated</w:t>
      </w:r>
      <w:r>
        <w:rPr>
          <w:rFonts w:ascii="Arial" w:cs="Arial" w:eastAsia="Arial" w:hAnsi="Arial"/>
          <w:sz w:val="14"/>
          <w:szCs w:val="14"/>
          <w:color w:val="auto"/>
        </w:rPr>
        <w:t xml:space="preserve"> </w:t>
      </w:r>
      <w:r>
        <w:rPr>
          <w:rFonts w:ascii="Arial" w:cs="Arial" w:eastAsia="Arial" w:hAnsi="Arial"/>
          <w:sz w:val="17"/>
          <w:szCs w:val="17"/>
          <w:i w:val="1"/>
          <w:i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20955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4"/>
          <w:szCs w:val="14"/>
          <w:b w:val="1"/>
          <w:bCs w:val="1"/>
          <w:color w:val="auto"/>
        </w:rPr>
        <w:t>EXHIBIT 31.1</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204" w:lineRule="exact"/>
        <w:rPr>
          <w:sz w:val="20"/>
          <w:szCs w:val="20"/>
          <w:color w:val="auto"/>
        </w:rPr>
      </w:pPr>
    </w:p>
    <w:p>
      <w:pPr>
        <w:ind w:left="620" w:hanging="143"/>
        <w:spacing w:after="0"/>
        <w:tabs>
          <w:tab w:leader="none" w:pos="620" w:val="left"/>
        </w:tabs>
        <w:numPr>
          <w:ilvl w:val="0"/>
          <w:numId w:val="25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20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25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25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right="60" w:firstLine="477"/>
        <w:spacing w:after="0" w:line="273" w:lineRule="auto"/>
        <w:tabs>
          <w:tab w:leader="none" w:pos="613" w:val="left"/>
        </w:tabs>
        <w:numPr>
          <w:ilvl w:val="0"/>
          <w:numId w:val="25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25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4"/>
          <w:szCs w:val="14"/>
          <w:color w:val="auto"/>
        </w:rPr>
      </w:pPr>
    </w:p>
    <w:p>
      <w:pPr>
        <w:ind w:left="920" w:hanging="163"/>
        <w:spacing w:after="0"/>
        <w:tabs>
          <w:tab w:leader="none" w:pos="920" w:val="left"/>
        </w:tabs>
        <w:numPr>
          <w:ilvl w:val="1"/>
          <w:numId w:val="25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w:t>
      </w:r>
    </w:p>
    <w:p>
      <w:pPr>
        <w:spacing w:after="0" w:line="13" w:lineRule="exact"/>
        <w:rPr>
          <w:sz w:val="20"/>
          <w:szCs w:val="20"/>
          <w:color w:val="auto"/>
        </w:rPr>
      </w:pPr>
    </w:p>
    <w:p>
      <w:pPr>
        <w:ind w:right="740"/>
        <w:spacing w:after="0" w:line="255" w:lineRule="auto"/>
        <w:rPr>
          <w:sz w:val="20"/>
          <w:szCs w:val="20"/>
          <w:color w:val="auto"/>
        </w:rPr>
      </w:pPr>
      <w:r>
        <w:rPr>
          <w:rFonts w:ascii="Arial" w:cs="Arial" w:eastAsia="Arial" w:hAnsi="Arial"/>
          <w:sz w:val="14"/>
          <w:szCs w:val="14"/>
          <w:color w:val="auto"/>
        </w:rPr>
        <w:t>reasonable assurance regarding the reliability of financial reporting and the preparation of financial statements for external purposes in accordance with generally accepted accounting principles;</w:t>
      </w:r>
    </w:p>
    <w:p>
      <w:pPr>
        <w:spacing w:after="0" w:line="172" w:lineRule="exact"/>
        <w:rPr>
          <w:sz w:val="20"/>
          <w:szCs w:val="20"/>
          <w:color w:val="auto"/>
        </w:rPr>
      </w:pPr>
    </w:p>
    <w:p>
      <w:pPr>
        <w:ind w:right="260" w:firstLine="757"/>
        <w:spacing w:after="0" w:line="273" w:lineRule="auto"/>
        <w:tabs>
          <w:tab w:leader="none" w:pos="897" w:val="left"/>
        </w:tabs>
        <w:numPr>
          <w:ilvl w:val="1"/>
          <w:numId w:val="25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25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25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2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right="620" w:firstLine="757"/>
        <w:spacing w:after="0" w:line="553" w:lineRule="auto"/>
        <w:tabs>
          <w:tab w:leader="none" w:pos="904" w:val="left"/>
        </w:tabs>
        <w:numPr>
          <w:ilvl w:val="1"/>
          <w:numId w:val="25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3,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84607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Name:</w:t>
        <w:tab/>
        <w:t>Arthur H. Penn</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4"/>
          <w:szCs w:val="14"/>
          <w:b w:val="1"/>
          <w:bCs w:val="1"/>
          <w:color w:val="auto"/>
        </w:rPr>
        <w:t>EXHIBIT 31.2</w:t>
      </w:r>
    </w:p>
    <w:p>
      <w:pPr>
        <w:spacing w:after="0" w:line="20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I, Richard T. Allorto, Jr., Chief Financial Officer of PennantPark Investment Corporation, certify that:</w:t>
      </w:r>
    </w:p>
    <w:p>
      <w:pPr>
        <w:spacing w:after="0" w:line="204" w:lineRule="exact"/>
        <w:rPr>
          <w:sz w:val="20"/>
          <w:szCs w:val="20"/>
          <w:color w:val="auto"/>
        </w:rPr>
      </w:pPr>
    </w:p>
    <w:p>
      <w:pPr>
        <w:ind w:left="620" w:hanging="143"/>
        <w:spacing w:after="0"/>
        <w:tabs>
          <w:tab w:leader="none" w:pos="62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203" w:lineRule="exact"/>
        <w:rPr>
          <w:rFonts w:ascii="Arial" w:cs="Arial" w:eastAsia="Arial" w:hAnsi="Arial"/>
          <w:sz w:val="14"/>
          <w:szCs w:val="14"/>
          <w:color w:val="auto"/>
        </w:rPr>
      </w:pPr>
    </w:p>
    <w:p>
      <w:pPr>
        <w:ind w:right="580" w:firstLine="477"/>
        <w:spacing w:after="0" w:line="273" w:lineRule="auto"/>
        <w:tabs>
          <w:tab w:leader="none" w:pos="61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0" w:lineRule="exact"/>
        <w:rPr>
          <w:rFonts w:ascii="Arial" w:cs="Arial" w:eastAsia="Arial" w:hAnsi="Arial"/>
          <w:sz w:val="14"/>
          <w:szCs w:val="14"/>
          <w:color w:val="auto"/>
        </w:rPr>
      </w:pPr>
    </w:p>
    <w:p>
      <w:pPr>
        <w:ind w:right="460" w:firstLine="477"/>
        <w:spacing w:after="0" w:line="273" w:lineRule="auto"/>
        <w:tabs>
          <w:tab w:leader="none" w:pos="61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4"/>
          <w:szCs w:val="14"/>
          <w:color w:val="auto"/>
        </w:rPr>
      </w:pPr>
    </w:p>
    <w:p>
      <w:pPr>
        <w:ind w:right="600" w:firstLine="476"/>
        <w:spacing w:after="0" w:line="273" w:lineRule="auto"/>
        <w:tabs>
          <w:tab w:leader="none" w:pos="612"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4"/>
          <w:szCs w:val="14"/>
          <w:color w:val="auto"/>
        </w:rPr>
      </w:pPr>
    </w:p>
    <w:p>
      <w:pPr>
        <w:jc w:val="both"/>
        <w:ind w:right="480" w:firstLine="757"/>
        <w:spacing w:after="0" w:line="257" w:lineRule="auto"/>
        <w:tabs>
          <w:tab w:leader="none" w:pos="919" w:val="left"/>
        </w:tabs>
        <w:numPr>
          <w:ilvl w:val="1"/>
          <w:numId w:val="26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Arial" w:cs="Arial" w:eastAsia="Arial" w:hAnsi="Arial"/>
          <w:sz w:val="14"/>
          <w:szCs w:val="14"/>
          <w:color w:val="auto"/>
        </w:rPr>
      </w:pPr>
    </w:p>
    <w:p>
      <w:pPr>
        <w:ind w:right="740" w:firstLine="757"/>
        <w:spacing w:after="0" w:line="257" w:lineRule="auto"/>
        <w:tabs>
          <w:tab w:leader="none" w:pos="905" w:val="left"/>
        </w:tabs>
        <w:numPr>
          <w:ilvl w:val="1"/>
          <w:numId w:val="26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4"/>
          <w:szCs w:val="14"/>
          <w:color w:val="auto"/>
        </w:rPr>
      </w:pPr>
    </w:p>
    <w:p>
      <w:pPr>
        <w:ind w:right="260" w:firstLine="757"/>
        <w:spacing w:after="0" w:line="273" w:lineRule="auto"/>
        <w:tabs>
          <w:tab w:leader="none" w:pos="897" w:val="left"/>
        </w:tabs>
        <w:numPr>
          <w:ilvl w:val="1"/>
          <w:numId w:val="2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4"/>
          <w:szCs w:val="14"/>
          <w:color w:val="auto"/>
        </w:rPr>
      </w:pPr>
    </w:p>
    <w:p>
      <w:pPr>
        <w:ind w:right="380" w:firstLine="757"/>
        <w:spacing w:after="0" w:line="312" w:lineRule="auto"/>
        <w:tabs>
          <w:tab w:leader="none" w:pos="905" w:val="left"/>
        </w:tabs>
        <w:numPr>
          <w:ilvl w:val="1"/>
          <w:numId w:val="26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3"/>
          <w:szCs w:val="13"/>
          <w:color w:val="auto"/>
        </w:rPr>
      </w:pPr>
    </w:p>
    <w:p>
      <w:pPr>
        <w:ind w:right="540" w:firstLine="477"/>
        <w:spacing w:after="0" w:line="273" w:lineRule="auto"/>
        <w:tabs>
          <w:tab w:leader="none" w:pos="613" w:val="left"/>
        </w:tabs>
        <w:numPr>
          <w:ilvl w:val="0"/>
          <w:numId w:val="26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4"/>
          <w:szCs w:val="14"/>
          <w:color w:val="auto"/>
        </w:rPr>
      </w:pPr>
    </w:p>
    <w:p>
      <w:pPr>
        <w:ind w:right="420" w:firstLine="757"/>
        <w:spacing w:after="0" w:line="273" w:lineRule="auto"/>
        <w:tabs>
          <w:tab w:leader="none" w:pos="897" w:val="left"/>
        </w:tabs>
        <w:numPr>
          <w:ilvl w:val="1"/>
          <w:numId w:val="2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4"/>
          <w:szCs w:val="14"/>
          <w:color w:val="auto"/>
        </w:rPr>
      </w:pPr>
    </w:p>
    <w:p>
      <w:pPr>
        <w:ind w:right="620" w:firstLine="757"/>
        <w:spacing w:after="0" w:line="553" w:lineRule="auto"/>
        <w:tabs>
          <w:tab w:leader="none" w:pos="904" w:val="left"/>
        </w:tabs>
        <w:numPr>
          <w:ilvl w:val="1"/>
          <w:numId w:val="26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Dated: August 3,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84607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Name:</w:t>
        <w:tab/>
        <w:t>Richard T. Allorto, Jr.</w:t>
      </w:r>
    </w:p>
    <w:p>
      <w:pPr>
        <w:spacing w:after="0" w:line="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right="160" w:firstLine="488"/>
        <w:spacing w:after="0" w:line="312" w:lineRule="auto"/>
        <w:rPr>
          <w:sz w:val="20"/>
          <w:szCs w:val="20"/>
          <w:color w:val="auto"/>
        </w:rPr>
      </w:pPr>
      <w:r>
        <w:rPr>
          <w:rFonts w:ascii="Arial" w:cs="Arial" w:eastAsia="Arial" w:hAnsi="Arial"/>
          <w:sz w:val="13"/>
          <w:szCs w:val="13"/>
          <w:color w:val="auto"/>
        </w:rPr>
        <w:t>In connection with this Report on Form 10-Q for the three and nine months ended June 30, 2022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780" w:hanging="284"/>
        <w:spacing w:after="0"/>
        <w:tabs>
          <w:tab w:leader="none" w:pos="78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9" w:lineRule="exact"/>
        <w:rPr>
          <w:rFonts w:ascii="Arial" w:cs="Arial" w:eastAsia="Arial" w:hAnsi="Arial"/>
          <w:sz w:val="14"/>
          <w:szCs w:val="14"/>
          <w:color w:val="auto"/>
        </w:rPr>
      </w:pPr>
    </w:p>
    <w:p>
      <w:pPr>
        <w:ind w:left="780" w:hanging="284"/>
        <w:spacing w:after="0"/>
        <w:tabs>
          <w:tab w:leader="none" w:pos="780" w:val="left"/>
        </w:tabs>
        <w:numPr>
          <w:ilvl w:val="0"/>
          <w:numId w:val="26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9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Arthur H. Penn</w:t>
            </w:r>
          </w:p>
        </w:tc>
        <w:tc>
          <w:tcPr>
            <w:tcW w:w="6760" w:type="dxa"/>
            <w:vAlign w:val="bottom"/>
          </w:tcPr>
          <w:p>
            <w:pPr>
              <w:spacing w:after="0"/>
              <w:rPr>
                <w:sz w:val="14"/>
                <w:szCs w:val="14"/>
                <w:color w:val="auto"/>
              </w:rPr>
            </w:pPr>
          </w:p>
        </w:tc>
      </w:tr>
      <w:tr>
        <w:trPr>
          <w:trHeight w:val="176"/>
        </w:trPr>
        <w:tc>
          <w:tcPr>
            <w:tcW w:w="500" w:type="dxa"/>
            <w:vAlign w:val="bottom"/>
          </w:tcPr>
          <w:p>
            <w:pPr>
              <w:ind w:left="20"/>
              <w:spacing w:after="0"/>
              <w:rPr>
                <w:sz w:val="20"/>
                <w:szCs w:val="20"/>
                <w:color w:val="auto"/>
              </w:rPr>
            </w:pPr>
            <w:r>
              <w:rPr>
                <w:rFonts w:ascii="Arial" w:cs="Arial" w:eastAsia="Arial" w:hAnsi="Arial"/>
                <w:sz w:val="14"/>
                <w:szCs w:val="14"/>
                <w:color w:val="auto"/>
              </w:rPr>
              <w:t>Title:</w:t>
            </w:r>
          </w:p>
        </w:tc>
        <w:tc>
          <w:tcPr>
            <w:tcW w:w="398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6760" w:type="dxa"/>
            <w:vAlign w:val="bottom"/>
          </w:tcPr>
          <w:p>
            <w:pPr>
              <w:spacing w:after="0"/>
              <w:rPr>
                <w:sz w:val="15"/>
                <w:szCs w:val="15"/>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Date:</w:t>
            </w:r>
          </w:p>
        </w:tc>
        <w:tc>
          <w:tcPr>
            <w:tcW w:w="3980" w:type="dxa"/>
            <w:vAlign w:val="bottom"/>
          </w:tcPr>
          <w:p>
            <w:pPr>
              <w:ind w:left="80"/>
              <w:spacing w:after="0"/>
              <w:rPr>
                <w:sz w:val="20"/>
                <w:szCs w:val="20"/>
                <w:color w:val="auto"/>
              </w:rPr>
            </w:pPr>
            <w:r>
              <w:rPr>
                <w:rFonts w:ascii="Arial" w:cs="Arial" w:eastAsia="Arial" w:hAnsi="Arial"/>
                <w:sz w:val="14"/>
                <w:szCs w:val="14"/>
                <w:color w:val="auto"/>
              </w:rPr>
              <w:t>August 3, 2022</w:t>
            </w:r>
          </w:p>
        </w:tc>
        <w:tc>
          <w:tcPr>
            <w:tcW w:w="6760" w:type="dxa"/>
            <w:vAlign w:val="bottom"/>
          </w:tcPr>
          <w:p>
            <w:pPr>
              <w:spacing w:after="0"/>
              <w:rPr>
                <w:sz w:val="15"/>
                <w:szCs w:val="15"/>
                <w:color w:val="auto"/>
              </w:rPr>
            </w:pPr>
          </w:p>
        </w:tc>
      </w:tr>
      <w:tr>
        <w:trPr>
          <w:trHeight w:val="492"/>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right="160" w:firstLine="488"/>
        <w:spacing w:after="0" w:line="312" w:lineRule="auto"/>
        <w:rPr>
          <w:sz w:val="20"/>
          <w:szCs w:val="20"/>
          <w:color w:val="auto"/>
        </w:rPr>
      </w:pPr>
      <w:r>
        <w:rPr>
          <w:rFonts w:ascii="Arial" w:cs="Arial" w:eastAsia="Arial" w:hAnsi="Arial"/>
          <w:sz w:val="13"/>
          <w:szCs w:val="13"/>
          <w:color w:val="auto"/>
        </w:rPr>
        <w:t>In connection with this Report on Form 10-Q for the three and nine months ended June 30, 2022 (the “Report”) of PennantPark Investment Corporation (the “Registrant”), as filed with the Securities and Exchange Commission on the date hereof, I, Richard T. Allorto, Jr., Chief Financial Officer of the Registrant, hereby certify, to the best of my knowledge, that:</w:t>
      </w:r>
    </w:p>
    <w:p>
      <w:pPr>
        <w:spacing w:after="0" w:line="84" w:lineRule="exact"/>
        <w:rPr>
          <w:sz w:val="20"/>
          <w:szCs w:val="20"/>
          <w:color w:val="auto"/>
        </w:rPr>
      </w:pPr>
    </w:p>
    <w:p>
      <w:pPr>
        <w:ind w:left="780" w:hanging="284"/>
        <w:spacing w:after="0"/>
        <w:tabs>
          <w:tab w:leader="none" w:pos="780"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49" w:lineRule="exact"/>
        <w:rPr>
          <w:rFonts w:ascii="Arial" w:cs="Arial" w:eastAsia="Arial" w:hAnsi="Arial"/>
          <w:sz w:val="14"/>
          <w:szCs w:val="14"/>
          <w:color w:val="auto"/>
        </w:rPr>
      </w:pPr>
    </w:p>
    <w:p>
      <w:pPr>
        <w:ind w:left="780" w:hanging="284"/>
        <w:spacing w:after="0"/>
        <w:tabs>
          <w:tab w:leader="none" w:pos="780" w:val="left"/>
        </w:tabs>
        <w:numPr>
          <w:ilvl w:val="0"/>
          <w:numId w:val="26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Richard T. Allorto, Jr.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Name:</w:t>
            </w:r>
          </w:p>
        </w:tc>
        <w:tc>
          <w:tcPr>
            <w:tcW w:w="388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Richard T. Allorto, Jr.</w:t>
            </w:r>
          </w:p>
        </w:tc>
        <w:tc>
          <w:tcPr>
            <w:tcW w:w="6760" w:type="dxa"/>
            <w:vAlign w:val="bottom"/>
          </w:tcPr>
          <w:p>
            <w:pPr>
              <w:spacing w:after="0"/>
              <w:rPr>
                <w:sz w:val="14"/>
                <w:szCs w:val="14"/>
                <w:color w:val="auto"/>
              </w:rPr>
            </w:pPr>
          </w:p>
        </w:tc>
      </w:tr>
      <w:tr>
        <w:trPr>
          <w:trHeight w:val="175"/>
        </w:trPr>
        <w:tc>
          <w:tcPr>
            <w:tcW w:w="600" w:type="dxa"/>
            <w:vAlign w:val="bottom"/>
          </w:tcPr>
          <w:p>
            <w:pPr>
              <w:ind w:left="20"/>
              <w:spacing w:after="0"/>
              <w:rPr>
                <w:sz w:val="20"/>
                <w:szCs w:val="20"/>
                <w:color w:val="auto"/>
              </w:rPr>
            </w:pPr>
            <w:r>
              <w:rPr>
                <w:rFonts w:ascii="Arial" w:cs="Arial" w:eastAsia="Arial" w:hAnsi="Arial"/>
                <w:sz w:val="14"/>
                <w:szCs w:val="14"/>
                <w:color w:val="auto"/>
              </w:rPr>
              <w:t>Title:</w:t>
            </w:r>
          </w:p>
        </w:tc>
        <w:tc>
          <w:tcPr>
            <w:tcW w:w="388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6760" w:type="dxa"/>
            <w:vAlign w:val="bottom"/>
          </w:tcPr>
          <w:p>
            <w:pPr>
              <w:spacing w:after="0"/>
              <w:rPr>
                <w:sz w:val="15"/>
                <w:szCs w:val="15"/>
                <w:color w:val="auto"/>
              </w:rPr>
            </w:pPr>
          </w:p>
        </w:tc>
      </w:tr>
      <w:tr>
        <w:trPr>
          <w:trHeight w:val="182"/>
        </w:trPr>
        <w:tc>
          <w:tcPr>
            <w:tcW w:w="600" w:type="dxa"/>
            <w:vAlign w:val="bottom"/>
          </w:tcPr>
          <w:p>
            <w:pPr>
              <w:ind w:left="20"/>
              <w:spacing w:after="0"/>
              <w:rPr>
                <w:sz w:val="20"/>
                <w:szCs w:val="20"/>
                <w:color w:val="auto"/>
              </w:rPr>
            </w:pPr>
            <w:r>
              <w:rPr>
                <w:rFonts w:ascii="Arial" w:cs="Arial" w:eastAsia="Arial" w:hAnsi="Arial"/>
                <w:sz w:val="14"/>
                <w:szCs w:val="14"/>
                <w:color w:val="auto"/>
              </w:rPr>
              <w:t>Date:</w:t>
            </w:r>
          </w:p>
        </w:tc>
        <w:tc>
          <w:tcPr>
            <w:tcW w:w="3880" w:type="dxa"/>
            <w:vAlign w:val="bottom"/>
          </w:tcPr>
          <w:p>
            <w:pPr>
              <w:ind w:left="200"/>
              <w:spacing w:after="0"/>
              <w:rPr>
                <w:sz w:val="20"/>
                <w:szCs w:val="20"/>
                <w:color w:val="auto"/>
              </w:rPr>
            </w:pPr>
            <w:r>
              <w:rPr>
                <w:rFonts w:ascii="Arial" w:cs="Arial" w:eastAsia="Arial" w:hAnsi="Arial"/>
                <w:sz w:val="14"/>
                <w:szCs w:val="14"/>
                <w:color w:val="auto"/>
              </w:rPr>
              <w:t>August 3, 2022</w:t>
            </w:r>
          </w:p>
        </w:tc>
        <w:tc>
          <w:tcPr>
            <w:tcW w:w="6760" w:type="dxa"/>
            <w:vAlign w:val="bottom"/>
          </w:tcPr>
          <w:p>
            <w:pPr>
              <w:spacing w:after="0"/>
              <w:rPr>
                <w:sz w:val="15"/>
                <w:szCs w:val="15"/>
                <w:color w:val="auto"/>
              </w:rPr>
            </w:pPr>
          </w:p>
        </w:tc>
      </w:tr>
      <w:tr>
        <w:trPr>
          <w:trHeight w:val="519"/>
        </w:trPr>
        <w:tc>
          <w:tcPr>
            <w:tcW w:w="60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
      <w:numFmt w:val="bullet"/>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1)"/>
      <w:numFmt w:val="decimal"/>
      <w:start w:val="1"/>
    </w:lvl>
  </w:abstractNum>
  <w:abstractNum w:abstractNumId="3">
    <w:nsid w:val="B37E80A"/>
    <w:multiLevelType w:val="hybridMultilevel"/>
    <w:lvl w:ilvl="0">
      <w:lvlJc w:val="left"/>
      <w:lvlText w:val="(%1)"/>
      <w:numFmt w:val="decimal"/>
      <w:start w:val="1"/>
    </w:lvl>
  </w:abstractNum>
  <w:abstractNum w:abstractNumId="4">
    <w:nsid w:val="2157F6BC"/>
    <w:multiLevelType w:val="hybridMultilevel"/>
    <w:lvl w:ilvl="0">
      <w:lvlJc w:val="left"/>
      <w:lvlText w:val="(%1)"/>
      <w:numFmt w:val="lowerLetter"/>
      <w:start w:val="1"/>
    </w:lvl>
  </w:abstractNum>
  <w:abstractNum w:abstractNumId="5">
    <w:nsid w:val="704E1DD5"/>
    <w:multiLevelType w:val="hybridMultilevel"/>
    <w:lvl w:ilvl="0">
      <w:lvlJc w:val="left"/>
      <w:lvlText w:val="(%1)"/>
      <w:numFmt w:val="decimal"/>
      <w:start w:val="1"/>
    </w:lvl>
  </w:abstractNum>
  <w:abstractNum w:abstractNumId="6">
    <w:nsid w:val="57D2F10E"/>
    <w:multiLevelType w:val="hybridMultilevel"/>
    <w:lvl w:ilvl="0">
      <w:lvlJc w:val="left"/>
      <w:lvlText w:val="(%1)"/>
      <w:numFmt w:val="lowerLetter"/>
      <w:start w:val="2"/>
    </w:lvl>
  </w:abstractNum>
  <w:abstractNum w:abstractNumId="7">
    <w:nsid w:val="BFFAE18"/>
    <w:multiLevelType w:val="hybridMultilevel"/>
    <w:lvl w:ilvl="0">
      <w:lvlJc w:val="left"/>
      <w:lvlText w:val="(%1)"/>
      <w:numFmt w:val="lowerLetter"/>
      <w:start w:val="3"/>
    </w:lvl>
  </w:abstractNum>
  <w:abstractNum w:abstractNumId="8">
    <w:nsid w:val="E3E47A8"/>
    <w:multiLevelType w:val="hybridMultilevel"/>
    <w:lvl w:ilvl="0">
      <w:lvlJc w:val="left"/>
      <w:lvlText w:val="(%1)"/>
      <w:numFmt w:val="lowerLetter"/>
      <w:start w:val="4"/>
    </w:lvl>
  </w:abstractNum>
  <w:abstractNum w:abstractNumId="9">
    <w:nsid w:val="2E48F044"/>
    <w:multiLevelType w:val="hybridMultilevel"/>
    <w:lvl w:ilvl="0">
      <w:lvlJc w:val="left"/>
      <w:lvlText w:val="(%1)"/>
      <w:numFmt w:val="lowerLetter"/>
      <w:start w:val="5"/>
    </w:lvl>
  </w:abstractNum>
  <w:abstractNum w:abstractNumId="10">
    <w:nsid w:val="49D0FEAC"/>
    <w:multiLevelType w:val="hybridMultilevel"/>
    <w:lvl w:ilvl="0">
      <w:lvlJc w:val="left"/>
      <w:lvlText w:val="%1."/>
      <w:numFmt w:val="decimal"/>
      <w:start w:val="1"/>
    </w:lvl>
  </w:abstractNum>
  <w:abstractNum w:abstractNumId="11">
    <w:nsid w:val="4BEE5A5B"/>
    <w:multiLevelType w:val="hybridMultilevel"/>
    <w:lvl w:ilvl="0">
      <w:lvlJc w:val="left"/>
      <w:lvlText w:val="(%1)"/>
      <w:numFmt w:val="lowerLetter"/>
      <w:start w:val="6"/>
    </w:lvl>
  </w:abstractNum>
  <w:abstractNum w:abstractNumId="12">
    <w:nsid w:val="5551B9F3"/>
    <w:multiLevelType w:val="hybridMultilevel"/>
    <w:lvl w:ilvl="0">
      <w:lvlJc w:val="left"/>
      <w:lvlText w:val="(%1)"/>
      <w:numFmt w:val="lowerLetter"/>
      <w:start w:val="7"/>
    </w:lvl>
  </w:abstractNum>
  <w:abstractNum w:abstractNumId="13">
    <w:nsid w:val="24F6AB8E"/>
    <w:multiLevelType w:val="hybridMultilevel"/>
    <w:lvl w:ilvl="0">
      <w:lvlJc w:val="left"/>
      <w:lvlText w:val="(%1)"/>
      <w:numFmt w:val="lowerLetter"/>
      <w:start w:val="8"/>
    </w:lvl>
  </w:abstractNum>
  <w:abstractNum w:abstractNumId="14">
    <w:nsid w:val="634C574C"/>
    <w:multiLevelType w:val="hybridMultilevel"/>
    <w:lvl w:ilvl="0">
      <w:lvlJc w:val="left"/>
      <w:lvlText w:val="%1."/>
      <w:numFmt w:val="decimal"/>
      <w:start w:val="3"/>
    </w:lvl>
    <w:lvl w:ilvl="1">
      <w:lvlJc w:val="left"/>
      <w:lvlText w:val="(%2)"/>
      <w:numFmt w:val="lowerLetter"/>
      <w:start w:val="1"/>
    </w:lvl>
  </w:abstractNum>
  <w:abstractNum w:abstractNumId="15">
    <w:nsid w:val="24E99DD7"/>
    <w:multiLevelType w:val="hybridMultilevel"/>
    <w:lvl w:ilvl="0">
      <w:lvlJc w:val="left"/>
      <w:lvlText w:val="(%1)"/>
      <w:numFmt w:val="decimal"/>
      <w:start w:val="1"/>
    </w:lvl>
  </w:abstractNum>
  <w:abstractNum w:abstractNumId="16">
    <w:nsid w:val="2A31B62D"/>
    <w:multiLevelType w:val="hybridMultilevel"/>
    <w:lvl w:ilvl="0">
      <w:lvlJc w:val="left"/>
      <w:lvlText w:val="(%1)"/>
      <w:numFmt w:val="decimal"/>
      <w:start w:val="1"/>
    </w:lvl>
  </w:abstractNum>
  <w:abstractNum w:abstractNumId="17">
    <w:nsid w:val="1849C29B"/>
    <w:multiLevelType w:val="hybridMultilevel"/>
    <w:lvl w:ilvl="0">
      <w:lvlJc w:val="left"/>
      <w:lvlText w:val="(%1)"/>
      <w:numFmt w:val="decimal"/>
      <w:start w:val="2"/>
    </w:lvl>
  </w:abstractNum>
  <w:abstractNum w:abstractNumId="18">
    <w:nsid w:val="7DFF9D09"/>
    <w:multiLevelType w:val="hybridMultilevel"/>
    <w:lvl w:ilvl="0">
      <w:lvlJc w:val="left"/>
      <w:lvlText w:val="(%1)"/>
      <w:numFmt w:val="decimal"/>
      <w:start w:val="1"/>
    </w:lvl>
  </w:abstractNum>
  <w:abstractNum w:abstractNumId="19">
    <w:nsid w:val="754342"/>
    <w:multiLevelType w:val="hybridMultilevel"/>
    <w:lvl w:ilvl="0">
      <w:lvlJc w:val="left"/>
      <w:lvlText w:val="(%1)"/>
      <w:numFmt w:val="decimal"/>
      <w:start w:val="1"/>
    </w:lvl>
  </w:abstractNum>
  <w:abstractNum w:abstractNumId="20">
    <w:nsid w:val="69E7F3E5"/>
    <w:multiLevelType w:val="hybridMultilevel"/>
    <w:lvl w:ilvl="0">
      <w:lvlJc w:val="left"/>
      <w:lvlText w:val="(%1)"/>
      <w:numFmt w:val="decimal"/>
      <w:start w:val="1"/>
    </w:lvl>
  </w:abstractNum>
  <w:abstractNum w:abstractNumId="21">
    <w:nsid w:val="2A6DE806"/>
    <w:multiLevelType w:val="hybridMultilevel"/>
    <w:lvl w:ilvl="0">
      <w:lvlJc w:val="left"/>
      <w:lvlText w:val="(%1)"/>
      <w:numFmt w:val="decimal"/>
      <w:start w:val="1"/>
    </w:lvl>
  </w:abstractNum>
  <w:abstractNum w:abstractNumId="22">
    <w:nsid w:val="1816F8C4"/>
    <w:multiLevelType w:val="hybridMultilevel"/>
    <w:lvl w:ilvl="0">
      <w:lvlJc w:val="left"/>
      <w:lvlText w:val="(%1)"/>
      <w:numFmt w:val="decimal"/>
      <w:start w:val="1"/>
    </w:lvl>
  </w:abstractNum>
  <w:abstractNum w:abstractNumId="23">
    <w:nsid w:val="37DF2233"/>
    <w:multiLevelType w:val="hybridMultilevel"/>
    <w:lvl w:ilvl="0">
      <w:lvlJc w:val="left"/>
      <w:lvlText w:val="(%1)"/>
      <w:numFmt w:val="decimal"/>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1)"/>
      <w:numFmt w:val="decimal"/>
      <w:start w:val="1"/>
    </w:lvl>
  </w:abstractNum>
  <w:abstractNum w:abstractNumId="27">
    <w:nsid w:val="597B4D84"/>
    <w:multiLevelType w:val="hybridMultilevel"/>
    <w:lvl w:ilvl="0">
      <w:lvlJc w:val="left"/>
      <w:lvlText w:val="(%1)"/>
      <w:numFmt w:val="decimal"/>
      <w:start w:val="1"/>
    </w:lvl>
  </w:abstractNum>
  <w:abstractNum w:abstractNumId="28">
    <w:nsid w:val="F819E7F"/>
    <w:multiLevelType w:val="hybridMultilevel"/>
    <w:lvl w:ilvl="0">
      <w:lvlJc w:val="left"/>
      <w:lvlText w:val="•"/>
      <w:numFmt w:val="bullet"/>
      <w:start w:val="1"/>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1)"/>
      <w:numFmt w:val="decimal"/>
      <w:start w:val="1"/>
    </w:lvl>
  </w:abstractNum>
  <w:abstractNum w:abstractNumId="33">
    <w:nsid w:val="75486E47"/>
    <w:multiLevelType w:val="hybridMultilevel"/>
    <w:lvl w:ilvl="0">
      <w:lvlJc w:val="left"/>
      <w:lvlText w:val="%1."/>
      <w:numFmt w:val="decimal"/>
      <w:start w:val="1"/>
    </w:lvl>
  </w:abstractNum>
  <w:abstractNum w:abstractNumId="34">
    <w:nsid w:val="6E534CDE"/>
    <w:multiLevelType w:val="hybridMultilevel"/>
    <w:lvl w:ilvl="0">
      <w:lvlJc w:val="left"/>
      <w:lvlText w:val="(%1)"/>
      <w:numFmt w:val="decimal"/>
      <w:start w:val="1"/>
    </w:lvl>
  </w:abstractNum>
  <w:abstractNum w:abstractNumId="35">
    <w:nsid w:val="1A0DDE32"/>
    <w:multiLevelType w:val="hybridMultilevel"/>
    <w:lvl w:ilvl="0">
      <w:lvlJc w:val="left"/>
      <w:lvlText w:val="(%1)"/>
      <w:numFmt w:val="decimal"/>
      <w:start w:val="1"/>
    </w:lvl>
  </w:abstractNum>
  <w:abstractNum w:abstractNumId="36">
    <w:nsid w:val="65968C1C"/>
    <w:multiLevelType w:val="hybridMultilevel"/>
    <w:lvl w:ilvl="0">
      <w:lvlJc w:val="left"/>
      <w:lvlText w:val="(%1)"/>
      <w:numFmt w:val="decimal"/>
      <w:start w:val="1"/>
    </w:lvl>
  </w:abstractNum>
  <w:abstractNum w:abstractNumId="37">
    <w:nsid w:val="46263DEC"/>
    <w:multiLevelType w:val="hybridMultilevel"/>
    <w:lvl w:ilvl="0">
      <w:lvlJc w:val="left"/>
      <w:lvlText w:val="(%1)"/>
      <w:numFmt w:val="decimal"/>
      <w:start w:val="1"/>
    </w:lvl>
  </w:abstractNum>
  <w:abstractNum w:abstractNumId="38">
    <w:nsid w:val="260D8C4A"/>
    <w:multiLevelType w:val="hybridMultilevel"/>
    <w:lvl w:ilvl="0">
      <w:lvlJc w:val="left"/>
      <w:lvlText w:val="(%1)"/>
      <w:numFmt w:val="decimal"/>
      <w:start w:val="1"/>
    </w:lvl>
  </w:abstractNum>
  <w:abstractNum w:abstractNumId="39">
    <w:nsid w:val="73D4D3C4"/>
    <w:multiLevelType w:val="hybridMultilevel"/>
    <w:lvl w:ilvl="0">
      <w:lvlJc w:val="left"/>
      <w:lvlText w:val="(%1)"/>
      <w:numFmt w:val="decimal"/>
      <w:start w:val="1"/>
    </w:lvl>
  </w:abstractNum>
  <w:abstractNum w:abstractNumId="40">
    <w:nsid w:val="746F2E30"/>
    <w:multiLevelType w:val="hybridMultilevel"/>
    <w:lvl w:ilvl="0">
      <w:lvlJc w:val="left"/>
      <w:lvlText w:val="%1."/>
      <w:numFmt w:val="decimal"/>
      <w:start w:val="1"/>
    </w:lvl>
    <w:lvl w:ilvl="1">
      <w:lvlJc w:val="left"/>
      <w:lvlText w:val="(%2)"/>
      <w:numFmt w:val="lowerLetter"/>
      <w:start w:val="1"/>
    </w:lvl>
  </w:abstractNum>
  <w:abstractNum w:abstractNumId="41">
    <w:nsid w:val="6FDE8AF6"/>
    <w:multiLevelType w:val="hybridMultilevel"/>
    <w:lvl w:ilvl="0">
      <w:lvlJc w:val="left"/>
      <w:lvlText w:val="%1."/>
      <w:numFmt w:val="decimal"/>
      <w:start w:val="2"/>
    </w:lvl>
  </w:abstractNum>
  <w:abstractNum w:abstractNumId="42">
    <w:nsid w:val="3FC32E20"/>
    <w:multiLevelType w:val="hybridMultilevel"/>
    <w:lvl w:ilvl="0">
      <w:lvlJc w:val="left"/>
      <w:lvlText w:val="%1."/>
      <w:numFmt w:val="decimal"/>
      <w:start w:val="3"/>
    </w:lvl>
  </w:abstractNum>
  <w:abstractNum w:abstractNumId="43">
    <w:nsid w:val="49C0E823"/>
    <w:multiLevelType w:val="hybridMultilevel"/>
    <w:lvl w:ilvl="0">
      <w:lvlJc w:val="left"/>
      <w:lvlText w:val="%1."/>
      <w:numFmt w:val="decimal"/>
      <w:start w:val="4"/>
    </w:lvl>
  </w:abstractNum>
  <w:abstractNum w:abstractNumId="44">
    <w:nsid w:val="14D53685"/>
    <w:multiLevelType w:val="hybridMultilevel"/>
    <w:lvl w:ilvl="0">
      <w:lvlJc w:val="left"/>
      <w:lvlText w:val="%1."/>
      <w:numFmt w:val="decimal"/>
      <w:start w:val="5"/>
    </w:lvl>
  </w:abstractNum>
  <w:abstractNum w:abstractNumId="45">
    <w:nsid w:val="230F856C"/>
    <w:multiLevelType w:val="hybridMultilevel"/>
    <w:lvl w:ilvl="0">
      <w:lvlJc w:val="left"/>
      <w:lvlText w:val="%1."/>
      <w:numFmt w:val="decimal"/>
      <w:start w:val="6"/>
    </w:lvl>
  </w:abstractNum>
  <w:abstractNum w:abstractNumId="46">
    <w:nsid w:val="6EAA85FB"/>
    <w:multiLevelType w:val="hybridMultilevel"/>
    <w:lvl w:ilvl="0">
      <w:lvlJc w:val="left"/>
      <w:lvlText w:val="%1."/>
      <w:numFmt w:val="decimal"/>
      <w:start w:val="7"/>
    </w:lvl>
  </w:abstractNum>
  <w:abstractNum w:abstractNumId="47">
    <w:nsid w:val="3F06ECB2"/>
    <w:multiLevelType w:val="hybridMultilevel"/>
    <w:lvl w:ilvl="0">
      <w:lvlJc w:val="left"/>
      <w:lvlText w:val="%1."/>
      <w:numFmt w:val="decimal"/>
      <w:start w:val="8"/>
    </w:lvl>
  </w:abstractNum>
  <w:abstractNum w:abstractNumId="48">
    <w:nsid w:val="3B594807"/>
    <w:multiLevelType w:val="hybridMultilevel"/>
    <w:lvl w:ilvl="0">
      <w:lvlJc w:val="left"/>
      <w:lvlText w:val="%1."/>
      <w:numFmt w:val="decimal"/>
      <w:start w:val="9"/>
    </w:lvl>
  </w:abstractNum>
  <w:abstractNum w:abstractNumId="49">
    <w:nsid w:val="6CAA2304"/>
    <w:multiLevelType w:val="hybridMultilevel"/>
    <w:lvl w:ilvl="0">
      <w:lvlJc w:val="left"/>
      <w:lvlText w:val="%1."/>
      <w:numFmt w:val="decimal"/>
      <w:start w:val="10"/>
    </w:lvl>
  </w:abstractNum>
  <w:abstractNum w:abstractNumId="50">
    <w:nsid w:val="3F7C2FF4"/>
    <w:multiLevelType w:val="hybridMultilevel"/>
    <w:lvl w:ilvl="0">
      <w:lvlJc w:val="left"/>
      <w:lvlText w:val="%1."/>
      <w:numFmt w:val="decimal"/>
      <w:start w:val="11"/>
    </w:lvl>
  </w:abstractNum>
  <w:abstractNum w:abstractNumId="51">
    <w:nsid w:val="25413BEC"/>
    <w:multiLevelType w:val="hybridMultilevel"/>
    <w:lvl w:ilvl="0">
      <w:lvlJc w:val="left"/>
      <w:lvlText w:val="%1"/>
      <w:numFmt w:val="upperLetter"/>
      <w:start w:val="35"/>
    </w:lvl>
  </w:abstractNum>
  <w:abstractNum w:abstractNumId="52">
    <w:nsid w:val="17180B0B"/>
    <w:multiLevelType w:val="hybridMultilevel"/>
    <w:lvl w:ilvl="0">
      <w:lvlJc w:val="left"/>
      <w:lvlText w:val="(%1)"/>
      <w:numFmt w:val="lowerLetter"/>
      <w:start w:val="1"/>
    </w:lvl>
  </w:abstractNum>
  <w:abstractNum w:abstractNumId="53">
    <w:nsid w:val="579328B9"/>
    <w:multiLevelType w:val="hybridMultilevel"/>
    <w:lvl w:ilvl="0">
      <w:lvlJc w:val="left"/>
      <w:lvlText w:val="(%1)"/>
      <w:numFmt w:val="lowerLetter"/>
      <w:start w:val="5"/>
    </w:lvl>
  </w:abstractNum>
  <w:abstractNum w:abstractNumId="54">
    <w:nsid w:val="5D205E20"/>
    <w:multiLevelType w:val="hybridMultilevel"/>
    <w:lvl w:ilvl="0">
      <w:lvlJc w:val="left"/>
      <w:lvlText w:val="(%1)"/>
      <w:numFmt w:val="upperLetter"/>
      <w:start w:val="1"/>
    </w:lvl>
  </w:abstractNum>
  <w:abstractNum w:abstractNumId="55">
    <w:nsid w:val="11CCA8BA"/>
    <w:multiLevelType w:val="hybridMultilevel"/>
    <w:lvl w:ilvl="0">
      <w:lvlJc w:val="left"/>
      <w:lvlText w:val="(%1)"/>
      <w:numFmt w:val="decimal"/>
      <w:start w:val="1"/>
    </w:lvl>
  </w:abstractNum>
  <w:abstractNum w:abstractNumId="56">
    <w:nsid w:val="4D32AB86"/>
    <w:multiLevelType w:val="hybridMultilevel"/>
    <w:lvl w:ilvl="0">
      <w:lvlJc w:val="left"/>
      <w:lvlText w:val="(%1)"/>
      <w:numFmt w:val="decimal"/>
      <w:start w:val="2"/>
    </w:lvl>
  </w:abstractNum>
  <w:abstractNum w:abstractNumId="57">
    <w:nsid w:val="3F07ACC3"/>
    <w:multiLevelType w:val="hybridMultilevel"/>
    <w:lvl w:ilvl="0">
      <w:lvlJc w:val="left"/>
      <w:lvlText w:val="(%1)"/>
      <w:numFmt w:val="decimal"/>
      <w:start w:val="1"/>
    </w:lvl>
  </w:abstractNum>
  <w:abstractNum w:abstractNumId="58">
    <w:nsid w:val="6B47F63E"/>
    <w:multiLevelType w:val="hybridMultilevel"/>
    <w:lvl w:ilvl="0">
      <w:lvlJc w:val="left"/>
      <w:lvlText w:val="(%1)"/>
      <w:numFmt w:val="lowerRoman"/>
      <w:start w:val="1"/>
    </w:lvl>
  </w:abstractNum>
  <w:abstractNum w:abstractNumId="59">
    <w:nsid w:val="5CB44A05"/>
    <w:multiLevelType w:val="hybridMultilevel"/>
    <w:lvl w:ilvl="0">
      <w:lvlJc w:val="left"/>
      <w:lvlText w:val="(%1)"/>
      <w:numFmt w:val="lowerLetter"/>
      <w:start w:val="1"/>
    </w:lvl>
  </w:abstractNum>
  <w:abstractNum w:abstractNumId="60">
    <w:nsid w:val="16CF80F1"/>
    <w:multiLevelType w:val="hybridMultilevel"/>
    <w:lvl w:ilvl="0">
      <w:lvlJc w:val="left"/>
      <w:lvlText w:val="(%1)"/>
      <w:numFmt w:val="lowerRoman"/>
      <w:start w:val="3"/>
    </w:lvl>
  </w:abstractNum>
  <w:abstractNum w:abstractNumId="61">
    <w:nsid w:val="1C695DEC"/>
    <w:multiLevelType w:val="hybridMultilevel"/>
    <w:lvl w:ilvl="0">
      <w:lvlJc w:val="left"/>
      <w:lvlText w:val="(%1)"/>
      <w:numFmt w:val="lowerLetter"/>
      <w:start w:val="2"/>
    </w:lvl>
  </w:abstractNum>
  <w:abstractNum w:abstractNumId="62">
    <w:nsid w:val="3FCFAED9"/>
    <w:multiLevelType w:val="hybridMultilevel"/>
    <w:lvl w:ilvl="0">
      <w:lvlJc w:val="left"/>
      <w:lvlText w:val="(%1)"/>
      <w:numFmt w:val="lowerLetter"/>
      <w:start w:val="2"/>
    </w:lvl>
  </w:abstractNum>
  <w:abstractNum w:abstractNumId="63">
    <w:nsid w:val="F856867"/>
    <w:multiLevelType w:val="hybridMultilevel"/>
    <w:lvl w:ilvl="0">
      <w:lvlJc w:val="left"/>
      <w:lvlText w:val="(%1)"/>
      <w:numFmt w:val="lowerLetter"/>
      <w:start w:val="25"/>
    </w:lvl>
  </w:abstractNum>
  <w:abstractNum w:abstractNumId="64">
    <w:nsid w:val="11B1CC33"/>
    <w:multiLevelType w:val="hybridMultilevel"/>
    <w:lvl w:ilvl="0">
      <w:lvlJc w:val="left"/>
      <w:lvlText w:val="(%1)"/>
      <w:numFmt w:val="lowerLetter"/>
      <w:start w:val="1"/>
    </w:lvl>
  </w:abstractNum>
  <w:abstractNum w:abstractNumId="65">
    <w:nsid w:val="2E22FBB7"/>
    <w:multiLevelType w:val="hybridMultilevel"/>
    <w:lvl w:ilvl="0">
      <w:lvlJc w:val="left"/>
      <w:lvlText w:val="(%1)"/>
      <w:numFmt w:val="lowerRoman"/>
      <w:start w:val="4"/>
    </w:lvl>
    <w:lvl w:ilvl="1">
      <w:lvlJc w:val="left"/>
      <w:lvlText w:val="(%2)"/>
      <w:numFmt w:val="lowerLetter"/>
      <w:start w:val="2"/>
    </w:lvl>
  </w:abstractNum>
  <w:abstractNum w:abstractNumId="66">
    <w:nsid w:val="29934699"/>
    <w:multiLevelType w:val="hybridMultilevel"/>
    <w:lvl w:ilvl="0">
      <w:lvlJc w:val="left"/>
      <w:lvlText w:val="(%1)"/>
      <w:numFmt w:val="lowerLetter"/>
      <w:start w:val="1"/>
    </w:lvl>
  </w:abstractNum>
  <w:abstractNum w:abstractNumId="67">
    <w:nsid w:val="77485850"/>
    <w:multiLevelType w:val="hybridMultilevel"/>
    <w:lvl w:ilvl="0">
      <w:lvlJc w:val="left"/>
      <w:lvlText w:val="(%1)"/>
      <w:numFmt w:val="lowerLetter"/>
      <w:start w:val="1"/>
    </w:lvl>
  </w:abstractNum>
  <w:abstractNum w:abstractNumId="68">
    <w:nsid w:val="744939A3"/>
    <w:multiLevelType w:val="hybridMultilevel"/>
    <w:lvl w:ilvl="0">
      <w:lvlJc w:val="left"/>
      <w:lvlText w:val="(%1)"/>
      <w:numFmt w:val="lowerLetter"/>
      <w:start w:val="2"/>
    </w:lvl>
  </w:abstractNum>
  <w:abstractNum w:abstractNumId="69">
    <w:nsid w:val="4FA0D2E3"/>
    <w:multiLevelType w:val="hybridMultilevel"/>
    <w:lvl w:ilvl="0">
      <w:lvlJc w:val="left"/>
      <w:lvlText w:val="(%1)"/>
      <w:numFmt w:val="lowerLetter"/>
      <w:start w:val="4"/>
    </w:lvl>
  </w:abstractNum>
  <w:abstractNum w:abstractNumId="70">
    <w:nsid w:val="6B1D2C14"/>
    <w:multiLevelType w:val="hybridMultilevel"/>
    <w:lvl w:ilvl="0">
      <w:lvlJc w:val="left"/>
      <w:lvlText w:val="(%1)"/>
      <w:numFmt w:val="lowerLetter"/>
      <w:start w:val="1"/>
    </w:lvl>
  </w:abstractNum>
  <w:abstractNum w:abstractNumId="71">
    <w:nsid w:val="68B867D3"/>
    <w:multiLevelType w:val="hybridMultilevel"/>
    <w:lvl w:ilvl="0">
      <w:lvlJc w:val="left"/>
      <w:lvlText w:val="(%1)"/>
      <w:numFmt w:val="lowerLetter"/>
      <w:start w:val="1"/>
    </w:lvl>
  </w:abstractNum>
  <w:abstractNum w:abstractNumId="72">
    <w:nsid w:val="3F7F5DD9"/>
    <w:multiLevelType w:val="hybridMultilevel"/>
    <w:lvl w:ilvl="0">
      <w:lvlJc w:val="left"/>
      <w:lvlText w:val="(%1)"/>
      <w:numFmt w:val="lowerLetter"/>
      <w:start w:val="4"/>
    </w:lvl>
  </w:abstractNum>
  <w:abstractNum w:abstractNumId="73">
    <w:nsid w:val="2AE05A34"/>
    <w:multiLevelType w:val="hybridMultilevel"/>
    <w:lvl w:ilvl="0">
      <w:lvlJc w:val="left"/>
      <w:lvlText w:val="%1"/>
      <w:numFmt w:val="lowerLetter"/>
      <w:start w:val="1"/>
    </w:lvl>
    <w:lvl w:ilvl="1">
      <w:lvlJc w:val="left"/>
      <w:lvlText w:val="(%2)"/>
      <w:numFmt w:val="lowerLetter"/>
      <w:start w:val="1"/>
    </w:lvl>
  </w:abstractNum>
  <w:abstractNum w:abstractNumId="74">
    <w:nsid w:val="32794FF7"/>
    <w:multiLevelType w:val="hybridMultilevel"/>
    <w:lvl w:ilvl="0">
      <w:lvlJc w:val="left"/>
      <w:lvlText w:val="(%1)"/>
      <w:numFmt w:val="lowerLetter"/>
      <w:start w:val="61"/>
    </w:lvl>
    <w:lvl w:ilvl="1">
      <w:lvlJc w:val="left"/>
      <w:lvlText w:val="%2"/>
      <w:numFmt w:val="lowerLetter"/>
      <w:start w:val="1"/>
    </w:lvl>
  </w:abstractNum>
  <w:abstractNum w:abstractNumId="75">
    <w:nsid w:val="5454945E"/>
    <w:multiLevelType w:val="hybridMultilevel"/>
    <w:lvl w:ilvl="0">
      <w:lvlJc w:val="left"/>
      <w:lvlText w:val="(%1)"/>
      <w:numFmt w:val="lowerLetter"/>
      <w:start w:val="2"/>
    </w:lvl>
  </w:abstractNum>
  <w:abstractNum w:abstractNumId="76">
    <w:nsid w:val="4DEFDFA0"/>
    <w:multiLevelType w:val="hybridMultilevel"/>
    <w:lvl w:ilvl="0">
      <w:lvlJc w:val="left"/>
      <w:lvlText w:val="(%1)"/>
      <w:numFmt w:val="lowerLetter"/>
      <w:start w:val="1"/>
    </w:lvl>
  </w:abstractNum>
  <w:abstractNum w:abstractNumId="77">
    <w:nsid w:val="2123D5F2"/>
    <w:multiLevelType w:val="hybridMultilevel"/>
    <w:lvl w:ilvl="0">
      <w:lvlJc w:val="left"/>
      <w:lvlText w:val="(%1)"/>
      <w:numFmt w:val="lowerLetter"/>
      <w:start w:val="1"/>
    </w:lvl>
  </w:abstractNum>
  <w:abstractNum w:abstractNumId="78">
    <w:nsid w:val="135B8110"/>
    <w:multiLevelType w:val="hybridMultilevel"/>
    <w:lvl w:ilvl="0">
      <w:lvlJc w:val="left"/>
      <w:lvlText w:val="(%1)"/>
      <w:numFmt w:val="lowerLetter"/>
      <w:start w:val="2"/>
    </w:lvl>
  </w:abstractNum>
  <w:abstractNum w:abstractNumId="79">
    <w:nsid w:val="94927A8"/>
    <w:multiLevelType w:val="hybridMultilevel"/>
    <w:lvl w:ilvl="0">
      <w:lvlJc w:val="left"/>
      <w:lvlText w:val="(%1)"/>
      <w:numFmt w:val="lowerLetter"/>
      <w:start w:val="1"/>
    </w:lvl>
  </w:abstractNum>
  <w:abstractNum w:abstractNumId="80">
    <w:nsid w:val="DCDF8F6"/>
    <w:multiLevelType w:val="hybridMultilevel"/>
    <w:lvl w:ilvl="0">
      <w:lvlJc w:val="left"/>
      <w:lvlText w:val="(%1)"/>
      <w:numFmt w:val="lowerLetter"/>
      <w:start w:val="61"/>
    </w:lvl>
    <w:lvl w:ilvl="1">
      <w:lvlJc w:val="left"/>
      <w:lvlText w:val="(%2)"/>
      <w:numFmt w:val="lowerLetter"/>
      <w:start w:val="2"/>
    </w:lvl>
  </w:abstractNum>
  <w:abstractNum w:abstractNumId="81">
    <w:nsid w:val="52D7B105"/>
    <w:multiLevelType w:val="hybridMultilevel"/>
    <w:lvl w:ilvl="0">
      <w:lvlJc w:val="left"/>
      <w:lvlText w:val="(%1)"/>
      <w:numFmt w:val="lowerRoman"/>
      <w:start w:val="1"/>
    </w:lvl>
  </w:abstractNum>
  <w:abstractNum w:abstractNumId="82">
    <w:nsid w:val="2E8A6394"/>
    <w:multiLevelType w:val="hybridMultilevel"/>
    <w:lvl w:ilvl="0">
      <w:lvlJc w:val="left"/>
      <w:lvlText w:val="(%1)"/>
      <w:numFmt w:val="lowerLetter"/>
      <w:start w:val="3"/>
    </w:lvl>
  </w:abstractNum>
  <w:abstractNum w:abstractNumId="83">
    <w:nsid w:val="24E60401"/>
    <w:multiLevelType w:val="hybridMultilevel"/>
    <w:lvl w:ilvl="0">
      <w:lvlJc w:val="left"/>
      <w:lvlText w:val="(%1)"/>
      <w:numFmt w:val="lowerLetter"/>
      <w:start w:val="1"/>
    </w:lvl>
  </w:abstractNum>
  <w:abstractNum w:abstractNumId="84">
    <w:nsid w:val="2A6AD9BE"/>
    <w:multiLevelType w:val="hybridMultilevel"/>
    <w:lvl w:ilvl="0">
      <w:lvlJc w:val="left"/>
      <w:lvlText w:val="(%1)"/>
      <w:numFmt w:val="lowerLetter"/>
      <w:start w:val="4"/>
    </w:lvl>
  </w:abstractNum>
  <w:abstractNum w:abstractNumId="85">
    <w:nsid w:val="BAAC1B4"/>
    <w:multiLevelType w:val="hybridMultilevel"/>
    <w:lvl w:ilvl="0">
      <w:lvlJc w:val="left"/>
      <w:lvlText w:val="(%1)"/>
      <w:numFmt w:val="lowerLetter"/>
      <w:start w:val="1"/>
    </w:lvl>
  </w:abstractNum>
  <w:abstractNum w:abstractNumId="86">
    <w:nsid w:val="36B2ACBC"/>
    <w:multiLevelType w:val="hybridMultilevel"/>
    <w:lvl w:ilvl="0">
      <w:lvlJc w:val="left"/>
      <w:lvlText w:val="(%1)"/>
      <w:numFmt w:val="lowerLetter"/>
      <w:start w:val="5"/>
    </w:lvl>
  </w:abstractNum>
  <w:abstractNum w:abstractNumId="87">
    <w:nsid w:val="779D8544"/>
    <w:multiLevelType w:val="hybridMultilevel"/>
    <w:lvl w:ilvl="0">
      <w:lvlJc w:val="left"/>
      <w:lvlText w:val="(%1)"/>
      <w:numFmt w:val="lowerLetter"/>
      <w:start w:val="6"/>
    </w:lvl>
  </w:abstractNum>
  <w:abstractNum w:abstractNumId="88">
    <w:nsid w:val="4AB26E78"/>
    <w:multiLevelType w:val="hybridMultilevel"/>
    <w:lvl w:ilvl="0">
      <w:lvlJc w:val="left"/>
      <w:lvlText w:val="(%1)"/>
      <w:numFmt w:val="lowerLetter"/>
      <w:start w:val="7"/>
    </w:lvl>
  </w:abstractNum>
  <w:abstractNum w:abstractNumId="89">
    <w:nsid w:val="21FAA2FA"/>
    <w:multiLevelType w:val="hybridMultilevel"/>
    <w:lvl w:ilvl="0">
      <w:lvlJc w:val="left"/>
      <w:lvlText w:val="(%1)"/>
      <w:numFmt w:val="lowerRoman"/>
      <w:start w:val="1"/>
    </w:lvl>
  </w:abstractNum>
  <w:abstractNum w:abstractNumId="90">
    <w:nsid w:val="5451CF49"/>
    <w:multiLevelType w:val="hybridMultilevel"/>
    <w:lvl w:ilvl="0">
      <w:lvlJc w:val="left"/>
      <w:lvlText w:val="%1"/>
      <w:numFmt w:val="lowerLetter"/>
      <w:start w:val="1"/>
    </w:lvl>
    <w:lvl w:ilvl="1">
      <w:lvlJc w:val="left"/>
      <w:lvlText w:val="(%2)"/>
      <w:numFmt w:val="lowerLetter"/>
      <w:start w:val="8"/>
    </w:lvl>
  </w:abstractNum>
  <w:abstractNum w:abstractNumId="91">
    <w:nsid w:val="6181EF69"/>
    <w:multiLevelType w:val="hybridMultilevel"/>
    <w:lvl w:ilvl="0">
      <w:lvlJc w:val="left"/>
      <w:lvlText w:val="(%1)"/>
      <w:numFmt w:val="lowerLetter"/>
      <w:start w:val="6"/>
    </w:lvl>
    <w:lvl w:ilvl="1">
      <w:lvlJc w:val="left"/>
      <w:lvlText w:val="%2"/>
      <w:numFmt w:val="lowerLetter"/>
      <w:start w:val="1"/>
    </w:lvl>
  </w:abstractNum>
  <w:abstractNum w:abstractNumId="92">
    <w:nsid w:val="3E6400E6"/>
    <w:multiLevelType w:val="hybridMultilevel"/>
    <w:lvl w:ilvl="0">
      <w:lvlJc w:val="left"/>
      <w:lvlText w:val="(%1)"/>
      <w:numFmt w:val="lowerLetter"/>
      <w:start w:val="6"/>
    </w:lvl>
    <w:lvl w:ilvl="1">
      <w:lvlJc w:val="left"/>
      <w:lvlText w:val="(%2)"/>
      <w:numFmt w:val="lowerLetter"/>
      <w:start w:val="10"/>
    </w:lvl>
  </w:abstractNum>
  <w:abstractNum w:abstractNumId="93">
    <w:nsid w:val="14217E23"/>
    <w:multiLevelType w:val="hybridMultilevel"/>
    <w:lvl w:ilvl="0">
      <w:lvlJc w:val="left"/>
      <w:lvlText w:val="(%1)"/>
      <w:numFmt w:val="lowerLetter"/>
      <w:start w:val="11"/>
    </w:lvl>
  </w:abstractNum>
  <w:abstractNum w:abstractNumId="94">
    <w:nsid w:val="710757D0"/>
    <w:multiLevelType w:val="hybridMultilevel"/>
    <w:lvl w:ilvl="0">
      <w:lvlJc w:val="left"/>
      <w:lvlText w:val="(%1)"/>
      <w:numFmt w:val="lowerLetter"/>
      <w:start w:val="1"/>
    </w:lvl>
  </w:abstractNum>
  <w:abstractNum w:abstractNumId="95">
    <w:nsid w:val="5015CD1A"/>
    <w:multiLevelType w:val="hybridMultilevel"/>
    <w:lvl w:ilvl="0">
      <w:lvlJc w:val="left"/>
      <w:lvlText w:val="(%1)"/>
      <w:numFmt w:val="lowerLetter"/>
      <w:start w:val="1"/>
    </w:lvl>
  </w:abstractNum>
  <w:abstractNum w:abstractNumId="96">
    <w:nsid w:val="424479DA"/>
    <w:multiLevelType w:val="hybridMultilevel"/>
    <w:lvl w:ilvl="0">
      <w:lvlJc w:val="left"/>
      <w:lvlText w:val="(%1)"/>
      <w:numFmt w:val="lowerRoman"/>
      <w:start w:val="1"/>
    </w:lvl>
  </w:abstractNum>
  <w:abstractNum w:abstractNumId="97">
    <w:nsid w:val="1A9A9E69"/>
    <w:multiLevelType w:val="hybridMultilevel"/>
    <w:lvl w:ilvl="0">
      <w:lvlJc w:val="left"/>
      <w:lvlText w:val="(%1)"/>
      <w:numFmt w:val="lowerRoman"/>
      <w:start w:val="2"/>
    </w:lvl>
  </w:abstractNum>
  <w:abstractNum w:abstractNumId="98">
    <w:nsid w:val="475E256A"/>
    <w:multiLevelType w:val="hybridMultilevel"/>
    <w:lvl w:ilvl="0">
      <w:lvlJc w:val="left"/>
      <w:lvlText w:val="(%1)"/>
      <w:numFmt w:val="lowerLetter"/>
      <w:start w:val="4"/>
    </w:lvl>
  </w:abstractNum>
  <w:abstractNum w:abstractNumId="99">
    <w:nsid w:val="368DB37E"/>
    <w:multiLevelType w:val="hybridMultilevel"/>
    <w:lvl w:ilvl="0">
      <w:lvlJc w:val="left"/>
      <w:lvlText w:val="(%1)"/>
      <w:numFmt w:val="lowerLetter"/>
      <w:start w:val="1"/>
    </w:lvl>
  </w:abstractNum>
  <w:abstractNum w:abstractNumId="100">
    <w:nsid w:val="6A3B714C"/>
    <w:multiLevelType w:val="hybridMultilevel"/>
    <w:lvl w:ilvl="0">
      <w:lvlJc w:val="left"/>
      <w:lvlText w:val="(%1)"/>
      <w:numFmt w:val="lowerLetter"/>
      <w:start w:val="3"/>
    </w:lvl>
  </w:abstractNum>
  <w:abstractNum w:abstractNumId="101">
    <w:nsid w:val="327B517E"/>
    <w:multiLevelType w:val="hybridMultilevel"/>
    <w:lvl w:ilvl="0">
      <w:lvlJc w:val="left"/>
      <w:lvlText w:val="(%1)"/>
      <w:numFmt w:val="lowerRoman"/>
      <w:start w:val="1"/>
    </w:lvl>
    <w:lvl w:ilvl="1">
      <w:lvlJc w:val="left"/>
      <w:lvlText w:val="(%2)"/>
      <w:numFmt w:val="upperLetter"/>
      <w:start w:val="1"/>
    </w:lvl>
  </w:abstractNum>
  <w:abstractNum w:abstractNumId="102">
    <w:nsid w:val="1F461B51"/>
    <w:multiLevelType w:val="hybridMultilevel"/>
    <w:lvl w:ilvl="0">
      <w:lvlJc w:val="left"/>
      <w:lvlText w:val="(%1)"/>
      <w:numFmt w:val="upperLetter"/>
      <w:start w:val="4"/>
    </w:lvl>
  </w:abstractNum>
  <w:abstractNum w:abstractNumId="103">
    <w:nsid w:val="29BACF25"/>
    <w:multiLevelType w:val="hybridMultilevel"/>
    <w:lvl w:ilvl="0">
      <w:lvlJc w:val="left"/>
      <w:lvlText w:val="(%1)"/>
      <w:numFmt w:val="lowerLetter"/>
      <w:start w:val="35"/>
    </w:lvl>
    <w:lvl w:ilvl="1">
      <w:lvlJc w:val="left"/>
      <w:lvlText w:val="(%2)"/>
      <w:numFmt w:val="lowerLetter"/>
      <w:start w:val="24"/>
    </w:lvl>
  </w:abstractNum>
  <w:abstractNum w:abstractNumId="104">
    <w:nsid w:val="5D5BABB3"/>
    <w:multiLevelType w:val="hybridMultilevel"/>
    <w:lvl w:ilvl="0">
      <w:lvlJc w:val="left"/>
      <w:lvlText w:val="(%1)"/>
      <w:numFmt w:val="lowerRoman"/>
      <w:start w:val="3"/>
    </w:lvl>
  </w:abstractNum>
  <w:abstractNum w:abstractNumId="105">
    <w:nsid w:val="51BF6B48"/>
    <w:multiLevelType w:val="hybridMultilevel"/>
    <w:lvl w:ilvl="0">
      <w:lvlJc w:val="left"/>
      <w:lvlText w:val="(%1)"/>
      <w:numFmt w:val="lowerLetter"/>
      <w:start w:val="6"/>
    </w:lvl>
  </w:abstractNum>
  <w:abstractNum w:abstractNumId="106">
    <w:nsid w:val="7E0F6384"/>
    <w:multiLevelType w:val="hybridMultilevel"/>
    <w:lvl w:ilvl="0">
      <w:lvlJc w:val="left"/>
      <w:lvlText w:val="%1"/>
      <w:numFmt w:val="lowerRoman"/>
      <w:start w:val="1"/>
    </w:lvl>
    <w:lvl w:ilvl="1">
      <w:lvlJc w:val="left"/>
      <w:lvlText w:val="(%2)"/>
      <w:numFmt w:val="lowerRoman"/>
      <w:start w:val="1"/>
    </w:lvl>
  </w:abstractNum>
  <w:abstractNum w:abstractNumId="107">
    <w:nsid w:val="2B4B8B53"/>
    <w:multiLevelType w:val="hybridMultilevel"/>
    <w:lvl w:ilvl="0">
      <w:lvlJc w:val="left"/>
      <w:lvlText w:val="(%1)"/>
      <w:numFmt w:val="lowerRoman"/>
      <w:start w:val="10"/>
    </w:lvl>
    <w:lvl w:ilvl="1">
      <w:lvlJc w:val="left"/>
      <w:lvlText w:val="(%2)"/>
      <w:numFmt w:val="lowerRoman"/>
      <w:start w:val="3"/>
    </w:lvl>
  </w:abstractNum>
  <w:abstractNum w:abstractNumId="108">
    <w:nsid w:val="72E3413A"/>
    <w:multiLevelType w:val="hybridMultilevel"/>
    <w:lvl w:ilvl="0">
      <w:lvlJc w:val="left"/>
      <w:lvlText w:val="(%1)"/>
      <w:numFmt w:val="lowerRoman"/>
      <w:start w:val="1"/>
    </w:lvl>
  </w:abstractNum>
  <w:abstractNum w:abstractNumId="109">
    <w:nsid w:val="116AE494"/>
    <w:multiLevelType w:val="hybridMultilevel"/>
    <w:lvl w:ilvl="0">
      <w:lvlJc w:val="left"/>
      <w:lvlText w:val="(%1)"/>
      <w:numFmt w:val="lowerLetter"/>
      <w:start w:val="2"/>
    </w:lvl>
  </w:abstractNum>
  <w:abstractNum w:abstractNumId="110">
    <w:nsid w:val="3494B2FB"/>
    <w:multiLevelType w:val="hybridMultilevel"/>
    <w:lvl w:ilvl="0">
      <w:lvlJc w:val="left"/>
      <w:lvlText w:val="(%1)"/>
      <w:numFmt w:val="lowerLetter"/>
      <w:start w:val="4"/>
    </w:lvl>
  </w:abstractNum>
  <w:abstractNum w:abstractNumId="111">
    <w:nsid w:val="B13A31"/>
    <w:multiLevelType w:val="hybridMultilevel"/>
    <w:lvl w:ilvl="0">
      <w:lvlJc w:val="left"/>
      <w:lvlText w:val="(%1)"/>
      <w:numFmt w:val="lowerLetter"/>
      <w:start w:val="1"/>
    </w:lvl>
  </w:abstractNum>
  <w:abstractNum w:abstractNumId="112">
    <w:nsid w:val="64429599"/>
    <w:multiLevelType w:val="hybridMultilevel"/>
    <w:lvl w:ilvl="0">
      <w:lvlJc w:val="left"/>
      <w:lvlText w:val="(%1)"/>
      <w:numFmt w:val="lowerRoman"/>
      <w:start w:val="1"/>
    </w:lvl>
  </w:abstractNum>
  <w:abstractNum w:abstractNumId="113">
    <w:nsid w:val="631F1690"/>
    <w:multiLevelType w:val="hybridMultilevel"/>
    <w:lvl w:ilvl="0">
      <w:lvlJc w:val="left"/>
      <w:lvlText w:val="(%1)"/>
      <w:numFmt w:val="lowerRoman"/>
      <w:start w:val="2"/>
    </w:lvl>
  </w:abstractNum>
  <w:abstractNum w:abstractNumId="114">
    <w:nsid w:val="25973E32"/>
    <w:multiLevelType w:val="hybridMultilevel"/>
    <w:lvl w:ilvl="0">
      <w:lvlJc w:val="left"/>
      <w:lvlText w:val="(%1)"/>
      <w:numFmt w:val="lowerLetter"/>
      <w:start w:val="3"/>
    </w:lvl>
  </w:abstractNum>
  <w:abstractNum w:abstractNumId="115">
    <w:nsid w:val="EAD6F57"/>
    <w:multiLevelType w:val="hybridMultilevel"/>
    <w:lvl w:ilvl="0">
      <w:lvlJc w:val="left"/>
      <w:lvlText w:val="(%1)"/>
      <w:numFmt w:val="lowerRoman"/>
      <w:start w:val="1"/>
    </w:lvl>
  </w:abstractNum>
  <w:abstractNum w:abstractNumId="116">
    <w:nsid w:val="6EC9D844"/>
    <w:multiLevelType w:val="hybridMultilevel"/>
    <w:lvl w:ilvl="0">
      <w:lvlJc w:val="left"/>
      <w:lvlText w:val="(%1)"/>
      <w:numFmt w:val="lowerLetter"/>
      <w:start w:val="6"/>
    </w:lvl>
  </w:abstractNum>
  <w:abstractNum w:abstractNumId="117">
    <w:nsid w:val="5C49EAEE"/>
    <w:multiLevelType w:val="hybridMultilevel"/>
    <w:lvl w:ilvl="0">
      <w:lvlJc w:val="left"/>
      <w:lvlText w:val="(%1)"/>
      <w:numFmt w:val="lowerLetter"/>
      <w:start w:val="1"/>
    </w:lvl>
  </w:abstractNum>
  <w:abstractNum w:abstractNumId="118">
    <w:nsid w:val="64AF49B"/>
    <w:multiLevelType w:val="hybridMultilevel"/>
    <w:lvl w:ilvl="0">
      <w:lvlJc w:val="left"/>
      <w:lvlText w:val="(%1)"/>
      <w:numFmt w:val="lowerLetter"/>
      <w:start w:val="3"/>
    </w:lvl>
  </w:abstractNum>
  <w:abstractNum w:abstractNumId="119">
    <w:nsid w:val="397C46BC"/>
    <w:multiLevelType w:val="hybridMultilevel"/>
    <w:lvl w:ilvl="0">
      <w:lvlJc w:val="left"/>
      <w:lvlText w:val="(%1)"/>
      <w:numFmt w:val="lowerLetter"/>
      <w:start w:val="1"/>
    </w:lvl>
  </w:abstractNum>
  <w:abstractNum w:abstractNumId="120">
    <w:nsid w:val="7E448DE9"/>
    <w:multiLevelType w:val="hybridMultilevel"/>
    <w:lvl w:ilvl="0">
      <w:lvlJc w:val="left"/>
      <w:lvlText w:val="(%1)"/>
      <w:numFmt w:val="lowerLetter"/>
      <w:start w:val="5"/>
    </w:lvl>
  </w:abstractNum>
  <w:abstractNum w:abstractNumId="121">
    <w:nsid w:val="5A9CC3E5"/>
    <w:multiLevelType w:val="hybridMultilevel"/>
    <w:lvl w:ilvl="0">
      <w:lvlJc w:val="left"/>
      <w:lvlText w:val="(%1)"/>
      <w:numFmt w:val="lowerLetter"/>
      <w:start w:val="1"/>
    </w:lvl>
  </w:abstractNum>
  <w:abstractNum w:abstractNumId="122">
    <w:nsid w:val="1AFE3625"/>
    <w:multiLevelType w:val="hybridMultilevel"/>
    <w:lvl w:ilvl="0">
      <w:lvlJc w:val="left"/>
      <w:lvlText w:val="(%1)"/>
      <w:numFmt w:val="lowerRoman"/>
      <w:start w:val="1"/>
    </w:lvl>
  </w:abstractNum>
  <w:abstractNum w:abstractNumId="123">
    <w:nsid w:val="3CA88ECF"/>
    <w:multiLevelType w:val="hybridMultilevel"/>
    <w:lvl w:ilvl="0">
      <w:lvlJc w:val="left"/>
      <w:lvlText w:val="(%1)"/>
      <w:numFmt w:val="lowerRoman"/>
      <w:start w:val="3"/>
    </w:lvl>
  </w:abstractNum>
  <w:abstractNum w:abstractNumId="124">
    <w:nsid w:val="6EBE4208"/>
    <w:multiLevelType w:val="hybridMultilevel"/>
    <w:lvl w:ilvl="0">
      <w:lvlJc w:val="left"/>
      <w:lvlText w:val="(%1)"/>
      <w:numFmt w:val="lowerLetter"/>
      <w:start w:val="1"/>
    </w:lvl>
  </w:abstractNum>
  <w:abstractNum w:abstractNumId="125">
    <w:nsid w:val="C058DF5"/>
    <w:multiLevelType w:val="hybridMultilevel"/>
    <w:lvl w:ilvl="0">
      <w:lvlJc w:val="left"/>
      <w:lvlText w:val="(%1)"/>
      <w:numFmt w:val="lowerRoman"/>
      <w:start w:val="1"/>
    </w:lvl>
  </w:abstractNum>
  <w:abstractNum w:abstractNumId="126">
    <w:nsid w:val="CBE5BE9"/>
    <w:multiLevelType w:val="hybridMultilevel"/>
    <w:lvl w:ilvl="0">
      <w:lvlJc w:val="left"/>
      <w:lvlText w:val="(%1)"/>
      <w:numFmt w:val="lowerLetter"/>
      <w:start w:val="2"/>
    </w:lvl>
  </w:abstractNum>
  <w:abstractNum w:abstractNumId="127">
    <w:nsid w:val="3102BBE2"/>
    <w:multiLevelType w:val="hybridMultilevel"/>
    <w:lvl w:ilvl="0">
      <w:lvlJc w:val="left"/>
      <w:lvlText w:val="(%1)"/>
      <w:numFmt w:val="lowerLetter"/>
      <w:start w:val="4"/>
    </w:lvl>
  </w:abstractNum>
  <w:abstractNum w:abstractNumId="128">
    <w:nsid w:val="26A02C5E"/>
    <w:multiLevelType w:val="hybridMultilevel"/>
    <w:lvl w:ilvl="0">
      <w:lvlJc w:val="left"/>
      <w:lvlText w:val="(%1)"/>
      <w:numFmt w:val="lowerRoman"/>
      <w:start w:val="1"/>
    </w:lvl>
  </w:abstractNum>
  <w:abstractNum w:abstractNumId="129">
    <w:nsid w:val="541C8153"/>
    <w:multiLevelType w:val="hybridMultilevel"/>
    <w:lvl w:ilvl="0">
      <w:lvlJc w:val="left"/>
      <w:lvlText w:val="(%1)"/>
      <w:numFmt w:val="lowerLetter"/>
      <w:start w:val="1"/>
    </w:lvl>
  </w:abstractNum>
  <w:abstractNum w:abstractNumId="130">
    <w:nsid w:val="67906F60"/>
    <w:multiLevelType w:val="hybridMultilevel"/>
    <w:lvl w:ilvl="0">
      <w:lvlJc w:val="left"/>
      <w:lvlText w:val="(%1)"/>
      <w:numFmt w:val="lowerLetter"/>
      <w:start w:val="5"/>
    </w:lvl>
  </w:abstractNum>
  <w:abstractNum w:abstractNumId="131">
    <w:nsid w:val="10DB9DAA"/>
    <w:multiLevelType w:val="hybridMultilevel"/>
    <w:lvl w:ilvl="0">
      <w:lvlJc w:val="left"/>
      <w:lvlText w:val="(%1)"/>
      <w:numFmt w:val="lowerRoman"/>
      <w:start w:val="2"/>
    </w:lvl>
    <w:lvl w:ilvl="1">
      <w:lvlJc w:val="left"/>
      <w:lvlText w:val="(%2)"/>
      <w:numFmt w:val="upperLetter"/>
      <w:start w:val="1"/>
    </w:lvl>
  </w:abstractNum>
  <w:abstractNum w:abstractNumId="132">
    <w:nsid w:val="697D2D2"/>
    <w:multiLevelType w:val="hybridMultilevel"/>
    <w:lvl w:ilvl="0">
      <w:lvlJc w:val="left"/>
      <w:lvlText w:val="%1"/>
      <w:numFmt w:val="upperLetter"/>
      <w:start w:val="1"/>
    </w:lvl>
    <w:lvl w:ilvl="1">
      <w:lvlJc w:val="left"/>
      <w:lvlText w:val="(%2)"/>
      <w:numFmt w:val="lowerLetter"/>
      <w:start w:val="23"/>
    </w:lvl>
  </w:abstractNum>
  <w:abstractNum w:abstractNumId="133">
    <w:nsid w:val="6D68AB2"/>
    <w:multiLevelType w:val="hybridMultilevel"/>
    <w:lvl w:ilvl="0">
      <w:lvlJc w:val="left"/>
      <w:lvlText w:val="(%1)"/>
      <w:numFmt w:val="upperLetter"/>
      <w:start w:val="3"/>
    </w:lvl>
    <w:lvl w:ilvl="1">
      <w:lvlJc w:val="left"/>
      <w:lvlText w:val="%2"/>
      <w:numFmt w:val="lowerLetter"/>
      <w:start w:val="1"/>
    </w:lvl>
  </w:abstractNum>
  <w:abstractNum w:abstractNumId="134">
    <w:nsid w:val="3A966CD0"/>
    <w:multiLevelType w:val="hybridMultilevel"/>
    <w:lvl w:ilvl="0">
      <w:lvlJc w:val="left"/>
      <w:lvlText w:val="(%1)"/>
      <w:numFmt w:val="lowerRoman"/>
      <w:start w:val="3"/>
    </w:lvl>
  </w:abstractNum>
  <w:abstractNum w:abstractNumId="135">
    <w:nsid w:val="63F37E85"/>
    <w:multiLevelType w:val="hybridMultilevel"/>
    <w:lvl w:ilvl="0">
      <w:lvlJc w:val="left"/>
      <w:lvlText w:val="(%1)"/>
      <w:numFmt w:val="lowerLetter"/>
      <w:start w:val="7"/>
    </w:lvl>
  </w:abstractNum>
  <w:abstractNum w:abstractNumId="136">
    <w:nsid w:val="5895F5FA"/>
    <w:multiLevelType w:val="hybridMultilevel"/>
    <w:lvl w:ilvl="0">
      <w:lvlJc w:val="left"/>
      <w:lvlText w:val="(%1)"/>
      <w:numFmt w:val="lowerLetter"/>
      <w:start w:val="1"/>
    </w:lvl>
  </w:abstractNum>
  <w:abstractNum w:abstractNumId="137">
    <w:nsid w:val="38A5D054"/>
    <w:multiLevelType w:val="hybridMultilevel"/>
    <w:lvl w:ilvl="0">
      <w:lvlJc w:val="left"/>
      <w:lvlText w:val="(%1)"/>
      <w:numFmt w:val="lowerLetter"/>
      <w:start w:val="2"/>
    </w:lvl>
  </w:abstractNum>
  <w:abstractNum w:abstractNumId="138">
    <w:nsid w:val="F3F09D8"/>
    <w:multiLevelType w:val="hybridMultilevel"/>
    <w:lvl w:ilvl="0">
      <w:lvlJc w:val="left"/>
      <w:lvlText w:val="(%1)"/>
      <w:numFmt w:val="lowerLetter"/>
      <w:start w:val="3"/>
    </w:lvl>
  </w:abstractNum>
  <w:abstractNum w:abstractNumId="139">
    <w:nsid w:val="4B793735"/>
    <w:multiLevelType w:val="hybridMultilevel"/>
    <w:lvl w:ilvl="0">
      <w:lvlJc w:val="left"/>
      <w:lvlText w:val="(%1)"/>
      <w:numFmt w:val="lowerLetter"/>
      <w:start w:val="4"/>
    </w:lvl>
  </w:abstractNum>
  <w:abstractNum w:abstractNumId="140">
    <w:nsid w:val="4A10B4E8"/>
    <w:multiLevelType w:val="hybridMultilevel"/>
    <w:lvl w:ilvl="0">
      <w:lvlJc w:val="left"/>
      <w:lvlText w:val="%1"/>
      <w:numFmt w:val="lowerLetter"/>
      <w:start w:val="1"/>
    </w:lvl>
    <w:lvl w:ilvl="1">
      <w:lvlJc w:val="left"/>
      <w:lvlText w:val="(%2)"/>
      <w:numFmt w:val="lowerLetter"/>
      <w:start w:val="1"/>
    </w:lvl>
  </w:abstractNum>
  <w:abstractNum w:abstractNumId="141">
    <w:nsid w:val="43D3BCD4"/>
    <w:multiLevelType w:val="hybridMultilevel"/>
    <w:lvl w:ilvl="0">
      <w:lvlJc w:val="left"/>
      <w:lvlText w:val="(%1)"/>
      <w:numFmt w:val="lowerLetter"/>
      <w:start w:val="35"/>
    </w:lvl>
    <w:lvl w:ilvl="1">
      <w:lvlJc w:val="left"/>
      <w:lvlText w:val="%2"/>
      <w:numFmt w:val="lowerLetter"/>
      <w:start w:val="1"/>
    </w:lvl>
  </w:abstractNum>
  <w:abstractNum w:abstractNumId="142">
    <w:nsid w:val="4C2A7166"/>
    <w:multiLevelType w:val="hybridMultilevel"/>
    <w:lvl w:ilvl="0">
      <w:lvlJc w:val="left"/>
      <w:lvlText w:val="(%1)"/>
      <w:numFmt w:val="lowerLetter"/>
      <w:start w:val="1"/>
    </w:lvl>
  </w:abstractNum>
  <w:abstractNum w:abstractNumId="143">
    <w:nsid w:val="2E534A82"/>
    <w:multiLevelType w:val="hybridMultilevel"/>
    <w:lvl w:ilvl="0">
      <w:lvlJc w:val="left"/>
      <w:lvlText w:val="(%1)"/>
      <w:numFmt w:val="lowerRoman"/>
      <w:start w:val="1"/>
    </w:lvl>
  </w:abstractNum>
  <w:abstractNum w:abstractNumId="144">
    <w:nsid w:val="26F2D364"/>
    <w:multiLevelType w:val="hybridMultilevel"/>
    <w:lvl w:ilvl="0">
      <w:lvlJc w:val="left"/>
      <w:lvlText w:val="(%1)"/>
      <w:numFmt w:val="lowerRoman"/>
      <w:start w:val="2"/>
    </w:lvl>
    <w:lvl w:ilvl="1">
      <w:lvlJc w:val="left"/>
      <w:lvlText w:val="(%2)"/>
      <w:numFmt w:val="upperLetter"/>
      <w:start w:val="1"/>
    </w:lvl>
  </w:abstractNum>
  <w:abstractNum w:abstractNumId="145">
    <w:nsid w:val="71C1AF98"/>
    <w:multiLevelType w:val="hybridMultilevel"/>
    <w:lvl w:ilvl="0">
      <w:lvlJc w:val="left"/>
      <w:lvlText w:val="%1"/>
      <w:numFmt w:val="lowerRoman"/>
      <w:start w:val="1"/>
    </w:lvl>
    <w:lvl w:ilvl="1">
      <w:lvlJc w:val="left"/>
      <w:lvlText w:val="(%2)"/>
      <w:numFmt w:val="upperLetter"/>
      <w:start w:val="2"/>
    </w:lvl>
  </w:abstractNum>
  <w:abstractNum w:abstractNumId="146">
    <w:nsid w:val="3D00B9D9"/>
    <w:multiLevelType w:val="hybridMultilevel"/>
    <w:lvl w:ilvl="0">
      <w:lvlJc w:val="left"/>
      <w:lvlText w:val="(%1)"/>
      <w:numFmt w:val="lowerRoman"/>
      <w:start w:val="3"/>
    </w:lvl>
    <w:lvl w:ilvl="1">
      <w:lvlJc w:val="left"/>
      <w:lvlText w:val="%2"/>
      <w:numFmt w:val="upperLetter"/>
      <w:start w:val="1"/>
    </w:lvl>
  </w:abstractNum>
  <w:abstractNum w:abstractNumId="147">
    <w:nsid w:val="15BCABA8"/>
    <w:multiLevelType w:val="hybridMultilevel"/>
    <w:lvl w:ilvl="0">
      <w:lvlJc w:val="left"/>
      <w:lvlText w:val="(%1)"/>
      <w:numFmt w:val="lowerLetter"/>
      <w:start w:val="2"/>
    </w:lvl>
  </w:abstractNum>
  <w:abstractNum w:abstractNumId="148">
    <w:nsid w:val="4E0B9A87"/>
    <w:multiLevelType w:val="hybridMultilevel"/>
    <w:lvl w:ilvl="0">
      <w:lvlJc w:val="left"/>
      <w:lvlText w:val="(%1)"/>
      <w:numFmt w:val="lowerRoman"/>
      <w:start w:val="1"/>
    </w:lvl>
  </w:abstractNum>
  <w:abstractNum w:abstractNumId="149">
    <w:nsid w:val="434BAE75"/>
    <w:multiLevelType w:val="hybridMultilevel"/>
    <w:lvl w:ilvl="0">
      <w:lvlJc w:val="left"/>
      <w:lvlText w:val="(%1)"/>
      <w:numFmt w:val="lowerRoman"/>
      <w:start w:val="2"/>
    </w:lvl>
  </w:abstractNum>
  <w:abstractNum w:abstractNumId="150">
    <w:nsid w:val="4F38F265"/>
    <w:multiLevelType w:val="hybridMultilevel"/>
    <w:lvl w:ilvl="0">
      <w:lvlJc w:val="left"/>
      <w:lvlText w:val="(%1)"/>
      <w:numFmt w:val="lowerLetter"/>
      <w:start w:val="1"/>
    </w:lvl>
  </w:abstractNum>
  <w:abstractNum w:abstractNumId="151">
    <w:nsid w:val="4C502870"/>
    <w:multiLevelType w:val="hybridMultilevel"/>
    <w:lvl w:ilvl="0">
      <w:lvlJc w:val="left"/>
      <w:lvlText w:val="(%1)"/>
      <w:numFmt w:val="lowerRoman"/>
      <w:start w:val="1"/>
    </w:lvl>
  </w:abstractNum>
  <w:abstractNum w:abstractNumId="152">
    <w:nsid w:val="1DE8725A"/>
    <w:multiLevelType w:val="hybridMultilevel"/>
    <w:lvl w:ilvl="0">
      <w:lvlJc w:val="left"/>
      <w:lvlText w:val="(%1)"/>
      <w:numFmt w:val="lowerRoman"/>
      <w:start w:val="2"/>
    </w:lvl>
  </w:abstractNum>
  <w:abstractNum w:abstractNumId="153">
    <w:nsid w:val="6A37288A"/>
    <w:multiLevelType w:val="hybridMultilevel"/>
    <w:lvl w:ilvl="0">
      <w:lvlJc w:val="left"/>
      <w:lvlText w:val="(%1)"/>
      <w:numFmt w:val="lowerLetter"/>
      <w:start w:val="2"/>
    </w:lvl>
  </w:abstractNum>
  <w:abstractNum w:abstractNumId="154">
    <w:nsid w:val="8F8B73F"/>
    <w:multiLevelType w:val="hybridMultilevel"/>
    <w:lvl w:ilvl="0">
      <w:lvlJc w:val="left"/>
      <w:lvlText w:val="(%1)"/>
      <w:numFmt w:val="lowerLetter"/>
      <w:start w:val="1"/>
    </w:lvl>
  </w:abstractNum>
  <w:abstractNum w:abstractNumId="155">
    <w:nsid w:val="CA6B462"/>
    <w:multiLevelType w:val="hybridMultilevel"/>
    <w:lvl w:ilvl="0">
      <w:lvlJc w:val="left"/>
      <w:lvlText w:val="(%1)"/>
      <w:numFmt w:val="lowerLetter"/>
      <w:start w:val="4"/>
    </w:lvl>
  </w:abstractNum>
  <w:abstractNum w:abstractNumId="156">
    <w:nsid w:val="763CB680"/>
    <w:multiLevelType w:val="hybridMultilevel"/>
    <w:lvl w:ilvl="0">
      <w:lvlJc w:val="left"/>
      <w:lvlText w:val="(%1)"/>
      <w:numFmt w:val="lowerLetter"/>
      <w:start w:val="1"/>
    </w:lvl>
  </w:abstractNum>
  <w:abstractNum w:abstractNumId="157">
    <w:nsid w:val="15B71329"/>
    <w:multiLevelType w:val="hybridMultilevel"/>
    <w:lvl w:ilvl="0">
      <w:lvlJc w:val="left"/>
      <w:lvlText w:val="(%1)"/>
      <w:numFmt w:val="lowerLetter"/>
      <w:start w:val="1"/>
    </w:lvl>
  </w:abstractNum>
  <w:abstractNum w:abstractNumId="158">
    <w:nsid w:val="3DA97044"/>
    <w:multiLevelType w:val="hybridMultilevel"/>
    <w:lvl w:ilvl="0">
      <w:lvlJc w:val="left"/>
      <w:lvlText w:val="(%1)"/>
      <w:numFmt w:val="lowerLetter"/>
      <w:start w:val="3"/>
    </w:lvl>
  </w:abstractNum>
  <w:abstractNum w:abstractNumId="159">
    <w:nsid w:val="1CDCE2DE"/>
    <w:multiLevelType w:val="hybridMultilevel"/>
    <w:lvl w:ilvl="0">
      <w:lvlJc w:val="left"/>
      <w:lvlText w:val="(%1)"/>
      <w:numFmt w:val="lowerLetter"/>
      <w:start w:val="1"/>
    </w:lvl>
  </w:abstractNum>
  <w:abstractNum w:abstractNumId="160">
    <w:nsid w:val="69D3947C"/>
    <w:multiLevelType w:val="hybridMultilevel"/>
    <w:lvl w:ilvl="0">
      <w:lvlJc w:val="left"/>
      <w:lvlText w:val="(%1)"/>
      <w:numFmt w:val="lowerLetter"/>
      <w:start w:val="1"/>
    </w:lvl>
  </w:abstractNum>
  <w:abstractNum w:abstractNumId="161">
    <w:nsid w:val="2539DFA5"/>
    <w:multiLevelType w:val="hybridMultilevel"/>
    <w:lvl w:ilvl="0">
      <w:lvlJc w:val="left"/>
      <w:lvlText w:val="(%1)"/>
      <w:numFmt w:val="lowerLetter"/>
      <w:start w:val="1"/>
    </w:lvl>
  </w:abstractNum>
  <w:abstractNum w:abstractNumId="162">
    <w:nsid w:val="2DB88089"/>
    <w:multiLevelType w:val="hybridMultilevel"/>
    <w:lvl w:ilvl="0">
      <w:lvlJc w:val="left"/>
      <w:lvlText w:val="(%1)"/>
      <w:numFmt w:val="lowerLetter"/>
      <w:start w:val="2"/>
    </w:lvl>
  </w:abstractNum>
  <w:abstractNum w:abstractNumId="163">
    <w:nsid w:val="706B674E"/>
    <w:multiLevelType w:val="hybridMultilevel"/>
    <w:lvl w:ilvl="0">
      <w:lvlJc w:val="left"/>
      <w:lvlText w:val="(%1)"/>
      <w:numFmt w:val="lowerLetter"/>
      <w:start w:val="1"/>
    </w:lvl>
  </w:abstractNum>
  <w:abstractNum w:abstractNumId="164">
    <w:nsid w:val="2C106A57"/>
    <w:multiLevelType w:val="hybridMultilevel"/>
    <w:lvl w:ilvl="0">
      <w:lvlJc w:val="left"/>
      <w:lvlText w:val="(%1)"/>
      <w:numFmt w:val="lowerLetter"/>
      <w:start w:val="1"/>
    </w:lvl>
  </w:abstractNum>
  <w:abstractNum w:abstractNumId="165">
    <w:nsid w:val="684EED59"/>
    <w:multiLevelType w:val="hybridMultilevel"/>
    <w:lvl w:ilvl="0">
      <w:lvlJc w:val="left"/>
      <w:lvlText w:val="(%1)"/>
      <w:numFmt w:val="lowerRoman"/>
      <w:start w:val="1"/>
    </w:lvl>
  </w:abstractNum>
  <w:abstractNum w:abstractNumId="166">
    <w:nsid w:val="545EE5D3"/>
    <w:multiLevelType w:val="hybridMultilevel"/>
    <w:lvl w:ilvl="0">
      <w:lvlJc w:val="left"/>
      <w:lvlText w:val="(%1)"/>
      <w:numFmt w:val="lowerRoman"/>
      <w:start w:val="5"/>
    </w:lvl>
  </w:abstractNum>
  <w:abstractNum w:abstractNumId="167">
    <w:nsid w:val="4A66051"/>
    <w:multiLevelType w:val="hybridMultilevel"/>
    <w:lvl w:ilvl="0">
      <w:lvlJc w:val="left"/>
      <w:lvlText w:val="(%1)"/>
      <w:numFmt w:val="lowerLetter"/>
      <w:start w:val="2"/>
    </w:lvl>
  </w:abstractNum>
  <w:abstractNum w:abstractNumId="168">
    <w:nsid w:val="20F4BDAD"/>
    <w:multiLevelType w:val="hybridMultilevel"/>
    <w:lvl w:ilvl="0">
      <w:lvlJc w:val="left"/>
      <w:lvlText w:val="(%1)"/>
      <w:numFmt w:val="lowerLetter"/>
      <w:start w:val="1"/>
    </w:lvl>
  </w:abstractNum>
  <w:abstractNum w:abstractNumId="169">
    <w:nsid w:val="639DEFAC"/>
    <w:multiLevelType w:val="hybridMultilevel"/>
    <w:lvl w:ilvl="0">
      <w:lvlJc w:val="left"/>
      <w:lvlText w:val="%1"/>
      <w:numFmt w:val="lowerLetter"/>
      <w:start w:val="1"/>
    </w:lvl>
    <w:lvl w:ilvl="1">
      <w:lvlJc w:val="left"/>
      <w:lvlText w:val="(%2)"/>
      <w:numFmt w:val="lowerLetter"/>
      <w:start w:val="2"/>
    </w:lvl>
  </w:abstractNum>
  <w:abstractNum w:abstractNumId="170">
    <w:nsid w:val="501F9786"/>
    <w:multiLevelType w:val="hybridMultilevel"/>
    <w:lvl w:ilvl="0">
      <w:lvlJc w:val="left"/>
      <w:lvlText w:val="(%1)"/>
      <w:numFmt w:val="lowerLetter"/>
      <w:start w:val="35"/>
    </w:lvl>
    <w:lvl w:ilvl="1">
      <w:lvlJc w:val="left"/>
      <w:lvlText w:val="%2"/>
      <w:numFmt w:val="lowerLetter"/>
      <w:start w:val="1"/>
    </w:lvl>
  </w:abstractNum>
  <w:abstractNum w:abstractNumId="171">
    <w:nsid w:val="6B057295"/>
    <w:multiLevelType w:val="hybridMultilevel"/>
    <w:lvl w:ilvl="0">
      <w:lvlJc w:val="left"/>
      <w:lvlText w:val="(%1)"/>
      <w:numFmt w:val="lowerLetter"/>
      <w:start w:val="1"/>
    </w:lvl>
  </w:abstractNum>
  <w:abstractNum w:abstractNumId="172">
    <w:nsid w:val="2771AC80"/>
    <w:multiLevelType w:val="hybridMultilevel"/>
    <w:lvl w:ilvl="0">
      <w:lvlJc w:val="left"/>
      <w:lvlText w:val="(%1)"/>
      <w:numFmt w:val="lowerLetter"/>
      <w:start w:val="3"/>
    </w:lvl>
  </w:abstractNum>
  <w:abstractNum w:abstractNumId="173">
    <w:nsid w:val="1C4A08EC"/>
    <w:multiLevelType w:val="hybridMultilevel"/>
    <w:lvl w:ilvl="0">
      <w:lvlJc w:val="left"/>
      <w:lvlText w:val="(%1)"/>
      <w:numFmt w:val="lowerLetter"/>
      <w:start w:val="9"/>
    </w:lvl>
  </w:abstractNum>
  <w:abstractNum w:abstractNumId="174">
    <w:nsid w:val="1958BD17"/>
    <w:multiLevelType w:val="hybridMultilevel"/>
    <w:lvl w:ilvl="0">
      <w:lvlJc w:val="left"/>
      <w:lvlText w:val="(%1)"/>
      <w:numFmt w:val="lowerLetter"/>
      <w:start w:val="1"/>
    </w:lvl>
  </w:abstractNum>
  <w:abstractNum w:abstractNumId="175">
    <w:nsid w:val="4E647FE4"/>
    <w:multiLevelType w:val="hybridMultilevel"/>
    <w:lvl w:ilvl="0">
      <w:lvlJc w:val="left"/>
      <w:lvlText w:val="(%1)"/>
      <w:numFmt w:val="lowerLetter"/>
      <w:start w:val="1"/>
    </w:lvl>
  </w:abstractNum>
  <w:abstractNum w:abstractNumId="176">
    <w:nsid w:val="E0BB885"/>
    <w:multiLevelType w:val="hybridMultilevel"/>
    <w:lvl w:ilvl="0">
      <w:lvlJc w:val="left"/>
      <w:lvlText w:val="(%1)"/>
      <w:numFmt w:val="lowerLetter"/>
      <w:start w:val="1"/>
    </w:lvl>
  </w:abstractNum>
  <w:abstractNum w:abstractNumId="177">
    <w:nsid w:val="565976F1"/>
    <w:multiLevelType w:val="hybridMultilevel"/>
    <w:lvl w:ilvl="0">
      <w:lvlJc w:val="left"/>
      <w:lvlText w:val="(%1)"/>
      <w:numFmt w:val="lowerLetter"/>
      <w:start w:val="1"/>
    </w:lvl>
  </w:abstractNum>
  <w:abstractNum w:abstractNumId="178">
    <w:nsid w:val="64212B8C"/>
    <w:multiLevelType w:val="hybridMultilevel"/>
    <w:lvl w:ilvl="0">
      <w:lvlJc w:val="left"/>
      <w:lvlText w:val="(%1)"/>
      <w:numFmt w:val="lowerLetter"/>
      <w:start w:val="1"/>
    </w:lvl>
  </w:abstractNum>
  <w:abstractNum w:abstractNumId="179">
    <w:nsid w:val="5C17530C"/>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23"/>
    </w:lvl>
  </w:abstractNum>
  <w:abstractNum w:abstractNumId="180">
    <w:nsid w:val="19A52566"/>
    <w:multiLevelType w:val="hybridMultilevel"/>
    <w:lvl w:ilvl="0">
      <w:lvlJc w:val="left"/>
      <w:lvlText w:val="%1"/>
      <w:numFmt w:val="upperLetter"/>
      <w:start w:val="1"/>
    </w:lvl>
    <w:lvl w:ilvl="1">
      <w:lvlJc w:val="left"/>
      <w:lvlText w:val="(%2)"/>
      <w:numFmt w:val="lowerLetter"/>
      <w:start w:val="25"/>
    </w:lvl>
  </w:abstractNum>
  <w:abstractNum w:abstractNumId="181">
    <w:nsid w:val="335A1DF1"/>
    <w:multiLevelType w:val="hybridMultilevel"/>
    <w:lvl w:ilvl="0">
      <w:lvlJc w:val="left"/>
      <w:lvlText w:val="(%1)"/>
      <w:numFmt w:val="upperLetter"/>
      <w:start w:val="2"/>
    </w:lvl>
    <w:lvl w:ilvl="1">
      <w:lvlJc w:val="left"/>
      <w:lvlText w:val="(%2)"/>
      <w:numFmt w:val="lowerLetter"/>
      <w:start w:val="24"/>
    </w:lvl>
  </w:abstractNum>
  <w:abstractNum w:abstractNumId="182">
    <w:nsid w:val="28677B7C"/>
    <w:multiLevelType w:val="hybridMultilevel"/>
    <w:lvl w:ilvl="0">
      <w:lvlJc w:val="left"/>
      <w:lvlText w:val="(%1)"/>
      <w:numFmt w:val="upperLetter"/>
      <w:start w:val="4"/>
    </w:lvl>
    <w:lvl w:ilvl="1">
      <w:lvlJc w:val="left"/>
      <w:lvlText w:val="(%2)"/>
      <w:numFmt w:val="lowerLetter"/>
      <w:start w:val="24"/>
    </w:lvl>
  </w:abstractNum>
  <w:abstractNum w:abstractNumId="183">
    <w:nsid w:val="378D97C0"/>
    <w:multiLevelType w:val="hybridMultilevel"/>
    <w:lvl w:ilvl="0">
      <w:lvlJc w:val="left"/>
      <w:lvlText w:val="%1"/>
      <w:numFmt w:val="lowerRoman"/>
      <w:start w:val="1"/>
    </w:lvl>
    <w:lvl w:ilvl="1">
      <w:lvlJc w:val="left"/>
      <w:lvlText w:val="(%2)"/>
      <w:numFmt w:val="upperLetter"/>
      <w:start w:val="6"/>
    </w:lvl>
  </w:abstractNum>
  <w:abstractNum w:abstractNumId="184">
    <w:nsid w:val="1D91467C"/>
    <w:multiLevelType w:val="hybridMultilevel"/>
    <w:lvl w:ilvl="0">
      <w:lvlJc w:val="left"/>
      <w:lvlText w:val="(%1)"/>
      <w:numFmt w:val="lowerRoman"/>
      <w:start w:val="2"/>
    </w:lvl>
    <w:lvl w:ilvl="1">
      <w:lvlJc w:val="left"/>
      <w:lvlText w:val="%2"/>
      <w:numFmt w:val="upperLetter"/>
      <w:start w:val="1"/>
    </w:lvl>
  </w:abstractNum>
  <w:abstractNum w:abstractNumId="185">
    <w:nsid w:val="316032BB"/>
    <w:multiLevelType w:val="hybridMultilevel"/>
    <w:lvl w:ilvl="0">
      <w:lvlJc w:val="left"/>
      <w:lvlText w:val="(%1)"/>
      <w:numFmt w:val="lowerLetter"/>
      <w:start w:val="3"/>
    </w:lvl>
  </w:abstractNum>
  <w:abstractNum w:abstractNumId="186">
    <w:nsid w:val="44344C22"/>
    <w:multiLevelType w:val="hybridMultilevel"/>
    <w:lvl w:ilvl="0">
      <w:lvlJc w:val="left"/>
      <w:lvlText w:val="(%1)"/>
      <w:numFmt w:val="lowerLetter"/>
      <w:start w:val="1"/>
    </w:lvl>
  </w:abstractNum>
  <w:abstractNum w:abstractNumId="187">
    <w:nsid w:val="13CDFCFC"/>
    <w:multiLevelType w:val="hybridMultilevel"/>
    <w:lvl w:ilvl="0">
      <w:lvlJc w:val="left"/>
      <w:lvlText w:val="(%1)"/>
      <w:numFmt w:val="lowerLetter"/>
      <w:start w:val="4"/>
    </w:lvl>
  </w:abstractNum>
  <w:abstractNum w:abstractNumId="188">
    <w:nsid w:val="471745E4"/>
    <w:multiLevelType w:val="hybridMultilevel"/>
    <w:lvl w:ilvl="0">
      <w:lvlJc w:val="left"/>
      <w:lvlText w:val="(%1)"/>
      <w:numFmt w:val="lowerLetter"/>
      <w:start w:val="12"/>
    </w:lvl>
  </w:abstractNum>
  <w:abstractNum w:abstractNumId="189">
    <w:nsid w:val="1DDBC66"/>
    <w:multiLevelType w:val="hybridMultilevel"/>
    <w:lvl w:ilvl="0">
      <w:lvlJc w:val="left"/>
      <w:lvlText w:val="(%1)"/>
      <w:numFmt w:val="lowerLetter"/>
      <w:start w:val="2"/>
    </w:lvl>
  </w:abstractNum>
  <w:abstractNum w:abstractNumId="190">
    <w:nsid w:val="30AADFDA"/>
    <w:multiLevelType w:val="hybridMultilevel"/>
    <w:lvl w:ilvl="0">
      <w:lvlJc w:val="left"/>
      <w:lvlText w:val="(%1)"/>
      <w:numFmt w:val="lowerRoman"/>
      <w:start w:val="1"/>
    </w:lvl>
  </w:abstractNum>
  <w:abstractNum w:abstractNumId="191">
    <w:nsid w:val="30EADA61"/>
    <w:multiLevelType w:val="hybridMultilevel"/>
    <w:lvl w:ilvl="0">
      <w:lvlJc w:val="left"/>
      <w:lvlText w:val="%1"/>
      <w:numFmt w:val="lowerLetter"/>
      <w:start w:val="1"/>
    </w:lvl>
    <w:lvl w:ilvl="1">
      <w:lvlJc w:val="left"/>
      <w:lvlText w:val="(%2)"/>
      <w:numFmt w:val="lowerLetter"/>
      <w:start w:val="1"/>
    </w:lvl>
  </w:abstractNum>
  <w:abstractNum w:abstractNumId="192">
    <w:nsid w:val="27179C0B"/>
    <w:multiLevelType w:val="hybridMultilevel"/>
    <w:lvl w:ilvl="0">
      <w:lvlJc w:val="left"/>
      <w:lvlText w:val="(%1)"/>
      <w:numFmt w:val="lowerLetter"/>
      <w:start w:val="61"/>
    </w:lvl>
    <w:lvl w:ilvl="1">
      <w:lvlJc w:val="left"/>
      <w:lvlText w:val="(%2)"/>
      <w:numFmt w:val="lowerLetter"/>
      <w:start w:val="8"/>
    </w:lvl>
  </w:abstractNum>
  <w:abstractNum w:abstractNumId="193">
    <w:nsid w:val="5E636063"/>
    <w:multiLevelType w:val="hybridMultilevel"/>
    <w:lvl w:ilvl="0">
      <w:lvlJc w:val="left"/>
      <w:lvlText w:val="(%1)"/>
      <w:numFmt w:val="lowerLetter"/>
      <w:start w:val="12"/>
    </w:lvl>
  </w:abstractNum>
  <w:abstractNum w:abstractNumId="194">
    <w:nsid w:val="215641AF"/>
    <w:multiLevelType w:val="hybridMultilevel"/>
    <w:lvl w:ilvl="0">
      <w:lvlJc w:val="left"/>
      <w:lvlText w:val="(%1)"/>
      <w:numFmt w:val="lowerLetter"/>
      <w:start w:val="1"/>
    </w:lvl>
  </w:abstractNum>
  <w:abstractNum w:abstractNumId="195">
    <w:nsid w:val="53280662"/>
    <w:multiLevelType w:val="hybridMultilevel"/>
    <w:lvl w:ilvl="0">
      <w:lvlJc w:val="left"/>
      <w:lvlText w:val="(%1)"/>
      <w:numFmt w:val="lowerLetter"/>
      <w:start w:val="6"/>
    </w:lvl>
  </w:abstractNum>
  <w:abstractNum w:abstractNumId="196">
    <w:nsid w:val="46B24DBC"/>
    <w:multiLevelType w:val="hybridMultilevel"/>
    <w:lvl w:ilvl="0">
      <w:lvlJc w:val="left"/>
      <w:lvlText w:val="(%1)"/>
      <w:numFmt w:val="lowerLetter"/>
      <w:start w:val="1"/>
    </w:lvl>
  </w:abstractNum>
  <w:abstractNum w:abstractNumId="197">
    <w:nsid w:val="75B52783"/>
    <w:multiLevelType w:val="hybridMultilevel"/>
    <w:lvl w:ilvl="0">
      <w:lvlJc w:val="left"/>
      <w:lvlText w:val="(%1)"/>
      <w:numFmt w:val="lowerLetter"/>
      <w:start w:val="4"/>
    </w:lvl>
  </w:abstractNum>
  <w:abstractNum w:abstractNumId="198">
    <w:nsid w:val="57CE66B4"/>
    <w:multiLevelType w:val="hybridMultilevel"/>
    <w:lvl w:ilvl="0">
      <w:lvlJc w:val="left"/>
      <w:lvlText w:val="(%1)"/>
      <w:numFmt w:val="lowerLetter"/>
      <w:start w:val="1"/>
    </w:lvl>
  </w:abstractNum>
  <w:abstractNum w:abstractNumId="199">
    <w:nsid w:val="67A70B69"/>
    <w:multiLevelType w:val="hybridMultilevel"/>
    <w:lvl w:ilvl="0">
      <w:lvlJc w:val="left"/>
      <w:lvlText w:val="(%1)"/>
      <w:numFmt w:val="lowerLetter"/>
      <w:start w:val="3"/>
    </w:lvl>
  </w:abstractNum>
  <w:abstractNum w:abstractNumId="200">
    <w:nsid w:val="5953172F"/>
    <w:multiLevelType w:val="hybridMultilevel"/>
    <w:lvl w:ilvl="0">
      <w:lvlJc w:val="left"/>
      <w:lvlText w:val="(%1)"/>
      <w:numFmt w:val="lowerLetter"/>
      <w:start w:val="4"/>
    </w:lvl>
  </w:abstractNum>
  <w:abstractNum w:abstractNumId="201">
    <w:nsid w:val="27EDFE3A"/>
    <w:multiLevelType w:val="hybridMultilevel"/>
    <w:lvl w:ilvl="0">
      <w:lvlJc w:val="left"/>
      <w:lvlText w:val="(%1)"/>
      <w:numFmt w:val="lowerLetter"/>
      <w:start w:val="1"/>
    </w:lvl>
  </w:abstractNum>
  <w:abstractNum w:abstractNumId="202">
    <w:nsid w:val="52AC7DFF"/>
    <w:multiLevelType w:val="hybridMultilevel"/>
    <w:lvl w:ilvl="0">
      <w:lvlJc w:val="left"/>
      <w:lvlText w:val="(%1)"/>
      <w:numFmt w:val="lowerLetter"/>
      <w:start w:val="2"/>
    </w:lvl>
  </w:abstractNum>
  <w:abstractNum w:abstractNumId="203">
    <w:nsid w:val="C4C3AF"/>
    <w:multiLevelType w:val="hybridMultilevel"/>
    <w:lvl w:ilvl="0">
      <w:lvlJc w:val="left"/>
      <w:lvlText w:val="(%1)"/>
      <w:numFmt w:val="lowerRoman"/>
      <w:start w:val="1"/>
    </w:lvl>
  </w:abstractNum>
  <w:abstractNum w:abstractNumId="204">
    <w:nsid w:val="44380727"/>
    <w:multiLevelType w:val="hybridMultilevel"/>
    <w:lvl w:ilvl="0">
      <w:lvlJc w:val="left"/>
      <w:lvlText w:val="(%1)"/>
      <w:numFmt w:val="lowerLetter"/>
      <w:start w:val="4"/>
    </w:lvl>
  </w:abstractNum>
  <w:abstractNum w:abstractNumId="205">
    <w:nsid w:val="6C053B16"/>
    <w:multiLevelType w:val="hybridMultilevel"/>
    <w:lvl w:ilvl="0">
      <w:lvlJc w:val="left"/>
      <w:lvlText w:val="(%1)"/>
      <w:numFmt w:val="lowerLetter"/>
      <w:start w:val="1"/>
    </w:lvl>
  </w:abstractNum>
  <w:abstractNum w:abstractNumId="206">
    <w:nsid w:val="4F294393"/>
    <w:multiLevelType w:val="hybridMultilevel"/>
    <w:lvl w:ilvl="0">
      <w:lvlJc w:val="left"/>
      <w:lvlText w:val="(%1)"/>
      <w:numFmt w:val="lowerLetter"/>
      <w:start w:val="2"/>
    </w:lvl>
  </w:abstractNum>
  <w:abstractNum w:abstractNumId="207">
    <w:nsid w:val="5243BFAC"/>
    <w:multiLevelType w:val="hybridMultilevel"/>
    <w:lvl w:ilvl="0">
      <w:lvlJc w:val="left"/>
      <w:lvlText w:val="%1"/>
      <w:numFmt w:val="lowerLetter"/>
      <w:start w:val="1"/>
    </w:lvl>
    <w:lvl w:ilvl="1">
      <w:lvlJc w:val="left"/>
      <w:lvlText w:val="(%2)"/>
      <w:numFmt w:val="lowerLetter"/>
      <w:start w:val="1"/>
    </w:lvl>
  </w:abstractNum>
  <w:abstractNum w:abstractNumId="208">
    <w:nsid w:val="425EB207"/>
    <w:multiLevelType w:val="hybridMultilevel"/>
    <w:lvl w:ilvl="0">
      <w:lvlJc w:val="left"/>
      <w:lvlText w:val="(%1)"/>
      <w:numFmt w:val="lowerLetter"/>
      <w:start w:val="35"/>
    </w:lvl>
    <w:lvl w:ilvl="1">
      <w:lvlJc w:val="left"/>
      <w:lvlText w:val="(%2)"/>
      <w:numFmt w:val="lowerLetter"/>
      <w:start w:val="2"/>
    </w:lvl>
  </w:abstractNum>
  <w:abstractNum w:abstractNumId="209">
    <w:nsid w:val="334A6F1F"/>
    <w:multiLevelType w:val="hybridMultilevel"/>
    <w:lvl w:ilvl="0">
      <w:lvlJc w:val="left"/>
      <w:lvlText w:val="(%1)"/>
      <w:numFmt w:val="lowerLetter"/>
      <w:start w:val="1"/>
    </w:lvl>
  </w:abstractNum>
  <w:abstractNum w:abstractNumId="210">
    <w:nsid w:val="2E5B12B8"/>
    <w:multiLevelType w:val="hybridMultilevel"/>
    <w:lvl w:ilvl="0">
      <w:lvlJc w:val="left"/>
      <w:lvlText w:val="%1"/>
      <w:numFmt w:val="lowerLetter"/>
      <w:start w:val="1"/>
    </w:lvl>
    <w:lvl w:ilvl="1">
      <w:lvlJc w:val="left"/>
      <w:lvlText w:val="(%2)"/>
      <w:numFmt w:val="lowerLetter"/>
      <w:start w:val="2"/>
    </w:lvl>
  </w:abstractNum>
  <w:abstractNum w:abstractNumId="211">
    <w:nsid w:val="5C03D76D"/>
    <w:multiLevelType w:val="hybridMultilevel"/>
    <w:lvl w:ilvl="0">
      <w:lvlJc w:val="left"/>
      <w:lvlText w:val="(%1)"/>
      <w:numFmt w:val="lowerLetter"/>
      <w:start w:val="6"/>
    </w:lvl>
    <w:lvl w:ilvl="1">
      <w:lvlJc w:val="left"/>
      <w:lvlText w:val="(%2)"/>
      <w:numFmt w:val="lowerLetter"/>
      <w:start w:val="5"/>
    </w:lvl>
  </w:abstractNum>
  <w:abstractNum w:abstractNumId="212">
    <w:nsid w:val="66A48D11"/>
    <w:multiLevelType w:val="hybridMultilevel"/>
    <w:lvl w:ilvl="0">
      <w:lvlJc w:val="left"/>
      <w:lvlText w:val="(%1)"/>
      <w:numFmt w:val="lowerLetter"/>
      <w:start w:val="9"/>
    </w:lvl>
  </w:abstractNum>
  <w:abstractNum w:abstractNumId="213">
    <w:nsid w:val="56C28E34"/>
    <w:multiLevelType w:val="hybridMultilevel"/>
    <w:lvl w:ilvl="0">
      <w:lvlJc w:val="left"/>
      <w:lvlText w:val="(%1)"/>
      <w:numFmt w:val="lowerLetter"/>
      <w:start w:val="16"/>
    </w:lvl>
  </w:abstractNum>
  <w:abstractNum w:abstractNumId="214">
    <w:nsid w:val="13916F2D"/>
    <w:multiLevelType w:val="hybridMultilevel"/>
    <w:lvl w:ilvl="0">
      <w:lvlJc w:val="left"/>
      <w:lvlText w:val="(%1)"/>
      <w:numFmt w:val="lowerLetter"/>
      <w:start w:val="1"/>
    </w:lvl>
  </w:abstractNum>
  <w:abstractNum w:abstractNumId="215">
    <w:nsid w:val="435D38D"/>
    <w:multiLevelType w:val="hybridMultilevel"/>
    <w:lvl w:ilvl="0">
      <w:lvlJc w:val="left"/>
      <w:lvlText w:val="(%1)"/>
      <w:numFmt w:val="lowerLetter"/>
      <w:start w:val="1"/>
    </w:lvl>
  </w:abstractNum>
  <w:abstractNum w:abstractNumId="216">
    <w:nsid w:val="822C0EF"/>
    <w:multiLevelType w:val="hybridMultilevel"/>
    <w:lvl w:ilvl="0">
      <w:lvlJc w:val="left"/>
      <w:lvlText w:val="(%1)"/>
      <w:numFmt w:val="lowerLetter"/>
      <w:start w:val="2"/>
    </w:lvl>
  </w:abstractNum>
  <w:abstractNum w:abstractNumId="217">
    <w:nsid w:val="57C5BB4F"/>
    <w:multiLevelType w:val="hybridMultilevel"/>
    <w:lvl w:ilvl="0">
      <w:lvlJc w:val="left"/>
      <w:lvlText w:val="(%1)"/>
      <w:numFmt w:val="lowerRoman"/>
      <w:start w:val="1"/>
    </w:lvl>
  </w:abstractNum>
  <w:abstractNum w:abstractNumId="218">
    <w:nsid w:val="1803D089"/>
    <w:multiLevelType w:val="hybridMultilevel"/>
    <w:lvl w:ilvl="0">
      <w:lvlJc w:val="left"/>
      <w:lvlText w:val="(%1)"/>
      <w:numFmt w:val="lowerLetter"/>
      <w:start w:val="3"/>
    </w:lvl>
  </w:abstractNum>
  <w:abstractNum w:abstractNumId="219">
    <w:nsid w:val="4F3A06D4"/>
    <w:multiLevelType w:val="hybridMultilevel"/>
    <w:lvl w:ilvl="0">
      <w:lvlJc w:val="left"/>
      <w:lvlText w:val="(%1)"/>
      <w:numFmt w:val="lowerLetter"/>
      <w:start w:val="4"/>
    </w:lvl>
  </w:abstractNum>
  <w:abstractNum w:abstractNumId="220">
    <w:nsid w:val="59A377B6"/>
    <w:multiLevelType w:val="hybridMultilevel"/>
    <w:lvl w:ilvl="0">
      <w:lvlJc w:val="left"/>
      <w:lvlText w:val="(%1)"/>
      <w:numFmt w:val="lowerLetter"/>
      <w:start w:val="5"/>
    </w:lvl>
  </w:abstractNum>
  <w:abstractNum w:abstractNumId="221">
    <w:nsid w:val="48AEB063"/>
    <w:multiLevelType w:val="hybridMultilevel"/>
    <w:lvl w:ilvl="0">
      <w:lvlJc w:val="left"/>
      <w:lvlText w:val="(%1)"/>
      <w:numFmt w:val="lowerLetter"/>
      <w:start w:val="1"/>
    </w:lvl>
  </w:abstractNum>
  <w:abstractNum w:abstractNumId="222">
    <w:nsid w:val="24E135"/>
    <w:multiLevelType w:val="hybridMultilevel"/>
    <w:lvl w:ilvl="0">
      <w:lvlJc w:val="left"/>
      <w:lvlText w:val="(%1)"/>
      <w:numFmt w:val="lowerRoman"/>
      <w:start w:val="1"/>
    </w:lvl>
  </w:abstractNum>
  <w:abstractNum w:abstractNumId="223">
    <w:nsid w:val="BB13C1"/>
    <w:multiLevelType w:val="hybridMultilevel"/>
    <w:lvl w:ilvl="0">
      <w:lvlJc w:val="left"/>
      <w:lvlText w:val="(%1)"/>
      <w:numFmt w:val="lowerLetter"/>
      <w:start w:val="2"/>
    </w:lvl>
  </w:abstractNum>
  <w:abstractNum w:abstractNumId="224">
    <w:nsid w:val="271210C7"/>
    <w:multiLevelType w:val="hybridMultilevel"/>
    <w:lvl w:ilvl="0">
      <w:lvlJc w:val="left"/>
      <w:lvlText w:val="(%1)"/>
      <w:numFmt w:val="lowerRoman"/>
      <w:start w:val="1"/>
    </w:lvl>
  </w:abstractNum>
  <w:abstractNum w:abstractNumId="225">
    <w:nsid w:val="217B22E4"/>
    <w:multiLevelType w:val="hybridMultilevel"/>
    <w:lvl w:ilvl="0">
      <w:lvlJc w:val="left"/>
      <w:lvlText w:val="(%1)"/>
      <w:numFmt w:val="lowerRoman"/>
      <w:start w:val="1"/>
    </w:lvl>
  </w:abstractNum>
  <w:abstractNum w:abstractNumId="226">
    <w:nsid w:val="53E31A24"/>
    <w:multiLevelType w:val="hybridMultilevel"/>
    <w:lvl w:ilvl="0">
      <w:lvlJc w:val="left"/>
      <w:lvlText w:val="(%1)"/>
      <w:numFmt w:val="lowerLetter"/>
      <w:start w:val="3"/>
    </w:lvl>
  </w:abstractNum>
  <w:abstractNum w:abstractNumId="227">
    <w:nsid w:val="6DC45E83"/>
    <w:multiLevelType w:val="hybridMultilevel"/>
    <w:lvl w:ilvl="0">
      <w:lvlJc w:val="left"/>
      <w:lvlText w:val="(%1)"/>
      <w:numFmt w:val="lowerLetter"/>
      <w:start w:val="1"/>
    </w:lvl>
  </w:abstractNum>
  <w:abstractNum w:abstractNumId="228">
    <w:nsid w:val="17304A67"/>
    <w:multiLevelType w:val="hybridMultilevel"/>
    <w:lvl w:ilvl="0">
      <w:lvlJc w:val="left"/>
      <w:lvlText w:val="(%1)"/>
      <w:numFmt w:val="lowerLetter"/>
      <w:start w:val="2"/>
    </w:lvl>
  </w:abstractNum>
  <w:abstractNum w:abstractNumId="229">
    <w:nsid w:val="2BB180D8"/>
    <w:multiLevelType w:val="hybridMultilevel"/>
    <w:lvl w:ilvl="0">
      <w:lvlJc w:val="left"/>
      <w:lvlText w:val="(%1)"/>
      <w:numFmt w:val="lowerRoman"/>
      <w:start w:val="1"/>
    </w:lvl>
  </w:abstractNum>
  <w:abstractNum w:abstractNumId="230">
    <w:nsid w:val="556B69ED"/>
    <w:multiLevelType w:val="hybridMultilevel"/>
    <w:lvl w:ilvl="0">
      <w:lvlJc w:val="left"/>
      <w:lvlText w:val="(%1)"/>
      <w:numFmt w:val="upperLetter"/>
      <w:start w:val="2"/>
    </w:lvl>
  </w:abstractNum>
  <w:abstractNum w:abstractNumId="231">
    <w:nsid w:val="70836196"/>
    <w:multiLevelType w:val="hybridMultilevel"/>
    <w:lvl w:ilvl="0">
      <w:lvlJc w:val="left"/>
      <w:lvlText w:val="(%1)"/>
      <w:numFmt w:val="lowerLetter"/>
      <w:start w:val="35"/>
    </w:lvl>
    <w:lvl w:ilvl="1">
      <w:lvlJc w:val="left"/>
      <w:lvlText w:val="(%2)"/>
      <w:numFmt w:val="lowerLetter"/>
      <w:start w:val="3"/>
    </w:lvl>
  </w:abstractNum>
  <w:abstractNum w:abstractNumId="232">
    <w:nsid w:val="539F7F12"/>
    <w:multiLevelType w:val="hybridMultilevel"/>
    <w:lvl w:ilvl="0">
      <w:lvlJc w:val="left"/>
      <w:lvlText w:val="(%1)"/>
      <w:numFmt w:val="lowerLetter"/>
      <w:start w:val="4"/>
    </w:lvl>
  </w:abstractNum>
  <w:abstractNum w:abstractNumId="233">
    <w:nsid w:val="2817E7EC"/>
    <w:multiLevelType w:val="hybridMultilevel"/>
    <w:lvl w:ilvl="0">
      <w:lvlJc w:val="left"/>
      <w:lvlText w:val="(%1)"/>
      <w:numFmt w:val="lowerLetter"/>
      <w:start w:val="1"/>
    </w:lvl>
  </w:abstractNum>
  <w:abstractNum w:abstractNumId="234">
    <w:nsid w:val="71482545"/>
    <w:multiLevelType w:val="hybridMultilevel"/>
    <w:lvl w:ilvl="0">
      <w:lvlJc w:val="left"/>
      <w:lvlText w:val="(%1)"/>
      <w:numFmt w:val="lowerLetter"/>
      <w:start w:val="3"/>
    </w:lvl>
  </w:abstractNum>
  <w:abstractNum w:abstractNumId="235">
    <w:nsid w:val="17D78639"/>
    <w:multiLevelType w:val="hybridMultilevel"/>
    <w:lvl w:ilvl="0">
      <w:lvlJc w:val="left"/>
      <w:lvlText w:val="(%1)"/>
      <w:numFmt w:val="lowerLetter"/>
      <w:start w:val="5"/>
    </w:lvl>
  </w:abstractNum>
  <w:abstractNum w:abstractNumId="236">
    <w:nsid w:val="141D2302"/>
    <w:multiLevelType w:val="hybridMultilevel"/>
    <w:lvl w:ilvl="0">
      <w:lvlJc w:val="left"/>
      <w:lvlText w:val="(%1)"/>
      <w:numFmt w:val="lowerLetter"/>
      <w:start w:val="1"/>
    </w:lvl>
  </w:abstractNum>
  <w:abstractNum w:abstractNumId="237">
    <w:nsid w:val="407168D8"/>
    <w:multiLevelType w:val="hybridMultilevel"/>
    <w:lvl w:ilvl="0">
      <w:lvlJc w:val="left"/>
      <w:lvlText w:val="(%1)"/>
      <w:numFmt w:val="lowerRoman"/>
      <w:start w:val="1"/>
    </w:lvl>
    <w:lvl w:ilvl="1">
      <w:lvlJc w:val="left"/>
      <w:lvlText w:val="(%2)"/>
      <w:numFmt w:val="upperLetter"/>
      <w:start w:val="1"/>
    </w:lvl>
  </w:abstractNum>
  <w:abstractNum w:abstractNumId="238">
    <w:nsid w:val="6A1B45E5"/>
    <w:multiLevelType w:val="hybridMultilevel"/>
    <w:lvl w:ilvl="0">
      <w:lvlJc w:val="left"/>
      <w:lvlText w:val="%1"/>
      <w:numFmt w:val="lowerRoman"/>
      <w:start w:val="1"/>
    </w:lvl>
    <w:lvl w:ilvl="1">
      <w:lvlJc w:val="left"/>
      <w:lvlText w:val="(%2)"/>
      <w:numFmt w:val="upperLetter"/>
      <w:start w:val="2"/>
    </w:lvl>
  </w:abstractNum>
  <w:abstractNum w:abstractNumId="239">
    <w:nsid w:val="567BD50A"/>
    <w:multiLevelType w:val="hybridMultilevel"/>
    <w:lvl w:ilvl="0">
      <w:lvlJc w:val="left"/>
      <w:lvlText w:val="(%1)"/>
      <w:numFmt w:val="lowerRoman"/>
      <w:start w:val="2"/>
    </w:lvl>
    <w:lvl w:ilvl="1">
      <w:lvlJc w:val="left"/>
      <w:lvlText w:val="(%2)"/>
      <w:numFmt w:val="upperLetter"/>
      <w:start w:val="1"/>
    </w:lvl>
  </w:abstractNum>
  <w:abstractNum w:abstractNumId="240">
    <w:nsid w:val="73BBD7F8"/>
    <w:multiLevelType w:val="hybridMultilevel"/>
    <w:lvl w:ilvl="0">
      <w:lvlJc w:val="left"/>
      <w:lvlText w:val="(%1)"/>
      <w:numFmt w:val="lowerLetter"/>
      <w:start w:val="3"/>
    </w:lvl>
  </w:abstractNum>
  <w:abstractNum w:abstractNumId="241">
    <w:nsid w:val="1876589D"/>
    <w:multiLevelType w:val="hybridMultilevel"/>
    <w:lvl w:ilvl="0">
      <w:lvlJc w:val="left"/>
      <w:lvlText w:val="(%1)"/>
      <w:numFmt w:val="lowerLetter"/>
      <w:start w:val="6"/>
    </w:lvl>
  </w:abstractNum>
  <w:abstractNum w:abstractNumId="242">
    <w:nsid w:val="327FAC77"/>
    <w:multiLevelType w:val="hybridMultilevel"/>
    <w:lvl w:ilvl="0">
      <w:lvlJc w:val="left"/>
      <w:lvlText w:val="(%1)"/>
      <w:numFmt w:val="lowerRoman"/>
      <w:start w:val="4"/>
    </w:lvl>
    <w:lvl w:ilvl="1">
      <w:lvlJc w:val="left"/>
      <w:lvlText w:val="(%2)"/>
      <w:numFmt w:val="lowerLetter"/>
      <w:start w:val="7"/>
    </w:lvl>
  </w:abstractNum>
  <w:abstractNum w:abstractNumId="243">
    <w:nsid w:val="5A606509"/>
    <w:multiLevelType w:val="hybridMultilevel"/>
    <w:lvl w:ilvl="0">
      <w:lvlJc w:val="left"/>
      <w:lvlText w:val="(%1)"/>
      <w:numFmt w:val="lowerLetter"/>
      <w:start w:val="8"/>
    </w:lvl>
  </w:abstractNum>
  <w:abstractNum w:abstractNumId="244">
    <w:nsid w:val="6F38E6D1"/>
    <w:multiLevelType w:val="hybridMultilevel"/>
    <w:lvl w:ilvl="0">
      <w:lvlJc w:val="left"/>
      <w:lvlText w:val="(%1)"/>
      <w:numFmt w:val="lowerLetter"/>
      <w:start w:val="1"/>
    </w:lvl>
  </w:abstractNum>
  <w:abstractNum w:abstractNumId="245">
    <w:nsid w:val="46111BA5"/>
    <w:multiLevelType w:val="hybridMultilevel"/>
    <w:lvl w:ilvl="0">
      <w:lvlJc w:val="left"/>
      <w:lvlText w:val="(%1)"/>
      <w:numFmt w:val="lowerLetter"/>
      <w:start w:val="2"/>
    </w:lvl>
  </w:abstractNum>
  <w:abstractNum w:abstractNumId="246">
    <w:nsid w:val="5E963896"/>
    <w:multiLevelType w:val="hybridMultilevel"/>
    <w:lvl w:ilvl="0">
      <w:lvlJc w:val="left"/>
      <w:lvlText w:val="(%1)"/>
      <w:numFmt w:val="lowerLetter"/>
      <w:start w:val="1"/>
    </w:lvl>
  </w:abstractNum>
  <w:abstractNum w:abstractNumId="247">
    <w:nsid w:val="775BA7C1"/>
    <w:multiLevelType w:val="hybridMultilevel"/>
    <w:lvl w:ilvl="0">
      <w:lvlJc w:val="left"/>
      <w:lvlText w:val="(%1)"/>
      <w:numFmt w:val="lowerLetter"/>
      <w:start w:val="3"/>
    </w:lvl>
  </w:abstractNum>
  <w:abstractNum w:abstractNumId="248">
    <w:nsid w:val="1DD6D6F4"/>
    <w:multiLevelType w:val="hybridMultilevel"/>
    <w:lvl w:ilvl="0">
      <w:lvlJc w:val="left"/>
      <w:lvlText w:val="(%1)"/>
      <w:numFmt w:val="lowerLetter"/>
      <w:start w:val="1"/>
    </w:lvl>
  </w:abstractNum>
  <w:abstractNum w:abstractNumId="249">
    <w:nsid w:val="769A091F"/>
    <w:multiLevelType w:val="hybridMultilevel"/>
    <w:lvl w:ilvl="0">
      <w:lvlJc w:val="left"/>
      <w:lvlText w:val="(%1)"/>
      <w:numFmt w:val="lowerLetter"/>
      <w:start w:val="2"/>
    </w:lvl>
  </w:abstractNum>
  <w:abstractNum w:abstractNumId="250">
    <w:nsid w:val="4695AE95"/>
    <w:multiLevelType w:val="hybridMultilevel"/>
    <w:lvl w:ilvl="0">
      <w:lvlJc w:val="left"/>
      <w:lvlText w:val="(%1)"/>
      <w:numFmt w:val="lowerLetter"/>
      <w:start w:val="1"/>
    </w:lvl>
    <w:lvl w:ilvl="1">
      <w:lvlJc w:val="left"/>
      <w:lvlText w:val="(%2)"/>
      <w:numFmt w:val="lowerRoman"/>
      <w:start w:val="1"/>
    </w:lvl>
  </w:abstractNum>
  <w:abstractNum w:abstractNumId="251">
    <w:nsid w:val="777A4EAA"/>
    <w:multiLevelType w:val="hybridMultilevel"/>
    <w:lvl w:ilvl="0">
      <w:lvlJc w:val="left"/>
      <w:lvlText w:val="(%1)"/>
      <w:numFmt w:val="lowerRoman"/>
      <w:start w:val="3"/>
    </w:lvl>
  </w:abstractNum>
  <w:abstractNum w:abstractNumId="252">
    <w:nsid w:val="3F48B982"/>
    <w:multiLevelType w:val="hybridMultilevel"/>
    <w:lvl w:ilvl="0">
      <w:lvlJc w:val="left"/>
      <w:lvlText w:val="(%1)"/>
      <w:numFmt w:val="lowerLetter"/>
      <w:start w:val="1"/>
    </w:lvl>
  </w:abstractNum>
  <w:abstractNum w:abstractNumId="253">
    <w:nsid w:val="46BA8FCA"/>
    <w:multiLevelType w:val="hybridMultilevel"/>
    <w:lvl w:ilvl="0">
      <w:lvlJc w:val="left"/>
      <w:lvlText w:val="(%1)"/>
      <w:numFmt w:val="lowerRoman"/>
      <w:start w:val="1"/>
    </w:lvl>
    <w:lvl w:ilvl="1">
      <w:lvlJc w:val="left"/>
      <w:lvlText w:val="(%2)"/>
      <w:numFmt w:val="upperLetter"/>
      <w:start w:val="1"/>
    </w:lvl>
  </w:abstractNum>
  <w:abstractNum w:abstractNumId="254">
    <w:nsid w:val="7835626C"/>
    <w:multiLevelType w:val="hybridMultilevel"/>
    <w:lvl w:ilvl="0">
      <w:lvlJc w:val="left"/>
      <w:lvlText w:val="%1"/>
      <w:numFmt w:val="lowerRoman"/>
      <w:start w:val="1"/>
    </w:lvl>
    <w:lvl w:ilvl="1">
      <w:lvlJc w:val="left"/>
      <w:lvlText w:val="(%2)"/>
      <w:numFmt w:val="upperLetter"/>
      <w:start w:val="3"/>
    </w:lvl>
  </w:abstractNum>
  <w:abstractNum w:abstractNumId="255">
    <w:nsid w:val="665ACA49"/>
    <w:multiLevelType w:val="hybridMultilevel"/>
    <w:lvl w:ilvl="0">
      <w:lvlJc w:val="left"/>
      <w:lvlText w:val="(%1)"/>
      <w:numFmt w:val="lowerRoman"/>
      <w:start w:val="3"/>
    </w:lvl>
    <w:lvl w:ilvl="1">
      <w:lvlJc w:val="left"/>
      <w:lvlText w:val="%2"/>
      <w:numFmt w:val="upperLetter"/>
      <w:start w:val="1"/>
    </w:lvl>
  </w:abstractNum>
  <w:abstractNum w:abstractNumId="256">
    <w:nsid w:val="6835B2AE"/>
    <w:multiLevelType w:val="hybridMultilevel"/>
    <w:lvl w:ilvl="0">
      <w:lvlJc w:val="left"/>
      <w:lvlText w:val="%1."/>
      <w:numFmt w:val="decimal"/>
      <w:start w:val="1"/>
    </w:lvl>
    <w:lvl w:ilvl="1">
      <w:lvlJc w:val="left"/>
      <w:lvlText w:val="%2)"/>
      <w:numFmt w:val="lowerLetter"/>
      <w:start w:val="1"/>
    </w:lvl>
  </w:abstractNum>
  <w:abstractNum w:abstractNumId="257">
    <w:nsid w:val="4C187C90"/>
    <w:multiLevelType w:val="hybridMultilevel"/>
    <w:lvl w:ilvl="0">
      <w:lvlJc w:val="left"/>
      <w:lvlText w:val="%1"/>
      <w:numFmt w:val="decimal"/>
      <w:start w:val="1"/>
    </w:lvl>
    <w:lvl w:ilvl="1">
      <w:lvlJc w:val="left"/>
      <w:lvlText w:val="%2)"/>
      <w:numFmt w:val="lowerLetter"/>
      <w:start w:val="3"/>
    </w:lvl>
  </w:abstractNum>
  <w:abstractNum w:abstractNumId="258">
    <w:nsid w:val="541F28CD"/>
    <w:multiLevelType w:val="hybridMultilevel"/>
    <w:lvl w:ilvl="0">
      <w:lvlJc w:val="left"/>
      <w:lvlText w:val="%1."/>
      <w:numFmt w:val="decimal"/>
      <w:start w:val="5"/>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abstractNum>
  <w:abstractNum w:abstractNumId="261">
    <w:nsid w:val="298A92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779" Type="http://schemas.openxmlformats.org/officeDocument/2006/relationships/image" Target="media/image768.png"/><Relationship Id="rId780" Type="http://schemas.openxmlformats.org/officeDocument/2006/relationships/image" Target="media/image769.png"/><Relationship Id="rId781" Type="http://schemas.openxmlformats.org/officeDocument/2006/relationships/image" Target="media/image770.png"/><Relationship Id="rId782" Type="http://schemas.openxmlformats.org/officeDocument/2006/relationships/image" Target="media/image771.png"/><Relationship Id="rId783" Type="http://schemas.openxmlformats.org/officeDocument/2006/relationships/image" Target="media/image772.png"/><Relationship Id="rId784" Type="http://schemas.openxmlformats.org/officeDocument/2006/relationships/image" Target="media/image773.png"/><Relationship Id="rId785" Type="http://schemas.openxmlformats.org/officeDocument/2006/relationships/image" Target="media/image774.png"/><Relationship Id="rId786" Type="http://schemas.openxmlformats.org/officeDocument/2006/relationships/image" Target="media/image775.png"/><Relationship Id="rId787" Type="http://schemas.openxmlformats.org/officeDocument/2006/relationships/image" Target="media/image776.png"/><Relationship Id="rId788" Type="http://schemas.openxmlformats.org/officeDocument/2006/relationships/image" Target="media/image777.png"/><Relationship Id="rId789" Type="http://schemas.openxmlformats.org/officeDocument/2006/relationships/image" Target="media/image778.png"/><Relationship Id="rId790" Type="http://schemas.openxmlformats.org/officeDocument/2006/relationships/image" Target="media/image779.png"/><Relationship Id="rId791" Type="http://schemas.openxmlformats.org/officeDocument/2006/relationships/image" Target="media/image780.png"/><Relationship Id="rId792" Type="http://schemas.openxmlformats.org/officeDocument/2006/relationships/image" Target="media/image781.png"/><Relationship Id="rId793" Type="http://schemas.openxmlformats.org/officeDocument/2006/relationships/image" Target="media/image782.png"/><Relationship Id="rId794" Type="http://schemas.openxmlformats.org/officeDocument/2006/relationships/image" Target="media/image783.png"/><Relationship Id="rId795" Type="http://schemas.openxmlformats.org/officeDocument/2006/relationships/image" Target="media/image784.png"/><Relationship Id="rId796" Type="http://schemas.openxmlformats.org/officeDocument/2006/relationships/image" Target="media/image785.png"/><Relationship Id="rId797" Type="http://schemas.openxmlformats.org/officeDocument/2006/relationships/image" Target="media/image786.png"/><Relationship Id="rId798" Type="http://schemas.openxmlformats.org/officeDocument/2006/relationships/image" Target="media/image787.png"/><Relationship Id="rId799" Type="http://schemas.openxmlformats.org/officeDocument/2006/relationships/image" Target="media/image788.png"/><Relationship Id="rId800" Type="http://schemas.openxmlformats.org/officeDocument/2006/relationships/image" Target="media/image789.png"/><Relationship Id="rId801" Type="http://schemas.openxmlformats.org/officeDocument/2006/relationships/image" Target="media/image790.png"/><Relationship Id="rId802" Type="http://schemas.openxmlformats.org/officeDocument/2006/relationships/image" Target="media/image791.png"/><Relationship Id="rId803" Type="http://schemas.openxmlformats.org/officeDocument/2006/relationships/image" Target="media/image792.png"/><Relationship Id="rId804" Type="http://schemas.openxmlformats.org/officeDocument/2006/relationships/image" Target="media/image793.png"/><Relationship Id="rId805"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08" Type="http://schemas.openxmlformats.org/officeDocument/2006/relationships/image" Target="media/image797.png"/><Relationship Id="rId809" Type="http://schemas.openxmlformats.org/officeDocument/2006/relationships/image" Target="media/image798.png"/><Relationship Id="rId810" Type="http://schemas.openxmlformats.org/officeDocument/2006/relationships/image" Target="media/image799.png"/><Relationship Id="rId811" Type="http://schemas.openxmlformats.org/officeDocument/2006/relationships/image" Target="media/image800.png"/><Relationship Id="rId812" Type="http://schemas.openxmlformats.org/officeDocument/2006/relationships/image" Target="media/image801.png"/><Relationship Id="rId813" Type="http://schemas.openxmlformats.org/officeDocument/2006/relationships/image" Target="media/image802.png"/><Relationship Id="rId814" Type="http://schemas.openxmlformats.org/officeDocument/2006/relationships/image" Target="media/image803.png"/><Relationship Id="rId815" Type="http://schemas.openxmlformats.org/officeDocument/2006/relationships/image" Target="media/image804.png"/><Relationship Id="rId816" Type="http://schemas.openxmlformats.org/officeDocument/2006/relationships/image" Target="media/image805.png"/><Relationship Id="rId817" Type="http://schemas.openxmlformats.org/officeDocument/2006/relationships/image" Target="media/image806.png"/><Relationship Id="rId818" Type="http://schemas.openxmlformats.org/officeDocument/2006/relationships/image" Target="media/image807.png"/><Relationship Id="rId819" Type="http://schemas.openxmlformats.org/officeDocument/2006/relationships/image" Target="media/image808.png"/><Relationship Id="rId820" Type="http://schemas.openxmlformats.org/officeDocument/2006/relationships/image" Target="media/image809.png"/><Relationship Id="rId821" Type="http://schemas.openxmlformats.org/officeDocument/2006/relationships/image" Target="media/image810.png"/><Relationship Id="rId822" Type="http://schemas.openxmlformats.org/officeDocument/2006/relationships/image" Target="media/image811.png"/><Relationship Id="rId823" Type="http://schemas.openxmlformats.org/officeDocument/2006/relationships/image" Target="media/image812.png"/><Relationship Id="rId824" Type="http://schemas.openxmlformats.org/officeDocument/2006/relationships/image" Target="media/image813.png"/><Relationship Id="rId825" Type="http://schemas.openxmlformats.org/officeDocument/2006/relationships/image" Target="media/image814.png"/><Relationship Id="rId826" Type="http://schemas.openxmlformats.org/officeDocument/2006/relationships/image" Target="media/image815.png"/><Relationship Id="rId827" Type="http://schemas.openxmlformats.org/officeDocument/2006/relationships/image" Target="media/image816.png"/><Relationship Id="rId828" Type="http://schemas.openxmlformats.org/officeDocument/2006/relationships/image" Target="media/image817.png"/><Relationship Id="rId829" Type="http://schemas.openxmlformats.org/officeDocument/2006/relationships/image" Target="media/image818.png"/><Relationship Id="rId830" Type="http://schemas.openxmlformats.org/officeDocument/2006/relationships/image" Target="media/image819.png"/><Relationship Id="rId831" Type="http://schemas.openxmlformats.org/officeDocument/2006/relationships/image" Target="media/image820.png"/><Relationship Id="rId832" Type="http://schemas.openxmlformats.org/officeDocument/2006/relationships/image" Target="media/image821.png"/><Relationship Id="rId833" Type="http://schemas.openxmlformats.org/officeDocument/2006/relationships/image" Target="media/image822.png"/><Relationship Id="rId834" Type="http://schemas.openxmlformats.org/officeDocument/2006/relationships/image" Target="media/image823.png"/><Relationship Id="rId835" Type="http://schemas.openxmlformats.org/officeDocument/2006/relationships/image" Target="media/image824.png"/><Relationship Id="rId836" Type="http://schemas.openxmlformats.org/officeDocument/2006/relationships/image" Target="media/image825.png"/><Relationship Id="rId837" Type="http://schemas.openxmlformats.org/officeDocument/2006/relationships/image" Target="media/image826.png"/><Relationship Id="rId838" Type="http://schemas.openxmlformats.org/officeDocument/2006/relationships/image" Target="media/image827.png"/><Relationship Id="rId839" Type="http://schemas.openxmlformats.org/officeDocument/2006/relationships/image" Target="media/image828.png"/><Relationship Id="rId840" Type="http://schemas.openxmlformats.org/officeDocument/2006/relationships/image" Target="media/image829.png"/><Relationship Id="rId841" Type="http://schemas.openxmlformats.org/officeDocument/2006/relationships/image" Target="media/image830.png"/><Relationship Id="rId842" Type="http://schemas.openxmlformats.org/officeDocument/2006/relationships/image" Target="media/image831.png"/><Relationship Id="rId843" Type="http://schemas.openxmlformats.org/officeDocument/2006/relationships/image" Target="media/image832.png"/><Relationship Id="rId844" Type="http://schemas.openxmlformats.org/officeDocument/2006/relationships/image" Target="media/image833.png"/><Relationship Id="rId845" Type="http://schemas.openxmlformats.org/officeDocument/2006/relationships/image" Target="media/image834.png"/><Relationship Id="rId638" Type="http://schemas.openxmlformats.org/officeDocument/2006/relationships/hyperlink" Target="https://www.sec.gov/Archives/edgar/data/1383414/000119312507075646/dex99a.htm" TargetMode="External"/><Relationship Id="rId639" Type="http://schemas.openxmlformats.org/officeDocument/2006/relationships/hyperlink" Target="https://www.sec.gov/Archives/edgar/data/1383414/000156459020024172/pnnt-ex32_163.htm" TargetMode="External"/><Relationship Id="rId640" Type="http://schemas.openxmlformats.org/officeDocument/2006/relationships/hyperlink" Target="https://www.sec.gov/Archives/edgar/data/1383414/000119312508072557/dex99d1.htm" TargetMode="External"/><Relationship Id="rId641" Type="http://schemas.openxmlformats.org/officeDocument/2006/relationships/hyperlink" Target="https://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2022-08-03T15:54:30Z</dcterms:created>
  <dcterms:modified xsi:type="dcterms:W3CDTF">2022-08-03T15:54:30Z</dcterms:modified>
</cp:coreProperties>
</file>