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98425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135255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2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104775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3"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0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0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00" w:type="dxa"/>
            <w:vAlign w:val="bottom"/>
          </w:tcPr>
          <w:p>
            <w:pPr>
              <w:jc w:val="right"/>
              <w:ind w:right="278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00" w:type="dxa"/>
            <w:vAlign w:val="bottom"/>
          </w:tcPr>
          <w:p>
            <w:pPr>
              <w:jc w:val="center"/>
              <w:ind w:right="174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103505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9" w:lineRule="exact"/>
        <w:rPr>
          <w:sz w:val="24"/>
          <w:szCs w:val="24"/>
          <w:color w:val="auto"/>
        </w:rPr>
      </w:pPr>
    </w:p>
    <w:p>
      <w:pPr>
        <w:ind w:right="120"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180"/>
            <w:col w:w="1960"/>
          </w:cols>
          <w:pgMar w:left="320" w:top="230" w:right="33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August 7, 2013 was 66,499,327.</w:t>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360" w:type="dxa"/>
            <w:vAlign w:val="bottom"/>
          </w:tcPr>
          <w:p>
            <w:pPr>
              <w:spacing w:after="0"/>
              <w:rPr>
                <w:sz w:val="20"/>
                <w:szCs w:val="20"/>
                <w:color w:val="auto"/>
              </w:rPr>
            </w:pPr>
          </w:p>
        </w:tc>
      </w:tr>
      <w:tr>
        <w:trPr>
          <w:trHeight w:val="495"/>
        </w:trPr>
        <w:tc>
          <w:tcPr>
            <w:tcW w:w="9820" w:type="dxa"/>
            <w:vAlign w:val="bottom"/>
          </w:tcPr>
          <w:p>
            <w:pPr>
              <w:jc w:val="center"/>
              <w:ind w:left="1350"/>
              <w:spacing w:after="0"/>
              <w:rPr>
                <w:sz w:val="20"/>
                <w:szCs w:val="20"/>
                <w:color w:val="auto"/>
              </w:rPr>
            </w:pPr>
            <w:r>
              <w:rPr>
                <w:rFonts w:ascii="Arial" w:cs="Arial" w:eastAsia="Arial" w:hAnsi="Arial"/>
                <w:sz w:val="18"/>
                <w:szCs w:val="18"/>
                <w:b w:val="1"/>
                <w:bCs w:val="1"/>
                <w:color w:val="auto"/>
              </w:rPr>
              <w:t>PENNANTPARK INVESTMENT CORPORATION</w:t>
            </w:r>
          </w:p>
        </w:tc>
        <w:tc>
          <w:tcPr>
            <w:tcW w:w="1360" w:type="dxa"/>
            <w:vAlign w:val="bottom"/>
          </w:tcPr>
          <w:p>
            <w:pPr>
              <w:spacing w:after="0"/>
              <w:rPr>
                <w:sz w:val="24"/>
                <w:szCs w:val="24"/>
                <w:color w:val="auto"/>
              </w:rPr>
            </w:pPr>
          </w:p>
        </w:tc>
      </w:tr>
      <w:tr>
        <w:trPr>
          <w:trHeight w:val="216"/>
        </w:trPr>
        <w:tc>
          <w:tcPr>
            <w:tcW w:w="982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FORM 10-Q</w:t>
            </w:r>
          </w:p>
        </w:tc>
        <w:tc>
          <w:tcPr>
            <w:tcW w:w="1360" w:type="dxa"/>
            <w:vAlign w:val="bottom"/>
          </w:tcPr>
          <w:p>
            <w:pPr>
              <w:spacing w:after="0"/>
              <w:rPr>
                <w:sz w:val="18"/>
                <w:szCs w:val="18"/>
                <w:color w:val="auto"/>
              </w:rPr>
            </w:pPr>
          </w:p>
        </w:tc>
      </w:tr>
      <w:tr>
        <w:trPr>
          <w:trHeight w:val="216"/>
        </w:trPr>
        <w:tc>
          <w:tcPr>
            <w:tcW w:w="9820" w:type="dxa"/>
            <w:vAlign w:val="bottom"/>
          </w:tcPr>
          <w:p>
            <w:pPr>
              <w:jc w:val="center"/>
              <w:ind w:left="1330"/>
              <w:spacing w:after="0"/>
              <w:rPr>
                <w:sz w:val="20"/>
                <w:szCs w:val="20"/>
                <w:color w:val="auto"/>
              </w:rPr>
            </w:pPr>
            <w:r>
              <w:rPr>
                <w:rFonts w:ascii="Arial" w:cs="Arial" w:eastAsia="Arial" w:hAnsi="Arial"/>
                <w:sz w:val="18"/>
                <w:szCs w:val="18"/>
                <w:b w:val="1"/>
                <w:bCs w:val="1"/>
                <w:color w:val="auto"/>
                <w:w w:val="97"/>
              </w:rPr>
              <w:t>FOR THE QUARTER ENDED JUNE 30, 2013</w:t>
            </w:r>
          </w:p>
        </w:tc>
        <w:tc>
          <w:tcPr>
            <w:tcW w:w="1360" w:type="dxa"/>
            <w:vAlign w:val="bottom"/>
          </w:tcPr>
          <w:p>
            <w:pPr>
              <w:spacing w:after="0"/>
              <w:rPr>
                <w:sz w:val="18"/>
                <w:szCs w:val="18"/>
                <w:color w:val="auto"/>
              </w:rPr>
            </w:pPr>
          </w:p>
        </w:tc>
      </w:tr>
      <w:tr>
        <w:trPr>
          <w:trHeight w:val="234"/>
        </w:trPr>
        <w:tc>
          <w:tcPr>
            <w:tcW w:w="9820" w:type="dxa"/>
            <w:vAlign w:val="bottom"/>
          </w:tcPr>
          <w:p>
            <w:pPr>
              <w:jc w:val="center"/>
              <w:ind w:left="133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r>
      <w:tr>
        <w:trPr>
          <w:trHeight w:val="459"/>
        </w:trPr>
        <w:tc>
          <w:tcPr>
            <w:tcW w:w="9820" w:type="dxa"/>
            <w:vAlign w:val="bottom"/>
          </w:tcPr>
          <w:p>
            <w:pPr>
              <w:ind w:left="30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360" w:type="dxa"/>
            <w:vAlign w:val="bottom"/>
          </w:tcPr>
          <w:p>
            <w:pPr>
              <w:spacing w:after="0"/>
              <w:rPr>
                <w:sz w:val="24"/>
                <w:szCs w:val="24"/>
                <w:color w:val="auto"/>
              </w:rPr>
            </w:pP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360" w:type="dxa"/>
            <w:vAlign w:val="bottom"/>
          </w:tcPr>
          <w:p>
            <w:pPr>
              <w:spacing w:after="0"/>
              <w:rPr>
                <w:sz w:val="24"/>
                <w:szCs w:val="24"/>
                <w:color w:val="auto"/>
              </w:rPr>
            </w:pPr>
          </w:p>
        </w:tc>
      </w:tr>
      <w:tr>
        <w:trPr>
          <w:trHeight w:val="324"/>
        </w:trPr>
        <w:tc>
          <w:tcPr>
            <w:tcW w:w="9820" w:type="dxa"/>
            <w:vAlign w:val="bottom"/>
          </w:tcPr>
          <w:p>
            <w:pPr>
              <w:ind w:left="3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June 30, 2013 (unaudited) and September 30, 2012</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820" w:type="dxa"/>
            <w:vAlign w:val="bottom"/>
          </w:tcPr>
          <w:p>
            <w:pPr>
              <w:ind w:left="3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and nine months ended June 30, 2013 and 2012 (unaudited)</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820" w:type="dxa"/>
            <w:vAlign w:val="bottom"/>
          </w:tcPr>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Net Assets for the nine months ended June 30, 2013 and 2012 (unaudited)</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820" w:type="dxa"/>
            <w:vAlign w:val="bottom"/>
          </w:tcPr>
          <w:p>
            <w:pPr>
              <w:ind w:left="3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nine months ended June 30, 2013 and 2012 (unaudited)</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820" w:type="dxa"/>
            <w:vAlign w:val="bottom"/>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June 30, 2013 (unaudited) and September 30, 2012</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820" w:type="dxa"/>
            <w:vAlign w:val="bottom"/>
          </w:tcPr>
          <w:p>
            <w:pPr>
              <w:ind w:left="3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Notes to Consolidated Financial Statements (unaudited)</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820" w:type="dxa"/>
            <w:vAlign w:val="bottom"/>
          </w:tcPr>
          <w:p>
            <w:pPr>
              <w:ind w:left="3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Report of Independent Registered Public Accounting Firm</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3. Quantitative and Qualitative Disclosures About Market Risk</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4. Controls and Procedures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20" w:type="dxa"/>
            <w:vAlign w:val="bottom"/>
          </w:tcPr>
          <w:p>
            <w:pPr>
              <w:ind w:left="394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 OTHER INFORMATION</w:t>
              </w:r>
            </w:hyperlink>
          </w:p>
        </w:tc>
        <w:tc>
          <w:tcPr>
            <w:tcW w:w="1360" w:type="dxa"/>
            <w:vAlign w:val="bottom"/>
          </w:tcPr>
          <w:p>
            <w:pPr>
              <w:spacing w:after="0"/>
              <w:rPr>
                <w:sz w:val="24"/>
                <w:szCs w:val="24"/>
                <w:color w:val="auto"/>
              </w:rPr>
            </w:pP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1. 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1A. Risk Factors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2. Unregistered Sales of Equity Securities and Use of Proceeds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3. Defaults Upon Senior Securities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4. Mine Safety Disclosures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5. Other Information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Item 6. Exhibits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20" w:type="dxa"/>
            <w:vAlign w:val="bottom"/>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SIGNATURES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bl>
    <w:p>
      <w:pPr>
        <w:jc w:val="right"/>
        <w:spacing w:after="0"/>
        <w:rPr>
          <w:sz w:val="20"/>
          <w:szCs w:val="20"/>
          <w:color w:val="auto"/>
        </w:rPr>
        <w:sectPr>
          <w:pgSz w:w="11900" w:h="16838" w:orient="portrait"/>
          <w:cols w:equalWidth="0" w:num="1">
            <w:col w:w="11180"/>
          </w:cols>
          <w:pgMar w:left="320" w:top="459"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“RIC” refers to a regulated investment company under the Code. References to our portfolio or investments include investments we make through our SBIC Funds and other consolidated subsidiaries.</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30, 2013</w:t>
            </w:r>
          </w:p>
        </w:tc>
        <w:tc>
          <w:tcPr>
            <w:tcW w:w="80" w:type="dxa"/>
            <w:vAlign w:val="bottom"/>
          </w:tcPr>
          <w:p>
            <w:pPr>
              <w:spacing w:after="0"/>
              <w:rPr>
                <w:sz w:val="14"/>
                <w:szCs w:val="14"/>
                <w:color w:val="auto"/>
              </w:rPr>
            </w:pPr>
          </w:p>
        </w:tc>
        <w:tc>
          <w:tcPr>
            <w:tcW w:w="13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0"/>
              </w:rPr>
              <w:t>September 30, 2012</w:t>
            </w:r>
          </w:p>
        </w:tc>
        <w:tc>
          <w:tcPr>
            <w:tcW w:w="0" w:type="dxa"/>
            <w:vAlign w:val="bottom"/>
          </w:tcPr>
          <w:p>
            <w:pPr>
              <w:spacing w:after="0"/>
              <w:rPr>
                <w:sz w:val="1"/>
                <w:szCs w:val="1"/>
                <w:color w:val="auto"/>
              </w:rPr>
            </w:pPr>
          </w:p>
        </w:tc>
      </w:tr>
      <w:tr>
        <w:trPr>
          <w:trHeight w:val="171"/>
        </w:trPr>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919,743,390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871,892,745</w:t>
            </w:r>
          </w:p>
        </w:tc>
        <w:tc>
          <w:tcPr>
            <w:tcW w:w="0" w:type="dxa"/>
            <w:vAlign w:val="bottom"/>
          </w:tcPr>
          <w:p>
            <w:pPr>
              <w:spacing w:after="0"/>
              <w:rPr>
                <w:sz w:val="1"/>
                <w:szCs w:val="1"/>
                <w:color w:val="auto"/>
              </w:rPr>
            </w:pPr>
          </w:p>
        </w:tc>
      </w:tr>
      <w:tr>
        <w:trPr>
          <w:trHeight w:val="244"/>
        </w:trPr>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(cost—$888,478,404 and $871,867,953, respectively)</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00" w:type="dxa"/>
            <w:vAlign w:val="bottom"/>
          </w:tcPr>
          <w:p>
            <w:pPr>
              <w:ind w:left="360"/>
              <w:spacing w:after="0" w:line="201" w:lineRule="exact"/>
              <w:rPr>
                <w:sz w:val="20"/>
                <w:szCs w:val="20"/>
                <w:color w:val="auto"/>
              </w:rPr>
            </w:pPr>
            <w:r>
              <w:rPr>
                <w:rFonts w:ascii="Arial" w:cs="Arial" w:eastAsia="Arial" w:hAnsi="Arial"/>
                <w:sz w:val="18"/>
                <w:szCs w:val="18"/>
                <w:color w:val="auto"/>
              </w:rPr>
              <w:t>Non-controlled, affiliated investments, at fair 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109,229,772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80,955,257</w:t>
            </w:r>
          </w:p>
        </w:tc>
        <w:tc>
          <w:tcPr>
            <w:tcW w:w="0" w:type="dxa"/>
            <w:vAlign w:val="bottom"/>
          </w:tcPr>
          <w:p>
            <w:pPr>
              <w:spacing w:after="0"/>
              <w:rPr>
                <w:sz w:val="1"/>
                <w:szCs w:val="1"/>
                <w:color w:val="auto"/>
              </w:rPr>
            </w:pPr>
          </w:p>
        </w:tc>
      </w:tr>
      <w:tr>
        <w:trPr>
          <w:trHeight w:val="237"/>
        </w:trPr>
        <w:tc>
          <w:tcPr>
            <w:tcW w:w="8600" w:type="dxa"/>
            <w:vAlign w:val="bottom"/>
          </w:tcPr>
          <w:p>
            <w:pPr>
              <w:ind w:left="540"/>
              <w:spacing w:after="0"/>
              <w:rPr>
                <w:sz w:val="20"/>
                <w:szCs w:val="20"/>
                <w:color w:val="auto"/>
              </w:rPr>
            </w:pPr>
            <w:r>
              <w:rPr>
                <w:rFonts w:ascii="Arial" w:cs="Arial" w:eastAsia="Arial" w:hAnsi="Arial"/>
                <w:sz w:val="18"/>
                <w:szCs w:val="18"/>
                <w:color w:val="auto"/>
              </w:rPr>
              <w:t>(cost—$127,568,788 and $72,576,858,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Controlled, affiliated investments, at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37,291,710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37,631,708</w:t>
            </w:r>
          </w:p>
        </w:tc>
        <w:tc>
          <w:tcPr>
            <w:tcW w:w="0" w:type="dxa"/>
            <w:vAlign w:val="bottom"/>
          </w:tcPr>
          <w:p>
            <w:pPr>
              <w:spacing w:after="0"/>
              <w:rPr>
                <w:sz w:val="1"/>
                <w:szCs w:val="1"/>
                <w:color w:val="auto"/>
              </w:rPr>
            </w:pPr>
          </w:p>
        </w:tc>
      </w:tr>
      <w:tr>
        <w:trPr>
          <w:trHeight w:val="244"/>
        </w:trPr>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(cost—$63,124,956 and $64,167,051, respectively)</w:t>
            </w: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Total of investments, at fair value (cost—$1,079,172,148 and $1,008,611,862,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1,066,264,872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16,322,503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7,559,453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13,175,682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14,928,862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6,231,236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5,999,506</w:t>
            </w:r>
          </w:p>
        </w:tc>
        <w:tc>
          <w:tcPr>
            <w:tcW w:w="0" w:type="dxa"/>
            <w:vAlign w:val="bottom"/>
          </w:tcPr>
          <w:p>
            <w:pPr>
              <w:spacing w:after="0"/>
              <w:rPr>
                <w:sz w:val="1"/>
                <w:szCs w:val="1"/>
                <w:color w:val="auto"/>
              </w:rPr>
            </w:pPr>
          </w:p>
        </w:tc>
      </w:tr>
      <w:tr>
        <w:trPr>
          <w:trHeight w:val="230"/>
        </w:trPr>
        <w:tc>
          <w:tcPr>
            <w:tcW w:w="860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1,101,994,293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1,018,967,531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18,606,033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15,824,061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15,932,290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Unfunded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22,881,667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26,935,270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(cost—$114,500,000 and $145,000,000, respectively) (See Notes 5 and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144,452,500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71,250,000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5,412,460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4,791,913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4,413,710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4,206,989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3,194,151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854,725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2,701,325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2,185,026</w:t>
            </w:r>
          </w:p>
        </w:tc>
        <w:tc>
          <w:tcPr>
            <w:tcW w:w="0" w:type="dxa"/>
            <w:vAlign w:val="bottom"/>
          </w:tcPr>
          <w:p>
            <w:pPr>
              <w:spacing w:after="0"/>
              <w:rPr>
                <w:sz w:val="1"/>
                <w:szCs w:val="1"/>
                <w:color w:val="auto"/>
              </w:rPr>
            </w:pPr>
          </w:p>
        </w:tc>
      </w:tr>
      <w:tr>
        <w:trPr>
          <w:trHeight w:val="230"/>
        </w:trPr>
        <w:tc>
          <w:tcPr>
            <w:tcW w:w="860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408,891,636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349,250,484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tcPr>
          <w:p>
            <w:pPr>
              <w:spacing w:after="0" w:line="201" w:lineRule="exact"/>
              <w:rPr>
                <w:sz w:val="20"/>
                <w:szCs w:val="20"/>
                <w:color w:val="auto"/>
              </w:rPr>
            </w:pPr>
            <w:r>
              <w:rPr>
                <w:rFonts w:ascii="Arial" w:cs="Arial" w:eastAsia="Arial" w:hAnsi="Arial"/>
                <w:sz w:val="18"/>
                <w:szCs w:val="18"/>
                <w:color w:val="auto"/>
              </w:rPr>
              <w:t>Common stock, 66,450,117 and 65,514,503 shares issued and outstanding, respectively.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00" w:type="dxa"/>
            <w:vAlign w:val="bottom"/>
          </w:tcPr>
          <w:p>
            <w:pPr>
              <w:ind w:left="180"/>
              <w:spacing w:after="0"/>
              <w:rPr>
                <w:sz w:val="20"/>
                <w:szCs w:val="20"/>
                <w:color w:val="auto"/>
              </w:rPr>
            </w:pPr>
            <w:r>
              <w:rPr>
                <w:rFonts w:ascii="Arial" w:cs="Arial" w:eastAsia="Arial" w:hAnsi="Arial"/>
                <w:sz w:val="18"/>
                <w:szCs w:val="18"/>
                <w:color w:val="auto"/>
              </w:rPr>
              <w:t>Par value $0.001 per share and 100,000,000 shares authorized.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66,450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754,568,763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744,704,825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(Distributions in excess of) Undistributed net investment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(3,075,320)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2,804,397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(45,549,961)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(12,907,275)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30"/>
        </w:trPr>
        <w:tc>
          <w:tcPr>
            <w:tcW w:w="8600" w:type="dxa"/>
            <w:vAlign w:val="bottom"/>
          </w:tcPr>
          <w:p>
            <w:pPr>
              <w:ind w:left="72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693,102,657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669,717,047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1,101,994,293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1,018,967,531</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w w:val="99"/>
              </w:rPr>
              <w:t>Three months ended 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26,693,069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25,860,359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80,520,256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74,190,105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3,941,167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2,628,858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9,184,121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5,584,060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2,140,854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458,901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4,471,618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3,336,040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33,724,673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29,385,618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97,739,835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82,586,035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Base management fee (See Note 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5,412,461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4,493,917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15,869,172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12,715,349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4,413,711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3,892,819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12,518,209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10,016,789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Interest and expenses on debt (See Note 10)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4,212,450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3,206,771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11,292,224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8,318,513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3,485,607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2,000,919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15,717,340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13,461,325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45,166,131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36,264,319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Tax expense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353,697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issuance costs (See Note 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44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16,069,840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13,815,022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47,841,235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42,259,335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17,654,833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15,570,596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49,898,600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40,326,700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b w:val="1"/>
                <w:bCs w:val="1"/>
                <w:color w:val="auto"/>
              </w:rPr>
              <w:t>Realized and unrealized (loss) gain on investments and debt: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15,682,708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14,723,076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(10,504,926)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(23,484,170)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(16,576,404)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8,805,377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13,958,935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Controlled and non-controlled, affiliated investments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3,504,661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2,799,956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(3,580,500)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3,069,531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depreciation (appreciation) (See Notes 5 and 10)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(1,186,875)</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(19,552,009)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(13,597,948)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4,677,377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15,841,591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 from investments and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(3,869,301)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(12,150,864)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19,400,453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13,785,532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3,419,732</w:t>
            </w:r>
          </w:p>
        </w:tc>
        <w:tc>
          <w:tcPr>
            <w:tcW w:w="18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69,299,053</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45,663,365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increase in net assets resulting from operations per common share (See Note 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8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rPr>
              <w:t>49,898,600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40,326,700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(loss) on investments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14,723,076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(10,504,926)</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Net change in unrealized appreciation on investments</w:t>
            </w: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rPr>
              <w:t>5,224,877</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17,028,466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unrealized appreciation on debt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(547,500)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(1,186,875)</w:t>
            </w: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69,299,053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45,663,365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w w:val="97"/>
              </w:rPr>
              <w:t>(55,778,317)</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(44,313,916)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Public offering</w:t>
            </w: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rPr>
              <w:t>7,574,000</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109,192,500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(265,090)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(3,979,000)</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Reinvestment of dividends</w:t>
            </w: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rPr>
              <w:t>2,555,964</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3,441,364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increase from capital transactions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9,864,874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108,654,864</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23,385,610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110,004,313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669,717,047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462,657,196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of period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3"/>
              </w:rPr>
              <w:t>693,102,657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572,661,509</w:t>
            </w:r>
          </w:p>
        </w:tc>
        <w:tc>
          <w:tcPr>
            <w:tcW w:w="0" w:type="dxa"/>
            <w:vAlign w:val="bottom"/>
          </w:tcPr>
          <w:p>
            <w:pPr>
              <w:spacing w:after="0"/>
              <w:rPr>
                <w:sz w:val="1"/>
                <w:szCs w:val="1"/>
                <w:color w:val="auto"/>
              </w:rPr>
            </w:pPr>
          </w:p>
        </w:tc>
      </w:tr>
      <w:tr>
        <w:trPr>
          <w:trHeight w:val="20"/>
        </w:trPr>
        <w:tc>
          <w:tcPr>
            <w:tcW w:w="8640" w:type="dxa"/>
            <w:vAlign w:val="bottom"/>
            <w:vMerge w:val="restart"/>
          </w:tcPr>
          <w:p>
            <w:pPr>
              <w:ind w:left="360"/>
              <w:spacing w:after="0"/>
              <w:rPr>
                <w:sz w:val="20"/>
                <w:szCs w:val="20"/>
                <w:color w:val="auto"/>
              </w:rPr>
            </w:pPr>
            <w:r>
              <w:rPr>
                <w:rFonts w:ascii="Arial" w:cs="Arial" w:eastAsia="Arial" w:hAnsi="Arial"/>
                <w:sz w:val="18"/>
                <w:szCs w:val="18"/>
                <w:color w:val="auto"/>
              </w:rPr>
              <w:t>(Distributions in excess of) Undistributed net investment income, at period end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(3,075,320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Shares issued from public offering</w:t>
            </w: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from reinvestment of dividends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235,614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327,558</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8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69,299,053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45,663,365</w:t>
            </w:r>
          </w:p>
        </w:tc>
      </w:tr>
      <w:tr>
        <w:trPr>
          <w:trHeight w:val="202"/>
        </w:trPr>
        <w:tc>
          <w:tcPr>
            <w:tcW w:w="8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Adjustments to reconcile net increase in net assets resulting from operations to net cash provided (used)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by operating activities: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(5,224,877)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(17,028,466)</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change in unrealized appreciation on debt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547,500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1,186,875</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(14,723,076)</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10,504,926</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(4,245,224)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(8,093,419)</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(317,161,225)</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(243,803,748)</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Payment-in-kind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(9,651,825)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(7,899,606)</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271,183,021</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173,807,481</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1,753,180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(486,923)</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Increase in receivables for investments sold</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(23,865,806)</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(247,289)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201,119</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Increase in payables for investments purchased</w:t>
            </w: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15,932,290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11,427,501</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unfunded investments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(19,242,446)</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Increase in interest payable on debt</w:t>
            </w: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2,339,426</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1,643,933</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620,547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484,606</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206,721</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118,853</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accrued other expenses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516,299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1,105,689</w:t>
            </w:r>
          </w:p>
        </w:tc>
      </w:tr>
      <w:tr>
        <w:trPr>
          <w:trHeight w:val="230"/>
        </w:trPr>
        <w:tc>
          <w:tcPr>
            <w:tcW w:w="8480" w:type="dxa"/>
            <w:vAlign w:val="bottom"/>
          </w:tcPr>
          <w:p>
            <w:pPr>
              <w:ind w:left="1080"/>
              <w:spacing w:after="0"/>
              <w:rPr>
                <w:sz w:val="20"/>
                <w:szCs w:val="20"/>
                <w:color w:val="auto"/>
              </w:rPr>
            </w:pPr>
            <w:r>
              <w:rPr>
                <w:rFonts w:ascii="Arial" w:cs="Arial" w:eastAsia="Arial" w:hAnsi="Arial"/>
                <w:sz w:val="18"/>
                <w:szCs w:val="18"/>
                <w:color w:val="auto"/>
              </w:rPr>
              <w:t>Net cash provided (used)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11,144,521</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(74,276,066)</w:t>
            </w:r>
          </w:p>
        </w:tc>
        <w:tc>
          <w:tcPr>
            <w:tcW w:w="10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109,192,500</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(265,090)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(3,979,000)</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Distributions paid, net of dividends reinvested</w:t>
            </w: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(50,440,381)</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(37,425,938)</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2025 Notes issuance (See Note 10)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71,250,000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Borrowings under Credit Facility (See Note 10)</w:t>
            </w: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850,300,000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805,400,000</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Repayments under Credit Facility (See Note 10)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(880,800,000)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(861,200,000)</w:t>
            </w:r>
          </w:p>
        </w:tc>
      </w:tr>
      <w:tr>
        <w:trPr>
          <w:trHeight w:val="230"/>
        </w:trPr>
        <w:tc>
          <w:tcPr>
            <w:tcW w:w="8480" w:type="dxa"/>
            <w:vAlign w:val="bottom"/>
          </w:tcPr>
          <w:p>
            <w:pPr>
              <w:ind w:left="1080"/>
              <w:spacing w:after="0"/>
              <w:rPr>
                <w:sz w:val="20"/>
                <w:szCs w:val="20"/>
                <w:color w:val="auto"/>
              </w:rPr>
            </w:pPr>
            <w:r>
              <w:rPr>
                <w:rFonts w:ascii="Arial" w:cs="Arial" w:eastAsia="Arial" w:hAnsi="Arial"/>
                <w:sz w:val="18"/>
                <w:szCs w:val="18"/>
                <w:color w:val="auto"/>
              </w:rPr>
              <w:t>Net cash (used)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(2,381,471)</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11,987,562</w:t>
            </w:r>
          </w:p>
        </w:tc>
        <w:tc>
          <w:tcPr>
            <w:tcW w:w="10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8,763,050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(62,288,504)</w:t>
            </w: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7,559,453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71,604,519</w:t>
            </w:r>
          </w:p>
        </w:tc>
      </w:tr>
      <w:tr>
        <w:trPr>
          <w:trHeight w:val="27"/>
        </w:trPr>
        <w:tc>
          <w:tcPr>
            <w:tcW w:w="8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16,322,503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9,316,015</w:t>
            </w: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8,622,437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5,926,880</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360"/>
              <w:spacing w:after="0"/>
              <w:rPr>
                <w:sz w:val="20"/>
                <w:szCs w:val="20"/>
                <w:color w:val="auto"/>
              </w:rPr>
            </w:pPr>
            <w:r>
              <w:rPr>
                <w:rFonts w:ascii="Arial" w:cs="Arial" w:eastAsia="Arial" w:hAnsi="Arial"/>
                <w:sz w:val="18"/>
                <w:szCs w:val="18"/>
                <w:color w:val="auto"/>
              </w:rPr>
              <w:t>Taxes paid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reinvested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3,441,364</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360"/>
              <w:spacing w:after="0"/>
              <w:rPr>
                <w:sz w:val="20"/>
                <w:szCs w:val="20"/>
                <w:color w:val="auto"/>
              </w:rPr>
            </w:pPr>
            <w:r>
              <w:rPr>
                <w:rFonts w:ascii="Arial" w:cs="Arial" w:eastAsia="Arial" w:hAnsi="Arial"/>
                <w:sz w:val="18"/>
                <w:szCs w:val="18"/>
                <w:color w:val="auto"/>
              </w:rPr>
              <w:t>Conversions and non-cash exchanges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58,615,748</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center"/>
              <w:ind w:left="28"/>
              <w:spacing w:after="0"/>
              <w:rPr>
                <w:sz w:val="20"/>
                <w:szCs w:val="20"/>
                <w:color w:val="auto"/>
              </w:rPr>
            </w:pPr>
            <w:r>
              <w:rPr>
                <w:rFonts w:ascii="Arial" w:cs="Arial" w:eastAsia="Arial" w:hAnsi="Arial"/>
                <w:sz w:val="14"/>
                <w:szCs w:val="14"/>
                <w:b w:val="1"/>
                <w:bCs w:val="1"/>
                <w:color w:val="auto"/>
                <w:w w:val="89"/>
              </w:rPr>
              <w:t>Basis Point</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Current</w:t>
            </w:r>
          </w:p>
        </w:tc>
        <w:tc>
          <w:tcPr>
            <w:tcW w:w="8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Spread</w:t>
            </w:r>
          </w:p>
        </w:tc>
        <w:tc>
          <w:tcPr>
            <w:tcW w:w="280" w:type="dxa"/>
            <w:vAlign w:val="bottom"/>
          </w:tcPr>
          <w:p>
            <w:pPr>
              <w:spacing w:after="0"/>
              <w:rPr>
                <w:sz w:val="12"/>
                <w:szCs w:val="12"/>
                <w:color w:val="auto"/>
              </w:rPr>
            </w:pPr>
          </w:p>
        </w:tc>
        <w:tc>
          <w:tcPr>
            <w:tcW w:w="10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Par /</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40" w:type="dxa"/>
            <w:vAlign w:val="bottom"/>
            <w:vMerge w:val="continue"/>
          </w:tcPr>
          <w:p>
            <w:pPr>
              <w:spacing w:after="0"/>
              <w:rPr>
                <w:sz w:val="12"/>
                <w:szCs w:val="12"/>
                <w:color w:val="auto"/>
              </w:rPr>
            </w:pPr>
          </w:p>
        </w:tc>
        <w:tc>
          <w:tcPr>
            <w:tcW w:w="8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8"/>
              </w:rPr>
              <w:t>Above</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Coupon</w:t>
            </w:r>
          </w:p>
        </w:tc>
        <w:tc>
          <w:tcPr>
            <w:tcW w:w="82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28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xml:space="preserve">Investments in Non-Controlled, Non-Affiliated Portfolio Companies — 132.7% </w:t>
            </w:r>
            <w:r>
              <w:rPr>
                <w:rFonts w:ascii="Arial" w:cs="Arial" w:eastAsia="Arial" w:hAnsi="Arial"/>
                <w:sz w:val="12"/>
                <w:szCs w:val="12"/>
                <w:b w:val="1"/>
                <w:bCs w:val="1"/>
                <w:color w:val="auto"/>
              </w:rPr>
              <w:t>(1),(2)</w:t>
            </w:r>
          </w:p>
        </w:tc>
        <w:tc>
          <w:tcPr>
            <w:tcW w:w="10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Debt—43.9%</w:t>
            </w: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06/21/2017</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Communications</w:t>
            </w:r>
          </w:p>
        </w:tc>
        <w:tc>
          <w:tcPr>
            <w:tcW w:w="10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11.25%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L+975</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95"/>
              </w:rPr>
              <w:t>(8)</w:t>
            </w:r>
          </w:p>
        </w:tc>
        <w:tc>
          <w:tcPr>
            <w:tcW w:w="10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24,065,822</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  23,110,849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24,186,151</w:t>
            </w: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12/21/2016</w:t>
            </w:r>
          </w:p>
        </w:tc>
        <w:tc>
          <w:tcPr>
            <w:tcW w:w="1560" w:type="dxa"/>
            <w:vAlign w:val="bottom"/>
          </w:tcPr>
          <w:p>
            <w:pPr>
              <w:jc w:val="center"/>
              <w:spacing w:after="0" w:line="130" w:lineRule="exact"/>
              <w:rPr>
                <w:sz w:val="20"/>
                <w:szCs w:val="20"/>
                <w:color w:val="auto"/>
              </w:rPr>
            </w:pPr>
            <w:r>
              <w:rPr>
                <w:rFonts w:ascii="Arial" w:cs="Arial" w:eastAsia="Arial" w:hAnsi="Arial"/>
                <w:sz w:val="14"/>
                <w:szCs w:val="14"/>
                <w:color w:val="auto"/>
                <w:w w:val="94"/>
              </w:rPr>
              <w:t>Retail</w:t>
            </w:r>
          </w:p>
        </w:tc>
        <w:tc>
          <w:tcPr>
            <w:tcW w:w="10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12.50%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L+1,225</w:t>
            </w:r>
          </w:p>
        </w:tc>
        <w:tc>
          <w:tcPr>
            <w:tcW w:w="280" w:type="dxa"/>
            <w:vAlign w:val="bottom"/>
          </w:tcPr>
          <w:p>
            <w:pPr>
              <w:spacing w:after="0"/>
              <w:rPr>
                <w:sz w:val="11"/>
                <w:szCs w:val="11"/>
                <w:color w:val="auto"/>
              </w:rPr>
            </w:pPr>
          </w:p>
        </w:tc>
        <w:tc>
          <w:tcPr>
            <w:tcW w:w="104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14,494,451</w:t>
            </w:r>
          </w:p>
        </w:tc>
        <w:tc>
          <w:tcPr>
            <w:tcW w:w="10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14,243,671</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14,560,104</w:t>
            </w:r>
          </w:p>
        </w:tc>
        <w:tc>
          <w:tcPr>
            <w:tcW w:w="0" w:type="dxa"/>
            <w:vAlign w:val="bottom"/>
          </w:tcPr>
          <w:p>
            <w:pPr>
              <w:spacing w:after="0"/>
              <w:rPr>
                <w:sz w:val="1"/>
                <w:szCs w:val="1"/>
                <w:color w:val="auto"/>
              </w:rPr>
            </w:pPr>
          </w:p>
        </w:tc>
      </w:tr>
      <w:tr>
        <w:trPr>
          <w:trHeight w:val="181"/>
        </w:trPr>
        <w:tc>
          <w:tcPr>
            <w:tcW w:w="3440" w:type="dxa"/>
            <w:vAlign w:val="bottom"/>
          </w:tcPr>
          <w:p>
            <w:pPr>
              <w:ind w:left="160"/>
              <w:spacing w:after="0"/>
              <w:rPr>
                <w:sz w:val="20"/>
                <w:szCs w:val="20"/>
                <w:color w:val="auto"/>
              </w:rPr>
            </w:pPr>
            <w:r>
              <w:rPr>
                <w:rFonts w:ascii="Arial" w:cs="Arial" w:eastAsia="Arial" w:hAnsi="Arial"/>
                <w:sz w:val="14"/>
                <w:szCs w:val="14"/>
                <w:color w:val="auto"/>
              </w:rPr>
              <w:t>(a/k/a Z Wireless Holdings, Inc.)</w:t>
            </w: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(PIK 1.50%)</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(5),(10)</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10/01/2016</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Cargo Transport</w:t>
            </w:r>
          </w:p>
        </w:tc>
        <w:tc>
          <w:tcPr>
            <w:tcW w:w="10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11.63%</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7,500,000</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7,377,482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7,575,000</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 xml:space="preserve">Columbus International, Inc. </w:t>
            </w:r>
            <w:r>
              <w:rPr>
                <w:rFonts w:ascii="Arial" w:cs="Arial" w:eastAsia="Arial" w:hAnsi="Arial"/>
                <w:sz w:val="12"/>
                <w:szCs w:val="12"/>
                <w:color w:val="auto"/>
              </w:rPr>
              <w:t>(5), (10)</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11/20/2014</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3"/>
              </w:rPr>
              <w:t>Communications</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11.50%</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10,000,000</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10,000,000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10,775,000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Good Sam Enterprises, LLC </w:t>
            </w:r>
            <w:r>
              <w:rPr>
                <w:rFonts w:ascii="Arial" w:cs="Arial" w:eastAsia="Arial" w:hAnsi="Arial"/>
                <w:sz w:val="12"/>
                <w:szCs w:val="12"/>
                <w:color w:val="auto"/>
              </w:rPr>
              <w:t>(5)</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12/01/2016</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10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11.50%</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12,000,000</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11,825,237</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12,780,000</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03/30/2017</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11.50%</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11,500,000</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11,316,293</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12,592,500</w:t>
            </w: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InfuSystem Holdings, Inc.</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11/30/2016</w:t>
            </w:r>
          </w:p>
        </w:tc>
        <w:tc>
          <w:tcPr>
            <w:tcW w:w="1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10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12.13%</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P+625</w:t>
            </w:r>
          </w:p>
        </w:tc>
        <w:tc>
          <w:tcPr>
            <w:tcW w:w="280" w:type="dxa"/>
            <w:vAlign w:val="bottom"/>
            <w:shd w:val="clear" w:color="auto" w:fill="CCEEFF"/>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11,600,000</w:t>
            </w:r>
          </w:p>
        </w:tc>
        <w:tc>
          <w:tcPr>
            <w:tcW w:w="10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11,600,000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11,656,976</w:t>
            </w: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Instant Web, Inc.</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08/07/2014</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14.50%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L+950</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w w:val="95"/>
              </w:rPr>
              <w:t>(8)</w:t>
            </w:r>
          </w:p>
        </w:tc>
        <w:tc>
          <w:tcPr>
            <w:tcW w:w="10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23,996,274</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23,817,086</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22,556,497</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08/07/2014</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10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3.57%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L+338</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3,000,000</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2,164,087</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2,107,500</w:t>
            </w: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10/04/2016</w:t>
            </w:r>
          </w:p>
        </w:tc>
        <w:tc>
          <w:tcPr>
            <w:tcW w:w="156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10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11.50%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L+950</w:t>
            </w:r>
          </w:p>
        </w:tc>
        <w:tc>
          <w:tcPr>
            <w:tcW w:w="280" w:type="dxa"/>
            <w:vAlign w:val="bottom"/>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18,168,750</w:t>
            </w:r>
          </w:p>
        </w:tc>
        <w:tc>
          <w:tcPr>
            <w:tcW w:w="10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17,865,424</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18,168,750</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Jacuzzi Brands Corp.</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02/07/2014</w:t>
            </w:r>
          </w:p>
        </w:tc>
        <w:tc>
          <w:tcPr>
            <w:tcW w:w="1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Home and Office</w:t>
            </w:r>
          </w:p>
        </w:tc>
        <w:tc>
          <w:tcPr>
            <w:tcW w:w="10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2.45%</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L+225</w:t>
            </w: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9,543,919</w:t>
            </w:r>
          </w:p>
        </w:tc>
        <w:tc>
          <w:tcPr>
            <w:tcW w:w="10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9,543,919</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7,873,733</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Furnishings,</w:t>
            </w: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Housewares and</w:t>
            </w: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Products</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K2 Pure Solutions NoCal, L.P.</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09/10/2015</w:t>
            </w:r>
          </w:p>
        </w:tc>
        <w:tc>
          <w:tcPr>
            <w:tcW w:w="1560" w:type="dxa"/>
            <w:vAlign w:val="bottom"/>
          </w:tcPr>
          <w:p>
            <w:pPr>
              <w:jc w:val="center"/>
              <w:spacing w:after="0" w:line="130" w:lineRule="exact"/>
              <w:rPr>
                <w:sz w:val="20"/>
                <w:szCs w:val="20"/>
                <w:color w:val="auto"/>
              </w:rPr>
            </w:pPr>
            <w:r>
              <w:rPr>
                <w:rFonts w:ascii="Arial" w:cs="Arial" w:eastAsia="Arial" w:hAnsi="Arial"/>
                <w:sz w:val="14"/>
                <w:szCs w:val="14"/>
                <w:color w:val="auto"/>
                <w:w w:val="92"/>
              </w:rPr>
              <w:t>Chemicals, Plastics</w:t>
            </w:r>
          </w:p>
        </w:tc>
        <w:tc>
          <w:tcPr>
            <w:tcW w:w="10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10.50%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P+725</w:t>
            </w:r>
          </w:p>
        </w:tc>
        <w:tc>
          <w:tcPr>
            <w:tcW w:w="280" w:type="dxa"/>
            <w:vAlign w:val="bottom"/>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21,389,871</w:t>
            </w:r>
          </w:p>
        </w:tc>
        <w:tc>
          <w:tcPr>
            <w:tcW w:w="10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20,852,000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21,069,023</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and Rubber</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Penton Media, Inc.</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08/01/2014</w:t>
            </w:r>
          </w:p>
        </w:tc>
        <w:tc>
          <w:tcPr>
            <w:tcW w:w="1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Other Media</w:t>
            </w:r>
          </w:p>
        </w:tc>
        <w:tc>
          <w:tcPr>
            <w:tcW w:w="10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L+500</w:t>
            </w:r>
          </w:p>
        </w:tc>
        <w:tc>
          <w:tcPr>
            <w:tcW w:w="280" w:type="dxa"/>
            <w:vAlign w:val="bottom"/>
            <w:shd w:val="clear" w:color="auto" w:fill="CCEEFF"/>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37,856,190</w:t>
            </w:r>
          </w:p>
        </w:tc>
        <w:tc>
          <w:tcPr>
            <w:tcW w:w="10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35,525,124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36,058,021</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(PIK 2.00%)</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Pre-Paid Legal Services, Inc. – Tranche B</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12/30/2016</w:t>
            </w:r>
          </w:p>
        </w:tc>
        <w:tc>
          <w:tcPr>
            <w:tcW w:w="1560" w:type="dxa"/>
            <w:vAlign w:val="bottom"/>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10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11.50%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P+825</w:t>
            </w:r>
          </w:p>
        </w:tc>
        <w:tc>
          <w:tcPr>
            <w:tcW w:w="280" w:type="dxa"/>
            <w:vAlign w:val="bottom"/>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40,000,000</w:t>
            </w:r>
          </w:p>
        </w:tc>
        <w:tc>
          <w:tcPr>
            <w:tcW w:w="10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38,930,746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40,000,000</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Miscellaneous Services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Prince Mineral Holding Corp. </w:t>
            </w:r>
            <w:r>
              <w:rPr>
                <w:rFonts w:ascii="Arial" w:cs="Arial" w:eastAsia="Arial" w:hAnsi="Arial"/>
                <w:sz w:val="12"/>
                <w:szCs w:val="12"/>
                <w:color w:val="auto"/>
              </w:rPr>
              <w:t>(5)</w:t>
            </w:r>
          </w:p>
        </w:tc>
        <w:tc>
          <w:tcPr>
            <w:tcW w:w="256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12/16/2019   Mining, Steel, Iron and</w:t>
            </w:r>
          </w:p>
        </w:tc>
        <w:tc>
          <w:tcPr>
            <w:tcW w:w="10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11.50%</w:t>
            </w:r>
          </w:p>
        </w:tc>
        <w:tc>
          <w:tcPr>
            <w:tcW w:w="82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14,250,000</w:t>
            </w:r>
          </w:p>
        </w:tc>
        <w:tc>
          <w:tcPr>
            <w:tcW w:w="10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14,091,906</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15,247,500</w:t>
            </w: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Non-Precious Metals</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04/30/2018</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L+1,050</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w w:val="95"/>
              </w:rPr>
              <w:t>(8)</w:t>
            </w:r>
          </w:p>
        </w:tc>
        <w:tc>
          <w:tcPr>
            <w:tcW w:w="10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34,708,300</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34,200,105</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34,708,300</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07/06/2017</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10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12.50%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L+1,100</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95"/>
              </w:rPr>
              <w:t>(8)</w:t>
            </w:r>
          </w:p>
        </w:tc>
        <w:tc>
          <w:tcPr>
            <w:tcW w:w="10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12,576,865</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12,576,865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12,513,980</w:t>
            </w:r>
          </w:p>
        </w:tc>
        <w:tc>
          <w:tcPr>
            <w:tcW w:w="0" w:type="dxa"/>
            <w:vAlign w:val="bottom"/>
          </w:tcPr>
          <w:p>
            <w:pPr>
              <w:spacing w:after="0"/>
              <w:rPr>
                <w:sz w:val="1"/>
                <w:szCs w:val="1"/>
                <w:color w:val="auto"/>
              </w:rPr>
            </w:pPr>
          </w:p>
        </w:tc>
      </w:tr>
      <w:tr>
        <w:trPr>
          <w:trHeight w:val="163"/>
        </w:trPr>
        <w:tc>
          <w:tcPr>
            <w:tcW w:w="3440" w:type="dxa"/>
            <w:vAlign w:val="bottom"/>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299,040,794</w:t>
            </w:r>
          </w:p>
        </w:tc>
        <w:tc>
          <w:tcPr>
            <w:tcW w:w="2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304,429,035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Debt—31.1%</w:t>
            </w: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(5)</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09/01/2017</w:t>
            </w:r>
          </w:p>
        </w:tc>
        <w:tc>
          <w:tcPr>
            <w:tcW w:w="1560" w:type="dxa"/>
            <w:vAlign w:val="bottom"/>
          </w:tcPr>
          <w:p>
            <w:pPr>
              <w:jc w:val="center"/>
              <w:spacing w:after="0" w:line="130" w:lineRule="exact"/>
              <w:rPr>
                <w:sz w:val="20"/>
                <w:szCs w:val="20"/>
                <w:color w:val="auto"/>
              </w:rPr>
            </w:pPr>
            <w:r>
              <w:rPr>
                <w:rFonts w:ascii="Arial" w:cs="Arial" w:eastAsia="Arial" w:hAnsi="Arial"/>
                <w:sz w:val="14"/>
                <w:szCs w:val="14"/>
                <w:color w:val="auto"/>
                <w:w w:val="96"/>
              </w:rPr>
              <w:t>Diversified Natural</w:t>
            </w:r>
          </w:p>
        </w:tc>
        <w:tc>
          <w:tcPr>
            <w:tcW w:w="10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11.50%</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4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25,400,000</w:t>
            </w:r>
          </w:p>
        </w:tc>
        <w:tc>
          <w:tcPr>
            <w:tcW w:w="10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25,400,000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26,733,500</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89"/>
              </w:rPr>
              <w:t>Resources, Precious</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Metals and Minerals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10/23/2019</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Energy / Utilities</w:t>
            </w:r>
          </w:p>
        </w:tc>
        <w:tc>
          <w:tcPr>
            <w:tcW w:w="10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L+975</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95"/>
              </w:rPr>
              <w:t>(8)</w:t>
            </w:r>
          </w:p>
        </w:tc>
        <w:tc>
          <w:tcPr>
            <w:tcW w:w="10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42,278,570</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41,443,460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43,018,445</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Eureka Hunter Pipeline, LLC</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08/16/2018</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6"/>
              </w:rPr>
              <w:t>Energy / Utilities</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12.50%</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45,000,000</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44,595,798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01/15/2019</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10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11.68%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L+1,140</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5,000,000</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4,904,851</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03/01/2017</w:t>
            </w:r>
          </w:p>
        </w:tc>
        <w:tc>
          <w:tcPr>
            <w:tcW w:w="1560" w:type="dxa"/>
            <w:vAlign w:val="bottom"/>
          </w:tcPr>
          <w:p>
            <w:pPr>
              <w:jc w:val="center"/>
              <w:spacing w:after="0" w:line="130" w:lineRule="exact"/>
              <w:rPr>
                <w:sz w:val="20"/>
                <w:szCs w:val="20"/>
                <w:color w:val="auto"/>
              </w:rPr>
            </w:pPr>
            <w:r>
              <w:rPr>
                <w:rFonts w:ascii="Arial" w:cs="Arial" w:eastAsia="Arial" w:hAnsi="Arial"/>
                <w:sz w:val="14"/>
                <w:szCs w:val="14"/>
                <w:color w:val="auto"/>
                <w:w w:val="92"/>
              </w:rPr>
              <w:t>Cargo Transport</w:t>
            </w:r>
          </w:p>
        </w:tc>
        <w:tc>
          <w:tcPr>
            <w:tcW w:w="10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11.00%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L+700</w:t>
            </w:r>
          </w:p>
        </w:tc>
        <w:tc>
          <w:tcPr>
            <w:tcW w:w="280" w:type="dxa"/>
            <w:vAlign w:val="bottom"/>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3,360,032</w:t>
            </w:r>
          </w:p>
        </w:tc>
        <w:tc>
          <w:tcPr>
            <w:tcW w:w="10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3,360,034</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3,360,032</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(PIK 11.00%)</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10/29/2019</w:t>
            </w:r>
          </w:p>
        </w:tc>
        <w:tc>
          <w:tcPr>
            <w:tcW w:w="1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Hotels, Motels, Inns</w:t>
            </w:r>
          </w:p>
        </w:tc>
        <w:tc>
          <w:tcPr>
            <w:tcW w:w="10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13.00%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L+1,175</w:t>
            </w:r>
          </w:p>
        </w:tc>
        <w:tc>
          <w:tcPr>
            <w:tcW w:w="280" w:type="dxa"/>
            <w:vAlign w:val="bottom"/>
            <w:shd w:val="clear" w:color="auto" w:fill="CCEEFF"/>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38,950,000</w:t>
            </w:r>
          </w:p>
        </w:tc>
        <w:tc>
          <w:tcPr>
            <w:tcW w:w="10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38,253,595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39,209,680</w:t>
            </w: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and Gaming</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Language Line, LLC</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12/20/2016</w:t>
            </w:r>
          </w:p>
        </w:tc>
        <w:tc>
          <w:tcPr>
            <w:tcW w:w="1560" w:type="dxa"/>
            <w:vAlign w:val="bottom"/>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10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10.50%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L+875</w:t>
            </w:r>
          </w:p>
        </w:tc>
        <w:tc>
          <w:tcPr>
            <w:tcW w:w="280" w:type="dxa"/>
            <w:vAlign w:val="bottom"/>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16,000,000</w:t>
            </w:r>
          </w:p>
        </w:tc>
        <w:tc>
          <w:tcPr>
            <w:tcW w:w="10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15,760,000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15,693,328</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Miscellaneous Services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Linc USA GP and Linc Energy Finance (USA), Inc. </w:t>
            </w:r>
            <w:r>
              <w:rPr>
                <w:rFonts w:ascii="Arial" w:cs="Arial" w:eastAsia="Arial" w:hAnsi="Arial"/>
                <w:sz w:val="12"/>
                <w:szCs w:val="12"/>
                <w:color w:val="auto"/>
              </w:rPr>
              <w:t>(5)</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10/31/2017</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Oil and Gas</w:t>
            </w:r>
          </w:p>
        </w:tc>
        <w:tc>
          <w:tcPr>
            <w:tcW w:w="10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12.50%</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11,875,000</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11,495,398</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12,825,000</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12/15/2014</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9.50%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L+550</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w w:val="95"/>
              </w:rPr>
              <w:t>(8)</w:t>
            </w:r>
          </w:p>
        </w:tc>
        <w:tc>
          <w:tcPr>
            <w:tcW w:w="10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2,403,487</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2,403,487</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2,355,418</w:t>
            </w: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12/15/2015</w:t>
            </w:r>
          </w:p>
        </w:tc>
        <w:tc>
          <w:tcPr>
            <w:tcW w:w="1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Other Media</w:t>
            </w:r>
          </w:p>
        </w:tc>
        <w:tc>
          <w:tcPr>
            <w:tcW w:w="10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11.50%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P+750</w:t>
            </w:r>
          </w:p>
        </w:tc>
        <w:tc>
          <w:tcPr>
            <w:tcW w:w="280" w:type="dxa"/>
            <w:vAlign w:val="bottom"/>
            <w:shd w:val="clear" w:color="auto" w:fill="CCEEFF"/>
          </w:tcPr>
          <w:p>
            <w:pPr>
              <w:jc w:val="right"/>
              <w:ind w:right="59"/>
              <w:spacing w:after="0" w:line="130" w:lineRule="exact"/>
              <w:rPr>
                <w:sz w:val="20"/>
                <w:szCs w:val="20"/>
                <w:color w:val="auto"/>
              </w:rPr>
            </w:pPr>
            <w:r>
              <w:rPr>
                <w:rFonts w:ascii="Arial" w:cs="Arial" w:eastAsia="Arial" w:hAnsi="Arial"/>
                <w:sz w:val="12"/>
                <w:szCs w:val="12"/>
                <w:color w:val="auto"/>
                <w:w w:val="95"/>
              </w:rPr>
              <w:t>(8)</w:t>
            </w:r>
          </w:p>
        </w:tc>
        <w:tc>
          <w:tcPr>
            <w:tcW w:w="104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2,429,663</w:t>
            </w:r>
          </w:p>
        </w:tc>
        <w:tc>
          <w:tcPr>
            <w:tcW w:w="10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2,429,663</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2,356,773</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(PIK 11.50%)</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ROC Finance LLC and ROC Finance 1 Corp.</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08/31/2018</w:t>
            </w:r>
          </w:p>
        </w:tc>
        <w:tc>
          <w:tcPr>
            <w:tcW w:w="1560" w:type="dxa"/>
            <w:vAlign w:val="bottom"/>
          </w:tcPr>
          <w:p>
            <w:pPr>
              <w:jc w:val="center"/>
              <w:spacing w:after="0" w:line="130" w:lineRule="exact"/>
              <w:rPr>
                <w:sz w:val="20"/>
                <w:szCs w:val="20"/>
                <w:color w:val="auto"/>
              </w:rPr>
            </w:pPr>
            <w:r>
              <w:rPr>
                <w:rFonts w:ascii="Arial" w:cs="Arial" w:eastAsia="Arial" w:hAnsi="Arial"/>
                <w:sz w:val="14"/>
                <w:szCs w:val="14"/>
                <w:color w:val="auto"/>
                <w:w w:val="95"/>
              </w:rPr>
              <w:t>Hotels, Motels, Inns</w:t>
            </w:r>
          </w:p>
        </w:tc>
        <w:tc>
          <w:tcPr>
            <w:tcW w:w="10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12.13%</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4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16,000,000</w:t>
            </w:r>
          </w:p>
        </w:tc>
        <w:tc>
          <w:tcPr>
            <w:tcW w:w="10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15,778,633</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18,200,000</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and Gaming</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205,824,919</w:t>
            </w:r>
          </w:p>
        </w:tc>
        <w:tc>
          <w:tcPr>
            <w:tcW w:w="2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215,327,176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Par /</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30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rPr>
              <w:t>Maturity</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920" w:type="dxa"/>
            <w:vAlign w:val="bottom"/>
            <w:vMerge w:val="continue"/>
          </w:tcPr>
          <w:p>
            <w:pPr>
              <w:spacing w:after="0"/>
              <w:rPr>
                <w:sz w:val="12"/>
                <w:szCs w:val="12"/>
                <w:color w:val="auto"/>
              </w:rPr>
            </w:pPr>
          </w:p>
        </w:tc>
        <w:tc>
          <w:tcPr>
            <w:tcW w:w="9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Coupon</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Debt/Corporate Notes—47.0%</w:t>
            </w:r>
          </w:p>
        </w:tc>
        <w:tc>
          <w:tcPr>
            <w:tcW w:w="130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Acentia, LLC</w:t>
            </w:r>
          </w:p>
        </w:tc>
        <w:tc>
          <w:tcPr>
            <w:tcW w:w="1300" w:type="dxa"/>
            <w:vAlign w:val="bottom"/>
          </w:tcPr>
          <w:p>
            <w:pPr>
              <w:jc w:val="center"/>
              <w:ind w:left="508"/>
              <w:spacing w:after="0" w:line="149" w:lineRule="exact"/>
              <w:rPr>
                <w:sz w:val="20"/>
                <w:szCs w:val="20"/>
                <w:color w:val="auto"/>
              </w:rPr>
            </w:pPr>
            <w:r>
              <w:rPr>
                <w:rFonts w:ascii="Arial" w:cs="Arial" w:eastAsia="Arial" w:hAnsi="Arial"/>
                <w:sz w:val="14"/>
                <w:szCs w:val="14"/>
                <w:color w:val="auto"/>
                <w:w w:val="91"/>
              </w:rPr>
              <w:t>10/02/2017</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19,000,000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5"/>
              </w:rPr>
              <w:t>$ 18,606,707</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  18,864,596</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30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w w:val="91"/>
              </w:rPr>
              <w:t>11/15/2015</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35,552,000</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34,477,568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17,776,000</w:t>
            </w: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Alegeus Technologies, LLC</w:t>
            </w:r>
          </w:p>
        </w:tc>
        <w:tc>
          <w:tcPr>
            <w:tcW w:w="1300" w:type="dxa"/>
            <w:vAlign w:val="bottom"/>
          </w:tcPr>
          <w:p>
            <w:pPr>
              <w:jc w:val="center"/>
              <w:ind w:left="508"/>
              <w:spacing w:after="0" w:line="149" w:lineRule="exact"/>
              <w:rPr>
                <w:sz w:val="20"/>
                <w:szCs w:val="20"/>
                <w:color w:val="auto"/>
              </w:rPr>
            </w:pPr>
            <w:r>
              <w:rPr>
                <w:rFonts w:ascii="Arial" w:cs="Arial" w:eastAsia="Arial" w:hAnsi="Arial"/>
                <w:sz w:val="14"/>
                <w:szCs w:val="14"/>
                <w:color w:val="auto"/>
                <w:w w:val="91"/>
              </w:rPr>
              <w:t>02/15/2019</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3"/>
              </w:rPr>
              <w:t>Financial Services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8,930,000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8,766,530</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9,034,110</w:t>
            </w: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1300" w:type="dxa"/>
            <w:vAlign w:val="bottom"/>
            <w:shd w:val="clear" w:color="auto" w:fill="CCEEFF"/>
          </w:tcPr>
          <w:p>
            <w:pPr>
              <w:jc w:val="center"/>
              <w:ind w:left="508"/>
              <w:spacing w:after="0" w:line="130" w:lineRule="exact"/>
              <w:rPr>
                <w:sz w:val="20"/>
                <w:szCs w:val="20"/>
                <w:color w:val="auto"/>
              </w:rPr>
            </w:pPr>
            <w:r>
              <w:rPr>
                <w:rFonts w:ascii="Arial" w:cs="Arial" w:eastAsia="Arial" w:hAnsi="Arial"/>
                <w:sz w:val="14"/>
                <w:szCs w:val="14"/>
                <w:color w:val="auto"/>
                <w:w w:val="91"/>
              </w:rPr>
              <w:t>03/26/2018</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12.00%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23,454,554</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23,043,646</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23,806,372</w:t>
            </w: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(PIK 1.00%)</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line="130" w:lineRule="exact"/>
              <w:rPr>
                <w:sz w:val="20"/>
                <w:szCs w:val="20"/>
                <w:color w:val="auto"/>
              </w:rPr>
            </w:pPr>
            <w:r>
              <w:rPr>
                <w:rFonts w:ascii="Arial" w:cs="Arial" w:eastAsia="Arial" w:hAnsi="Arial"/>
                <w:sz w:val="14"/>
                <w:szCs w:val="14"/>
                <w:color w:val="auto"/>
              </w:rPr>
              <w:t>Credit Infonet, Inc.</w:t>
            </w:r>
          </w:p>
        </w:tc>
        <w:tc>
          <w:tcPr>
            <w:tcW w:w="1300" w:type="dxa"/>
            <w:vAlign w:val="bottom"/>
          </w:tcPr>
          <w:p>
            <w:pPr>
              <w:jc w:val="center"/>
              <w:ind w:left="508"/>
              <w:spacing w:after="0" w:line="130" w:lineRule="exact"/>
              <w:rPr>
                <w:sz w:val="20"/>
                <w:szCs w:val="20"/>
                <w:color w:val="auto"/>
              </w:rPr>
            </w:pPr>
            <w:r>
              <w:rPr>
                <w:rFonts w:ascii="Arial" w:cs="Arial" w:eastAsia="Arial" w:hAnsi="Arial"/>
                <w:sz w:val="14"/>
                <w:szCs w:val="14"/>
                <w:color w:val="auto"/>
                <w:w w:val="91"/>
              </w:rPr>
              <w:t>10/26/2018</w:t>
            </w:r>
          </w:p>
        </w:tc>
        <w:tc>
          <w:tcPr>
            <w:tcW w:w="1500" w:type="dxa"/>
            <w:vAlign w:val="bottom"/>
          </w:tcPr>
          <w:p>
            <w:pPr>
              <w:jc w:val="center"/>
              <w:spacing w:after="0" w:line="130" w:lineRule="exact"/>
              <w:rPr>
                <w:sz w:val="20"/>
                <w:szCs w:val="20"/>
                <w:color w:val="auto"/>
              </w:rPr>
            </w:pPr>
            <w:r>
              <w:rPr>
                <w:rFonts w:ascii="Arial" w:cs="Arial" w:eastAsia="Arial" w:hAnsi="Arial"/>
                <w:sz w:val="14"/>
                <w:szCs w:val="14"/>
                <w:color w:val="auto"/>
                <w:w w:val="91"/>
              </w:rPr>
              <w:t>Personal, Food and</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12.25%</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10,600,000</w:t>
            </w: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10,391,877</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10,610,217</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Miscellaneous Services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Escort, Inc.</w:t>
            </w:r>
          </w:p>
        </w:tc>
        <w:tc>
          <w:tcPr>
            <w:tcW w:w="1300" w:type="dxa"/>
            <w:vAlign w:val="bottom"/>
            <w:shd w:val="clear" w:color="auto" w:fill="CCEEFF"/>
          </w:tcPr>
          <w:p>
            <w:pPr>
              <w:jc w:val="center"/>
              <w:ind w:left="508"/>
              <w:spacing w:after="0" w:line="130" w:lineRule="exact"/>
              <w:rPr>
                <w:sz w:val="20"/>
                <w:szCs w:val="20"/>
                <w:color w:val="auto"/>
              </w:rPr>
            </w:pPr>
            <w:r>
              <w:rPr>
                <w:rFonts w:ascii="Arial" w:cs="Arial" w:eastAsia="Arial" w:hAnsi="Arial"/>
                <w:sz w:val="14"/>
                <w:szCs w:val="14"/>
                <w:color w:val="auto"/>
                <w:w w:val="91"/>
              </w:rPr>
              <w:t>06/01/2016</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14.75%</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25,784,357</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25,368,343</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26,042,201</w:t>
            </w: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(PIK 2.75%)</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line="130" w:lineRule="exact"/>
              <w:rPr>
                <w:sz w:val="20"/>
                <w:szCs w:val="20"/>
                <w:color w:val="auto"/>
              </w:rPr>
            </w:pPr>
            <w:r>
              <w:rPr>
                <w:rFonts w:ascii="Arial" w:cs="Arial" w:eastAsia="Arial" w:hAnsi="Arial"/>
                <w:sz w:val="14"/>
                <w:szCs w:val="14"/>
                <w:color w:val="auto"/>
              </w:rPr>
              <w:t>Galls, LLC</w:t>
            </w:r>
          </w:p>
        </w:tc>
        <w:tc>
          <w:tcPr>
            <w:tcW w:w="1300" w:type="dxa"/>
            <w:vAlign w:val="bottom"/>
          </w:tcPr>
          <w:p>
            <w:pPr>
              <w:jc w:val="center"/>
              <w:ind w:left="508"/>
              <w:spacing w:after="0" w:line="130" w:lineRule="exact"/>
              <w:rPr>
                <w:sz w:val="20"/>
                <w:szCs w:val="20"/>
                <w:color w:val="auto"/>
              </w:rPr>
            </w:pPr>
            <w:r>
              <w:rPr>
                <w:rFonts w:ascii="Arial" w:cs="Arial" w:eastAsia="Arial" w:hAnsi="Arial"/>
                <w:sz w:val="14"/>
                <w:szCs w:val="14"/>
                <w:color w:val="auto"/>
                <w:w w:val="91"/>
              </w:rPr>
              <w:t>03/31/2017</w:t>
            </w:r>
          </w:p>
        </w:tc>
        <w:tc>
          <w:tcPr>
            <w:tcW w:w="1500" w:type="dxa"/>
            <w:vAlign w:val="bottom"/>
          </w:tcPr>
          <w:p>
            <w:pPr>
              <w:jc w:val="center"/>
              <w:spacing w:after="0" w:line="130" w:lineRule="exact"/>
              <w:rPr>
                <w:sz w:val="20"/>
                <w:szCs w:val="20"/>
                <w:color w:val="auto"/>
              </w:rPr>
            </w:pPr>
            <w:r>
              <w:rPr>
                <w:rFonts w:ascii="Arial" w:cs="Arial" w:eastAsia="Arial" w:hAnsi="Arial"/>
                <w:sz w:val="14"/>
                <w:szCs w:val="14"/>
                <w:color w:val="auto"/>
                <w:w w:val="97"/>
              </w:rPr>
              <w:t>Distribution</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13.00%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22,125,859</w:t>
            </w: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21,779,255</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22,125,859</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4"/>
                <w:szCs w:val="14"/>
                <w:color w:val="auto"/>
              </w:rPr>
              <w:t>(PIK 2.00%)</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JF Acquisition, LLC</w:t>
            </w:r>
          </w:p>
        </w:tc>
        <w:tc>
          <w:tcPr>
            <w:tcW w:w="1300" w:type="dxa"/>
            <w:vAlign w:val="bottom"/>
            <w:shd w:val="clear" w:color="auto" w:fill="CCEEFF"/>
          </w:tcPr>
          <w:p>
            <w:pPr>
              <w:jc w:val="center"/>
              <w:ind w:left="508"/>
              <w:spacing w:after="0" w:line="130" w:lineRule="exact"/>
              <w:rPr>
                <w:sz w:val="20"/>
                <w:szCs w:val="20"/>
                <w:color w:val="auto"/>
              </w:rPr>
            </w:pPr>
            <w:r>
              <w:rPr>
                <w:rFonts w:ascii="Arial" w:cs="Arial" w:eastAsia="Arial" w:hAnsi="Arial"/>
                <w:sz w:val="14"/>
                <w:szCs w:val="14"/>
                <w:color w:val="auto"/>
                <w:w w:val="91"/>
              </w:rPr>
              <w:t>06/30/2017</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Distribution</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14.00%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17,430,235</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17,056,207</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17,430,235</w:t>
            </w: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(PIK 2.00%)</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line="130" w:lineRule="exact"/>
              <w:rPr>
                <w:sz w:val="20"/>
                <w:szCs w:val="20"/>
                <w:color w:val="auto"/>
              </w:rPr>
            </w:pPr>
            <w:r>
              <w:rPr>
                <w:rFonts w:ascii="Arial" w:cs="Arial" w:eastAsia="Arial" w:hAnsi="Arial"/>
                <w:sz w:val="14"/>
                <w:szCs w:val="14"/>
                <w:color w:val="auto"/>
              </w:rPr>
              <w:t>Last Mile Funding Corp.</w:t>
            </w:r>
          </w:p>
        </w:tc>
        <w:tc>
          <w:tcPr>
            <w:tcW w:w="1300" w:type="dxa"/>
            <w:vAlign w:val="bottom"/>
          </w:tcPr>
          <w:p>
            <w:pPr>
              <w:jc w:val="center"/>
              <w:ind w:left="508"/>
              <w:spacing w:after="0" w:line="130" w:lineRule="exact"/>
              <w:rPr>
                <w:sz w:val="20"/>
                <w:szCs w:val="20"/>
                <w:color w:val="auto"/>
              </w:rPr>
            </w:pPr>
            <w:r>
              <w:rPr>
                <w:rFonts w:ascii="Arial" w:cs="Arial" w:eastAsia="Arial" w:hAnsi="Arial"/>
                <w:sz w:val="14"/>
                <w:szCs w:val="14"/>
                <w:color w:val="auto"/>
                <w:w w:val="91"/>
              </w:rPr>
              <w:t>06/30/2016</w:t>
            </w:r>
          </w:p>
        </w:tc>
        <w:tc>
          <w:tcPr>
            <w:tcW w:w="1500" w:type="dxa"/>
            <w:vAlign w:val="bottom"/>
          </w:tcPr>
          <w:p>
            <w:pPr>
              <w:jc w:val="center"/>
              <w:spacing w:after="0" w:line="130" w:lineRule="exact"/>
              <w:rPr>
                <w:sz w:val="20"/>
                <w:szCs w:val="20"/>
                <w:color w:val="auto"/>
              </w:rPr>
            </w:pPr>
            <w:r>
              <w:rPr>
                <w:rFonts w:ascii="Arial" w:cs="Arial" w:eastAsia="Arial" w:hAnsi="Arial"/>
                <w:sz w:val="14"/>
                <w:szCs w:val="14"/>
                <w:color w:val="auto"/>
                <w:w w:val="92"/>
              </w:rPr>
              <w:t>Cargo Transport</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14.50%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46,467,059</w:t>
            </w: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45,727,544</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46,931,730</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4"/>
                <w:szCs w:val="14"/>
                <w:color w:val="auto"/>
              </w:rPr>
              <w:t>(PIK 2.50%)</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Learning Care Group (US) Inc.</w:t>
            </w:r>
          </w:p>
        </w:tc>
        <w:tc>
          <w:tcPr>
            <w:tcW w:w="1300" w:type="dxa"/>
            <w:vAlign w:val="bottom"/>
            <w:shd w:val="clear" w:color="auto" w:fill="CCEEFF"/>
          </w:tcPr>
          <w:p>
            <w:pPr>
              <w:jc w:val="center"/>
              <w:ind w:left="508"/>
              <w:spacing w:after="0" w:line="130" w:lineRule="exact"/>
              <w:rPr>
                <w:sz w:val="20"/>
                <w:szCs w:val="20"/>
                <w:color w:val="auto"/>
              </w:rPr>
            </w:pPr>
            <w:r>
              <w:rPr>
                <w:rFonts w:ascii="Arial" w:cs="Arial" w:eastAsia="Arial" w:hAnsi="Arial"/>
                <w:sz w:val="14"/>
                <w:szCs w:val="14"/>
                <w:color w:val="auto"/>
                <w:w w:val="91"/>
              </w:rPr>
              <w:t>05/08/2020</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Education</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7,215,989</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6,722,857</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(PIK 15.00%)</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line="130" w:lineRule="exact"/>
              <w:rPr>
                <w:sz w:val="20"/>
                <w:szCs w:val="20"/>
                <w:color w:val="auto"/>
              </w:rPr>
            </w:pPr>
            <w:r>
              <w:rPr>
                <w:rFonts w:ascii="Arial" w:cs="Arial" w:eastAsia="Arial" w:hAnsi="Arial"/>
                <w:sz w:val="14"/>
                <w:szCs w:val="14"/>
                <w:color w:val="auto"/>
              </w:rPr>
              <w:t>LTI Flexible Products, Inc.</w:t>
            </w:r>
          </w:p>
        </w:tc>
        <w:tc>
          <w:tcPr>
            <w:tcW w:w="1300" w:type="dxa"/>
            <w:vAlign w:val="bottom"/>
          </w:tcPr>
          <w:p>
            <w:pPr>
              <w:jc w:val="center"/>
              <w:ind w:left="508"/>
              <w:spacing w:after="0" w:line="130" w:lineRule="exact"/>
              <w:rPr>
                <w:sz w:val="20"/>
                <w:szCs w:val="20"/>
                <w:color w:val="auto"/>
              </w:rPr>
            </w:pPr>
            <w:r>
              <w:rPr>
                <w:rFonts w:ascii="Arial" w:cs="Arial" w:eastAsia="Arial" w:hAnsi="Arial"/>
                <w:sz w:val="14"/>
                <w:szCs w:val="14"/>
                <w:color w:val="auto"/>
                <w:w w:val="91"/>
              </w:rPr>
              <w:t>01/19/2019</w:t>
            </w:r>
          </w:p>
        </w:tc>
        <w:tc>
          <w:tcPr>
            <w:tcW w:w="1500" w:type="dxa"/>
            <w:vAlign w:val="bottom"/>
          </w:tcPr>
          <w:p>
            <w:pPr>
              <w:jc w:val="center"/>
              <w:spacing w:after="0" w:line="130" w:lineRule="exact"/>
              <w:rPr>
                <w:sz w:val="20"/>
                <w:szCs w:val="20"/>
                <w:color w:val="auto"/>
              </w:rPr>
            </w:pPr>
            <w:r>
              <w:rPr>
                <w:rFonts w:ascii="Arial" w:cs="Arial" w:eastAsia="Arial" w:hAnsi="Arial"/>
                <w:sz w:val="14"/>
                <w:szCs w:val="14"/>
                <w:color w:val="auto"/>
                <w:w w:val="91"/>
              </w:rPr>
              <w:t>Chemicals, Plastics and</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12.50%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30,000,000</w:t>
            </w: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30,000,000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30,300,000</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Rubber</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LTI Flexible Products, Inc. </w:t>
            </w:r>
            <w:r>
              <w:rPr>
                <w:rFonts w:ascii="Arial" w:cs="Arial" w:eastAsia="Arial" w:hAnsi="Arial"/>
                <w:sz w:val="12"/>
                <w:szCs w:val="12"/>
                <w:color w:val="auto"/>
              </w:rPr>
              <w:t>(9)</w:t>
            </w:r>
          </w:p>
        </w:tc>
        <w:tc>
          <w:tcPr>
            <w:tcW w:w="1300" w:type="dxa"/>
            <w:vAlign w:val="bottom"/>
            <w:shd w:val="clear" w:color="auto" w:fill="CCEEFF"/>
          </w:tcPr>
          <w:p>
            <w:pPr>
              <w:jc w:val="center"/>
              <w:ind w:left="508"/>
              <w:spacing w:after="0" w:line="130" w:lineRule="exact"/>
              <w:rPr>
                <w:sz w:val="20"/>
                <w:szCs w:val="20"/>
                <w:color w:val="auto"/>
              </w:rPr>
            </w:pPr>
            <w:r>
              <w:rPr>
                <w:rFonts w:ascii="Arial" w:cs="Arial" w:eastAsia="Arial" w:hAnsi="Arial"/>
                <w:sz w:val="14"/>
                <w:szCs w:val="14"/>
                <w:color w:val="auto"/>
                <w:w w:val="91"/>
              </w:rPr>
              <w:t>01/11/2014</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Chemicals, Plastics and</w:t>
            </w:r>
          </w:p>
        </w:tc>
        <w:tc>
          <w:tcPr>
            <w:tcW w:w="8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5,000,000</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4,825,000</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5,050,000</w:t>
            </w:r>
          </w:p>
        </w:tc>
        <w:tc>
          <w:tcPr>
            <w:tcW w:w="0" w:type="dxa"/>
            <w:vAlign w:val="bottom"/>
          </w:tcPr>
          <w:p>
            <w:pPr>
              <w:spacing w:after="0"/>
              <w:rPr>
                <w:sz w:val="1"/>
                <w:szCs w:val="1"/>
                <w:color w:val="auto"/>
              </w:rPr>
            </w:pPr>
          </w:p>
        </w:tc>
      </w:tr>
      <w:tr>
        <w:trPr>
          <w:trHeight w:val="167"/>
        </w:trPr>
        <w:tc>
          <w:tcPr>
            <w:tcW w:w="36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Rubber</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MSPark, Inc. (f/k/a MailSouth, Inc.)</w:t>
            </w:r>
          </w:p>
        </w:tc>
        <w:tc>
          <w:tcPr>
            <w:tcW w:w="1300" w:type="dxa"/>
            <w:vAlign w:val="bottom"/>
          </w:tcPr>
          <w:p>
            <w:pPr>
              <w:jc w:val="center"/>
              <w:ind w:left="508"/>
              <w:spacing w:after="0" w:line="149" w:lineRule="exact"/>
              <w:rPr>
                <w:sz w:val="20"/>
                <w:szCs w:val="20"/>
                <w:color w:val="auto"/>
              </w:rPr>
            </w:pPr>
            <w:r>
              <w:rPr>
                <w:rFonts w:ascii="Arial" w:cs="Arial" w:eastAsia="Arial" w:hAnsi="Arial"/>
                <w:sz w:val="14"/>
                <w:szCs w:val="14"/>
                <w:color w:val="auto"/>
                <w:w w:val="91"/>
              </w:rPr>
              <w:t>06/15/2017</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(7)</w:t>
            </w: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15,000,000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14,679,873</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1300" w:type="dxa"/>
            <w:vAlign w:val="bottom"/>
            <w:shd w:val="clear" w:color="auto" w:fill="CCEEFF"/>
          </w:tcPr>
          <w:p>
            <w:pPr>
              <w:jc w:val="center"/>
              <w:ind w:left="508"/>
              <w:spacing w:after="0" w:line="130" w:lineRule="exact"/>
              <w:rPr>
                <w:sz w:val="20"/>
                <w:szCs w:val="20"/>
                <w:color w:val="auto"/>
              </w:rPr>
            </w:pPr>
            <w:r>
              <w:rPr>
                <w:rFonts w:ascii="Arial" w:cs="Arial" w:eastAsia="Arial" w:hAnsi="Arial"/>
                <w:sz w:val="14"/>
                <w:szCs w:val="14"/>
                <w:color w:val="auto"/>
                <w:w w:val="91"/>
              </w:rPr>
              <w:t>01/15/2018</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14.00%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36,687,457</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36,021,019</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36,270,004</w:t>
            </w: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(PIK 4.00%)</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Vestcom International, Inc.</w:t>
            </w:r>
          </w:p>
        </w:tc>
        <w:tc>
          <w:tcPr>
            <w:tcW w:w="1300" w:type="dxa"/>
            <w:vAlign w:val="bottom"/>
          </w:tcPr>
          <w:p>
            <w:pPr>
              <w:jc w:val="center"/>
              <w:ind w:left="508"/>
              <w:spacing w:after="0" w:line="149" w:lineRule="exact"/>
              <w:rPr>
                <w:sz w:val="20"/>
                <w:szCs w:val="20"/>
                <w:color w:val="auto"/>
              </w:rPr>
            </w:pPr>
            <w:r>
              <w:rPr>
                <w:rFonts w:ascii="Arial" w:cs="Arial" w:eastAsia="Arial" w:hAnsi="Arial"/>
                <w:sz w:val="14"/>
                <w:szCs w:val="14"/>
                <w:color w:val="auto"/>
                <w:w w:val="91"/>
              </w:rPr>
              <w:t>06/27/2019</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39,892,933</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39,125,811</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39,584,295</w:t>
            </w:r>
          </w:p>
        </w:tc>
        <w:tc>
          <w:tcPr>
            <w:tcW w:w="0" w:type="dxa"/>
            <w:vAlign w:val="bottom"/>
          </w:tcPr>
          <w:p>
            <w:pPr>
              <w:spacing w:after="0"/>
              <w:rPr>
                <w:sz w:val="1"/>
                <w:szCs w:val="1"/>
                <w:color w:val="auto"/>
              </w:rPr>
            </w:pPr>
          </w:p>
        </w:tc>
      </w:tr>
      <w:tr>
        <w:trPr>
          <w:trHeight w:val="115"/>
        </w:trPr>
        <w:tc>
          <w:tcPr>
            <w:tcW w:w="36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3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336,592,237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326,041,608</w:t>
            </w:r>
          </w:p>
        </w:tc>
        <w:tc>
          <w:tcPr>
            <w:tcW w:w="0" w:type="dxa"/>
            <w:vAlign w:val="bottom"/>
          </w:tcPr>
          <w:p>
            <w:pPr>
              <w:spacing w:after="0"/>
              <w:rPr>
                <w:sz w:val="1"/>
                <w:szCs w:val="1"/>
                <w:color w:val="auto"/>
              </w:rPr>
            </w:pPr>
          </w:p>
        </w:tc>
      </w:tr>
      <w:tr>
        <w:trPr>
          <w:trHeight w:val="155"/>
        </w:trPr>
        <w:tc>
          <w:tcPr>
            <w:tcW w:w="368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Interests—1.3% </w:t>
            </w:r>
            <w:r>
              <w:rPr>
                <w:rFonts w:ascii="Arial" w:cs="Arial" w:eastAsia="Arial" w:hAnsi="Arial"/>
                <w:sz w:val="12"/>
                <w:szCs w:val="12"/>
                <w:b w:val="1"/>
                <w:bCs w:val="1"/>
                <w:color w:val="auto"/>
              </w:rPr>
              <w:t>(6)</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1300" w:type="dxa"/>
            <w:vAlign w:val="bottom"/>
            <w:shd w:val="clear" w:color="auto" w:fill="CCEEFF"/>
          </w:tcPr>
          <w:p>
            <w:pPr>
              <w:ind w:left="840"/>
              <w:spacing w:after="0" w:line="130"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211</w:t>
            </w:r>
          </w:p>
        </w:tc>
        <w:tc>
          <w:tcPr>
            <w:tcW w:w="96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822,323</w:t>
            </w:r>
          </w:p>
        </w:tc>
        <w:tc>
          <w:tcPr>
            <w:tcW w:w="0" w:type="dxa"/>
            <w:vAlign w:val="bottom"/>
          </w:tcPr>
          <w:p>
            <w:pPr>
              <w:spacing w:after="0"/>
              <w:rPr>
                <w:sz w:val="1"/>
                <w:szCs w:val="1"/>
                <w:color w:val="auto"/>
              </w:rPr>
            </w:pPr>
          </w:p>
        </w:tc>
      </w:tr>
      <w:tr>
        <w:trPr>
          <w:trHeight w:val="167"/>
        </w:trPr>
        <w:tc>
          <w:tcPr>
            <w:tcW w:w="36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AHC Mezzanine, LLC</w:t>
            </w:r>
          </w:p>
        </w:tc>
        <w:tc>
          <w:tcPr>
            <w:tcW w:w="1300" w:type="dxa"/>
            <w:vAlign w:val="bottom"/>
          </w:tcPr>
          <w:p>
            <w:pPr>
              <w:ind w:left="84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Media</w:t>
            </w: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7,505</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318,896</w:t>
            </w: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Holdings Corp., Series A</w:t>
            </w:r>
          </w:p>
        </w:tc>
        <w:tc>
          <w:tcPr>
            <w:tcW w:w="1300" w:type="dxa"/>
            <w:vAlign w:val="bottom"/>
            <w:shd w:val="clear" w:color="auto" w:fill="CCEEFF"/>
          </w:tcPr>
          <w:p>
            <w:pPr>
              <w:ind w:left="840"/>
              <w:spacing w:after="0" w:line="130"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Financial Services</w:t>
            </w:r>
          </w:p>
        </w:tc>
        <w:tc>
          <w:tcPr>
            <w:tcW w:w="8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949</w:t>
            </w:r>
          </w:p>
        </w:tc>
        <w:tc>
          <w:tcPr>
            <w:tcW w:w="96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949,050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992,691</w:t>
            </w:r>
          </w:p>
        </w:tc>
        <w:tc>
          <w:tcPr>
            <w:tcW w:w="0" w:type="dxa"/>
            <w:vAlign w:val="bottom"/>
          </w:tcPr>
          <w:p>
            <w:pPr>
              <w:spacing w:after="0"/>
              <w:rPr>
                <w:sz w:val="1"/>
                <w:szCs w:val="1"/>
                <w:color w:val="auto"/>
              </w:rPr>
            </w:pPr>
          </w:p>
        </w:tc>
      </w:tr>
      <w:tr>
        <w:trPr>
          <w:trHeight w:val="167"/>
        </w:trPr>
        <w:tc>
          <w:tcPr>
            <w:tcW w:w="3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(Alegeus Technologies, LLC)</w:t>
            </w:r>
          </w:p>
        </w:tc>
        <w:tc>
          <w:tcPr>
            <w:tcW w:w="13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1300" w:type="dxa"/>
            <w:vAlign w:val="bottom"/>
          </w:tcPr>
          <w:p>
            <w:pPr>
              <w:ind w:left="840"/>
              <w:spacing w:after="0" w:line="130" w:lineRule="exact"/>
              <w:rPr>
                <w:sz w:val="20"/>
                <w:szCs w:val="20"/>
                <w:color w:val="auto"/>
              </w:rPr>
            </w:pPr>
            <w:r>
              <w:rPr>
                <w:rFonts w:ascii="Arial" w:cs="Arial" w:eastAsia="Arial" w:hAnsi="Arial"/>
                <w:sz w:val="14"/>
                <w:szCs w:val="14"/>
                <w:color w:val="auto"/>
              </w:rPr>
              <w:t>—</w:t>
            </w:r>
          </w:p>
        </w:tc>
        <w:tc>
          <w:tcPr>
            <w:tcW w:w="150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8.00%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76,357</w:t>
            </w:r>
          </w:p>
        </w:tc>
        <w:tc>
          <w:tcPr>
            <w:tcW w:w="96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765,307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1,169,552</w:t>
            </w:r>
          </w:p>
        </w:tc>
        <w:tc>
          <w:tcPr>
            <w:tcW w:w="0" w:type="dxa"/>
            <w:vAlign w:val="bottom"/>
          </w:tcPr>
          <w:p>
            <w:pPr>
              <w:spacing w:after="0"/>
              <w:rPr>
                <w:sz w:val="1"/>
                <w:szCs w:val="1"/>
                <w:color w:val="auto"/>
              </w:rPr>
            </w:pPr>
          </w:p>
        </w:tc>
      </w:tr>
      <w:tr>
        <w:trPr>
          <w:trHeight w:val="167"/>
        </w:trPr>
        <w:tc>
          <w:tcPr>
            <w:tcW w:w="3680" w:type="dxa"/>
            <w:vAlign w:val="bottom"/>
          </w:tcPr>
          <w:p>
            <w:pPr>
              <w:ind w:left="160"/>
              <w:spacing w:after="0"/>
              <w:rPr>
                <w:sz w:val="20"/>
                <w:szCs w:val="20"/>
                <w:color w:val="auto"/>
              </w:rPr>
            </w:pPr>
            <w:r>
              <w:rPr>
                <w:rFonts w:ascii="Arial" w:cs="Arial" w:eastAsia="Arial" w:hAnsi="Arial"/>
                <w:sz w:val="14"/>
                <w:szCs w:val="14"/>
                <w:color w:val="auto"/>
              </w:rPr>
              <w:t>(Interactive Health Solutions, Inc.)</w:t>
            </w:r>
          </w:p>
        </w:tc>
        <w:tc>
          <w:tcPr>
            <w:tcW w:w="13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1300" w:type="dxa"/>
            <w:vAlign w:val="bottom"/>
            <w:shd w:val="clear" w:color="auto" w:fill="CCEEFF"/>
          </w:tcPr>
          <w:p>
            <w:pPr>
              <w:ind w:left="840"/>
              <w:spacing w:after="0" w:line="130"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38,179</w:t>
            </w:r>
          </w:p>
        </w:tc>
        <w:tc>
          <w:tcPr>
            <w:tcW w:w="96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382,654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584,776</w:t>
            </w:r>
          </w:p>
        </w:tc>
        <w:tc>
          <w:tcPr>
            <w:tcW w:w="0" w:type="dxa"/>
            <w:vAlign w:val="bottom"/>
          </w:tcPr>
          <w:p>
            <w:pPr>
              <w:spacing w:after="0"/>
              <w:rPr>
                <w:sz w:val="1"/>
                <w:szCs w:val="1"/>
                <w:color w:val="auto"/>
              </w:rPr>
            </w:pPr>
          </w:p>
        </w:tc>
      </w:tr>
      <w:tr>
        <w:trPr>
          <w:trHeight w:val="167"/>
        </w:trPr>
        <w:tc>
          <w:tcPr>
            <w:tcW w:w="3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(Interactive Health Solutions, Inc.)</w:t>
            </w:r>
          </w:p>
        </w:tc>
        <w:tc>
          <w:tcPr>
            <w:tcW w:w="13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1300" w:type="dxa"/>
            <w:vAlign w:val="bottom"/>
          </w:tcPr>
          <w:p>
            <w:pPr>
              <w:ind w:left="840"/>
              <w:spacing w:after="0" w:line="130" w:lineRule="exact"/>
              <w:rPr>
                <w:sz w:val="20"/>
                <w:szCs w:val="20"/>
                <w:color w:val="auto"/>
              </w:rPr>
            </w:pPr>
            <w:r>
              <w:rPr>
                <w:rFonts w:ascii="Arial" w:cs="Arial" w:eastAsia="Arial" w:hAnsi="Arial"/>
                <w:sz w:val="14"/>
                <w:szCs w:val="14"/>
                <w:color w:val="auto"/>
              </w:rPr>
              <w:t>—</w:t>
            </w:r>
          </w:p>
        </w:tc>
        <w:tc>
          <w:tcPr>
            <w:tcW w:w="1500" w:type="dxa"/>
            <w:vAlign w:val="bottom"/>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8.00%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2,375</w:t>
            </w: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2,375,000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2,408,885</w:t>
            </w:r>
          </w:p>
        </w:tc>
        <w:tc>
          <w:tcPr>
            <w:tcW w:w="0" w:type="dxa"/>
            <w:vAlign w:val="bottom"/>
          </w:tcPr>
          <w:p>
            <w:pPr>
              <w:spacing w:after="0"/>
              <w:rPr>
                <w:sz w:val="1"/>
                <w:szCs w:val="1"/>
                <w:color w:val="auto"/>
              </w:rPr>
            </w:pPr>
          </w:p>
        </w:tc>
      </w:tr>
      <w:tr>
        <w:trPr>
          <w:trHeight w:val="167"/>
        </w:trPr>
        <w:tc>
          <w:tcPr>
            <w:tcW w:w="3680" w:type="dxa"/>
            <w:vAlign w:val="bottom"/>
          </w:tcPr>
          <w:p>
            <w:pPr>
              <w:ind w:left="160"/>
              <w:spacing w:after="0"/>
              <w:rPr>
                <w:sz w:val="20"/>
                <w:szCs w:val="20"/>
                <w:color w:val="auto"/>
              </w:rPr>
            </w:pPr>
            <w:r>
              <w:rPr>
                <w:rFonts w:ascii="Arial" w:cs="Arial" w:eastAsia="Arial" w:hAnsi="Arial"/>
                <w:sz w:val="14"/>
                <w:szCs w:val="14"/>
                <w:color w:val="auto"/>
              </w:rPr>
              <w:t>(Convergint Technologies LLC)</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3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326,215</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326,215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HW Topco, Inc. (Hanley-Wood, LLC)</w:t>
            </w:r>
          </w:p>
        </w:tc>
        <w:tc>
          <w:tcPr>
            <w:tcW w:w="1300" w:type="dxa"/>
            <w:vAlign w:val="bottom"/>
          </w:tcPr>
          <w:p>
            <w:pPr>
              <w:ind w:left="84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Media</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3,591</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24,177</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35,087</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13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8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686</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685,820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TZ Holdings, L.P., Series B</w:t>
            </w:r>
          </w:p>
        </w:tc>
        <w:tc>
          <w:tcPr>
            <w:tcW w:w="1300" w:type="dxa"/>
            <w:vAlign w:val="bottom"/>
          </w:tcPr>
          <w:p>
            <w:pPr>
              <w:ind w:left="84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1,312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1,408,712</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13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Personal Transportation</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1,824,167</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1,824,168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691,173</w:t>
            </w:r>
          </w:p>
        </w:tc>
        <w:tc>
          <w:tcPr>
            <w:tcW w:w="0" w:type="dxa"/>
            <w:vAlign w:val="bottom"/>
          </w:tcPr>
          <w:p>
            <w:pPr>
              <w:spacing w:after="0"/>
              <w:rPr>
                <w:sz w:val="1"/>
                <w:szCs w:val="1"/>
                <w:color w:val="auto"/>
              </w:rPr>
            </w:pPr>
          </w:p>
        </w:tc>
      </w:tr>
      <w:tr>
        <w:trPr>
          <w:trHeight w:val="155"/>
        </w:trPr>
        <w:tc>
          <w:tcPr>
            <w:tcW w:w="3680" w:type="dxa"/>
            <w:vAlign w:val="bottom"/>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9,463,293</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9,125,234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Par /</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64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Coupon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Common Equity/Warrants/Partnership Interests—9.4%</w:t>
            </w:r>
            <w:r>
              <w:rPr>
                <w:rFonts w:ascii="Arial" w:cs="Arial" w:eastAsia="Arial" w:hAnsi="Arial"/>
                <w:sz w:val="12"/>
                <w:szCs w:val="12"/>
                <w:b w:val="1"/>
                <w:bCs w:val="1"/>
                <w:color w:val="auto"/>
              </w:rPr>
              <w:t>(6)</w:t>
            </w:r>
          </w:p>
        </w:tc>
        <w:tc>
          <w:tcPr>
            <w:tcW w:w="82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8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2,000,000</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   1,574,774</w:t>
            </w: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w:t>
            </w:r>
          </w:p>
        </w:tc>
        <w:tc>
          <w:tcPr>
            <w:tcW w:w="8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4"/>
              </w:rPr>
              <w:t>03/23/2021</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1"/>
                <w:szCs w:val="11"/>
                <w:color w:val="auto"/>
              </w:rPr>
            </w:pPr>
          </w:p>
        </w:tc>
        <w:tc>
          <w:tcPr>
            <w:tcW w:w="880" w:type="dxa"/>
            <w:vAlign w:val="bottom"/>
            <w:gridSpan w:val="3"/>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2,560,024</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82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3"/>
              </w:rPr>
              <w:t>Financial Services</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950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(Alegeus Technologies, LLC)</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8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Broadcasting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1,333,330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Entertainment</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 xml:space="preserve">CI (Galls) Prime Investment Holdings, LLC (Galls, LLC) </w:t>
            </w:r>
            <w:r>
              <w:rPr>
                <w:rFonts w:ascii="Arial" w:cs="Arial" w:eastAsia="Arial" w:hAnsi="Arial"/>
                <w:sz w:val="12"/>
                <w:szCs w:val="12"/>
                <w:color w:val="auto"/>
              </w:rPr>
              <w:t>(11)</w:t>
            </w:r>
          </w:p>
        </w:tc>
        <w:tc>
          <w:tcPr>
            <w:tcW w:w="8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7"/>
              </w:rPr>
              <w:t>Distribution</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1,505,000</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1,505,000</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2,131,562</w:t>
            </w: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8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23,416</w:t>
            </w:r>
          </w:p>
        </w:tc>
        <w:tc>
          <w:tcPr>
            <w:tcW w:w="8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234,693</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358,680</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(Interactive Health Solutions, Inc.)</w:t>
            </w: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82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11,708</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117,346</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179,340</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(Interactive Health Solutions, Inc.)</w:t>
            </w:r>
          </w:p>
        </w:tc>
        <w:tc>
          <w:tcPr>
            <w:tcW w:w="8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8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1"/>
                <w:szCs w:val="11"/>
                <w:color w:val="auto"/>
              </w:rPr>
            </w:pPr>
          </w:p>
        </w:tc>
        <w:tc>
          <w:tcPr>
            <w:tcW w:w="880" w:type="dxa"/>
            <w:vAlign w:val="bottom"/>
            <w:gridSpan w:val="3"/>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86,898</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(Convergint Technologies LLC)</w:t>
            </w: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8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5,556</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1,918,346</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7,008,465</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8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Media</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386,770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2,697,834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3,458,884</w:t>
            </w: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Kadmon Holdings, LLC, Class A</w:t>
            </w:r>
          </w:p>
        </w:tc>
        <w:tc>
          <w:tcPr>
            <w:tcW w:w="82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1,079,920</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1,236,831</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11,310,950</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(Kadmon Pharmaceuticals, LLC)</w:t>
            </w:r>
          </w:p>
        </w:tc>
        <w:tc>
          <w:tcPr>
            <w:tcW w:w="8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1,079,920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1,028,807</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(Kadmon Pharmaceuticals, LLC)</w:t>
            </w: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20" w:type="dxa"/>
            <w:vAlign w:val="bottom"/>
          </w:tcPr>
          <w:p>
            <w:pPr>
              <w:ind w:left="140"/>
              <w:spacing w:after="0" w:line="149" w:lineRule="exact"/>
              <w:rPr>
                <w:sz w:val="20"/>
                <w:szCs w:val="20"/>
                <w:color w:val="auto"/>
              </w:rPr>
            </w:pPr>
            <w:r>
              <w:rPr>
                <w:rFonts w:ascii="Arial" w:cs="Arial" w:eastAsia="Arial" w:hAnsi="Arial"/>
                <w:sz w:val="14"/>
                <w:szCs w:val="14"/>
                <w:color w:val="auto"/>
                <w:w w:val="94"/>
              </w:rPr>
              <w:t>04/27/2020</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Education</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6,649</w:t>
            </w:r>
          </w:p>
        </w:tc>
        <w:tc>
          <w:tcPr>
            <w:tcW w:w="8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779,920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3,511,465</w:t>
            </w: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8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1,221,932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3,239,999</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4,460,052</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(Eureka Hunter Pipeline, LLC)</w:t>
            </w: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Magnum Hunter Resources Corporation (Warrants)</w:t>
            </w:r>
          </w:p>
        </w:tc>
        <w:tc>
          <w:tcPr>
            <w:tcW w:w="820" w:type="dxa"/>
            <w:vAlign w:val="bottom"/>
          </w:tcPr>
          <w:p>
            <w:pPr>
              <w:ind w:left="140"/>
              <w:spacing w:after="0" w:line="130" w:lineRule="exact"/>
              <w:rPr>
                <w:sz w:val="20"/>
                <w:szCs w:val="20"/>
                <w:color w:val="auto"/>
              </w:rPr>
            </w:pPr>
            <w:r>
              <w:rPr>
                <w:rFonts w:ascii="Arial" w:cs="Arial" w:eastAsia="Arial" w:hAnsi="Arial"/>
                <w:sz w:val="14"/>
                <w:szCs w:val="14"/>
                <w:color w:val="auto"/>
                <w:w w:val="94"/>
              </w:rPr>
              <w:t>10/14/2013</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122,193</w:t>
            </w:r>
          </w:p>
        </w:tc>
        <w:tc>
          <w:tcPr>
            <w:tcW w:w="80" w:type="dxa"/>
            <w:vAlign w:val="bottom"/>
          </w:tcPr>
          <w:p>
            <w:pPr>
              <w:spacing w:after="0"/>
              <w:rPr>
                <w:sz w:val="11"/>
                <w:szCs w:val="11"/>
                <w:color w:val="auto"/>
              </w:rPr>
            </w:pPr>
          </w:p>
        </w:tc>
        <w:tc>
          <w:tcPr>
            <w:tcW w:w="88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105,697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(Eureka Hunter Pipeline, LLC)</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8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Distribution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1,850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1,850,294</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1,810,582</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(JF Acquisition, LLC)</w:t>
            </w: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MidOcean PPL Holdings, Inc.</w:t>
            </w:r>
          </w:p>
        </w:tc>
        <w:tc>
          <w:tcPr>
            <w:tcW w:w="82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1"/>
              </w:rPr>
              <w:t>Personal, Food and</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5,317,300</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(Pre-Paid Legal Services, Inc.)</w:t>
            </w:r>
          </w:p>
        </w:tc>
        <w:tc>
          <w:tcPr>
            <w:tcW w:w="8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Miscellaneous Services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8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2,000,000</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2,873,995</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QMG HoldCo, LLC, Class A</w:t>
            </w:r>
          </w:p>
        </w:tc>
        <w:tc>
          <w:tcPr>
            <w:tcW w:w="82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3"/>
              </w:rPr>
              <w:t>Other Media</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1,306,167</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2,180,569</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(Questex Media Group, LLC)</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B</w:t>
            </w:r>
          </w:p>
        </w:tc>
        <w:tc>
          <w:tcPr>
            <w:tcW w:w="8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Other Media</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1"/>
                <w:szCs w:val="11"/>
                <w:color w:val="auto"/>
              </w:rPr>
            </w:pPr>
          </w:p>
        </w:tc>
        <w:tc>
          <w:tcPr>
            <w:tcW w:w="880" w:type="dxa"/>
            <w:vAlign w:val="bottom"/>
            <w:gridSpan w:val="3"/>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267,718</w:t>
            </w:r>
          </w:p>
        </w:tc>
        <w:tc>
          <w:tcPr>
            <w:tcW w:w="0" w:type="dxa"/>
            <w:vAlign w:val="bottom"/>
          </w:tcPr>
          <w:p>
            <w:pPr>
              <w:spacing w:after="0"/>
              <w:rPr>
                <w:sz w:val="1"/>
                <w:szCs w:val="1"/>
                <w:color w:val="auto"/>
              </w:rPr>
            </w:pPr>
          </w:p>
        </w:tc>
      </w:tr>
      <w:tr>
        <w:trPr>
          <w:trHeight w:val="167"/>
        </w:trPr>
        <w:tc>
          <w:tcPr>
            <w:tcW w:w="4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(Questex Media Group, LLC)</w:t>
            </w: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SPG Boyd Holdings Corp.</w:t>
            </w:r>
          </w:p>
        </w:tc>
        <w:tc>
          <w:tcPr>
            <w:tcW w:w="82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2"/>
              </w:rPr>
              <w:t>Chemical, Plastic and</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300,000</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4,811,167</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(LTI Flexible Products, Inc.)</w:t>
            </w:r>
          </w:p>
        </w:tc>
        <w:tc>
          <w:tcPr>
            <w:tcW w:w="8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Rubber</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12/29/2019</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29,400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691,010</w:t>
            </w: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p>
        </w:tc>
        <w:tc>
          <w:tcPr>
            <w:tcW w:w="82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2"/>
              </w:rPr>
              <w:t>Cargo Transport</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137,923</w:t>
            </w:r>
          </w:p>
        </w:tc>
        <w:tc>
          <w:tcPr>
            <w:tcW w:w="80" w:type="dxa"/>
            <w:vAlign w:val="bottom"/>
          </w:tcPr>
          <w:p>
            <w:pPr>
              <w:spacing w:after="0"/>
              <w:rPr>
                <w:sz w:val="11"/>
                <w:szCs w:val="11"/>
                <w:color w:val="auto"/>
              </w:rPr>
            </w:pPr>
          </w:p>
        </w:tc>
        <w:tc>
          <w:tcPr>
            <w:tcW w:w="88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2,111,588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371,271</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(Intermediate Transportation 100, L.L.C.)</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8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9,568</w:t>
            </w:r>
          </w:p>
        </w:tc>
        <w:tc>
          <w:tcPr>
            <w:tcW w:w="9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660" w:type="dxa"/>
            <w:vAlign w:val="bottom"/>
          </w:tcPr>
          <w:p>
            <w:pPr>
              <w:spacing w:after="0" w:line="130" w:lineRule="exact"/>
              <w:rPr>
                <w:sz w:val="20"/>
                <w:szCs w:val="20"/>
                <w:color w:val="auto"/>
              </w:rPr>
            </w:pPr>
            <w:r>
              <w:rPr>
                <w:rFonts w:ascii="Arial" w:cs="Arial" w:eastAsia="Arial" w:hAnsi="Arial"/>
                <w:sz w:val="14"/>
                <w:szCs w:val="14"/>
                <w:color w:val="auto"/>
              </w:rPr>
              <w:t>Vestcom Parent Holdings, Inc.</w:t>
            </w:r>
          </w:p>
        </w:tc>
        <w:tc>
          <w:tcPr>
            <w:tcW w:w="82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4"/>
              </w:rPr>
              <w:t>Printing and Publishing</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30" w:lineRule="exact"/>
              <w:rPr>
                <w:sz w:val="20"/>
                <w:szCs w:val="20"/>
                <w:color w:val="auto"/>
              </w:rPr>
            </w:pPr>
            <w:r>
              <w:rPr>
                <w:rFonts w:ascii="Arial" w:cs="Arial" w:eastAsia="Arial" w:hAnsi="Arial"/>
                <w:sz w:val="14"/>
                <w:szCs w:val="14"/>
                <w:color w:val="auto"/>
              </w:rPr>
              <w:t>211,797</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2,325,555</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2,483,543</w:t>
            </w:r>
          </w:p>
        </w:tc>
        <w:tc>
          <w:tcPr>
            <w:tcW w:w="0" w:type="dxa"/>
            <w:vAlign w:val="bottom"/>
          </w:tcPr>
          <w:p>
            <w:pPr>
              <w:spacing w:after="0"/>
              <w:rPr>
                <w:sz w:val="1"/>
                <w:szCs w:val="1"/>
                <w:color w:val="auto"/>
              </w:rPr>
            </w:pPr>
          </w:p>
        </w:tc>
      </w:tr>
      <w:tr>
        <w:trPr>
          <w:trHeight w:val="167"/>
        </w:trPr>
        <w:tc>
          <w:tcPr>
            <w:tcW w:w="4660" w:type="dxa"/>
            <w:vAlign w:val="bottom"/>
          </w:tcPr>
          <w:p>
            <w:pPr>
              <w:ind w:left="160"/>
              <w:spacing w:after="0"/>
              <w:rPr>
                <w:sz w:val="20"/>
                <w:szCs w:val="20"/>
                <w:color w:val="auto"/>
              </w:rPr>
            </w:pPr>
            <w:r>
              <w:rPr>
                <w:rFonts w:ascii="Arial" w:cs="Arial" w:eastAsia="Arial" w:hAnsi="Arial"/>
                <w:sz w:val="14"/>
                <w:szCs w:val="14"/>
                <w:color w:val="auto"/>
              </w:rPr>
              <w:t>(Vestcom International, Inc.)</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8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Personal Transportation</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9,166</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9,166</w:t>
            </w:r>
          </w:p>
        </w:tc>
        <w:tc>
          <w:tcPr>
            <w:tcW w:w="9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660" w:type="dxa"/>
            <w:vAlign w:val="bottom"/>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8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35,526</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6,342,253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8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37,557,161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64,820,337</w:t>
            </w:r>
          </w:p>
        </w:tc>
        <w:tc>
          <w:tcPr>
            <w:tcW w:w="0" w:type="dxa"/>
            <w:vAlign w:val="bottom"/>
          </w:tcPr>
          <w:p>
            <w:pPr>
              <w:spacing w:after="0"/>
              <w:rPr>
                <w:sz w:val="1"/>
                <w:szCs w:val="1"/>
                <w:color w:val="auto"/>
              </w:rPr>
            </w:pPr>
          </w:p>
        </w:tc>
      </w:tr>
      <w:tr>
        <w:trPr>
          <w:trHeight w:val="155"/>
        </w:trPr>
        <w:tc>
          <w:tcPr>
            <w:tcW w:w="4660" w:type="dxa"/>
            <w:vAlign w:val="bottom"/>
          </w:tcPr>
          <w:p>
            <w:pPr>
              <w:spacing w:after="0" w:line="155" w:lineRule="exact"/>
              <w:rPr>
                <w:sz w:val="20"/>
                <w:szCs w:val="20"/>
                <w:color w:val="auto"/>
              </w:rPr>
            </w:pPr>
            <w:r>
              <w:rPr>
                <w:rFonts w:ascii="Arial" w:cs="Arial" w:eastAsia="Arial" w:hAnsi="Arial"/>
                <w:sz w:val="14"/>
                <w:szCs w:val="14"/>
                <w:b w:val="1"/>
                <w:bCs w:val="1"/>
                <w:color w:val="auto"/>
                <w:w w:val="96"/>
              </w:rPr>
              <w:t>Total Investments in Non-Controlled, Non-Affiliated Portfolio Companies</w:t>
            </w:r>
          </w:p>
        </w:tc>
        <w:tc>
          <w:tcPr>
            <w:tcW w:w="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888,478,404</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919,743,390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Basis Point</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88"/>
              </w:rPr>
              <w:t>Spread</w:t>
            </w: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 /</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Maturity</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40" w:type="dxa"/>
            <w:vAlign w:val="bottom"/>
            <w:vMerge w:val="continue"/>
          </w:tcPr>
          <w:p>
            <w:pPr>
              <w:spacing w:after="0"/>
              <w:rPr>
                <w:sz w:val="12"/>
                <w:szCs w:val="12"/>
                <w:color w:val="auto"/>
              </w:rPr>
            </w:pPr>
          </w:p>
        </w:tc>
        <w:tc>
          <w:tcPr>
            <w:tcW w:w="9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88"/>
              </w:rPr>
              <w:t>Above</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0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8"/>
              </w:rPr>
              <w:t xml:space="preserve">Fair Value </w:t>
            </w:r>
            <w:r>
              <w:rPr>
                <w:rFonts w:ascii="Arial" w:cs="Arial" w:eastAsia="Arial" w:hAnsi="Arial"/>
                <w:sz w:val="12"/>
                <w:szCs w:val="12"/>
                <w:b w:val="1"/>
                <w:bCs w:val="1"/>
                <w:color w:val="auto"/>
                <w:w w:val="98"/>
              </w:rPr>
              <w:t>(3)</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Coupon</w:t>
            </w: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w w:val="97"/>
              </w:rPr>
              <w:t xml:space="preserve">Index </w:t>
            </w:r>
            <w:r>
              <w:rPr>
                <w:rFonts w:ascii="Arial" w:cs="Arial" w:eastAsia="Arial" w:hAnsi="Arial"/>
                <w:sz w:val="12"/>
                <w:szCs w:val="12"/>
                <w:b w:val="1"/>
                <w:bCs w:val="1"/>
                <w:color w:val="auto"/>
                <w:w w:val="97"/>
              </w:rPr>
              <w:t>(4)</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 xml:space="preserve">Investments in Non-Controlled, Affiliated Portfolio Companies—15.7% </w:t>
            </w:r>
            <w:r>
              <w:rPr>
                <w:rFonts w:ascii="Arial" w:cs="Arial" w:eastAsia="Arial" w:hAnsi="Arial"/>
                <w:sz w:val="12"/>
                <w:szCs w:val="12"/>
                <w:b w:val="1"/>
                <w:bCs w:val="1"/>
                <w:color w:val="auto"/>
                <w:w w:val="97"/>
              </w:rPr>
              <w:t>(1),(2)</w:t>
            </w:r>
          </w:p>
        </w:tc>
        <w:tc>
          <w:tcPr>
            <w:tcW w:w="13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Performance, Inc.</w:t>
            </w:r>
          </w:p>
        </w:tc>
        <w:tc>
          <w:tcPr>
            <w:tcW w:w="8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01/16/2015</w:t>
            </w:r>
          </w:p>
        </w:tc>
        <w:tc>
          <w:tcPr>
            <w:tcW w:w="13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Leisure, Amusement</w:t>
            </w:r>
          </w:p>
        </w:tc>
        <w:tc>
          <w:tcPr>
            <w:tcW w:w="10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7.25%</w:t>
            </w:r>
          </w:p>
        </w:tc>
        <w:tc>
          <w:tcPr>
            <w:tcW w:w="98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 xml:space="preserve">L+625 </w:t>
            </w:r>
            <w:r>
              <w:rPr>
                <w:rFonts w:ascii="Arial" w:cs="Arial" w:eastAsia="Arial" w:hAnsi="Arial"/>
                <w:sz w:val="12"/>
                <w:szCs w:val="12"/>
                <w:color w:val="auto"/>
              </w:rPr>
              <w:t>(8)</w:t>
            </w:r>
          </w:p>
        </w:tc>
        <w:tc>
          <w:tcPr>
            <w:tcW w:w="9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8,000,000</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8,000,000</w:t>
            </w:r>
          </w:p>
        </w:tc>
        <w:tc>
          <w:tcPr>
            <w:tcW w:w="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7,944,000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Motion Pictures and</w:t>
            </w: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Entertainment</w:t>
            </w: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line="155" w:lineRule="exact"/>
              <w:rPr>
                <w:sz w:val="20"/>
                <w:szCs w:val="20"/>
                <w:color w:val="auto"/>
              </w:rPr>
            </w:pPr>
            <w:r>
              <w:rPr>
                <w:rFonts w:ascii="Arial" w:cs="Arial" w:eastAsia="Arial" w:hAnsi="Arial"/>
                <w:sz w:val="14"/>
                <w:szCs w:val="14"/>
                <w:b w:val="1"/>
                <w:bCs w:val="1"/>
                <w:color w:val="auto"/>
              </w:rPr>
              <w:t>Subordinated Debt/Corporate Notes—8.6%</w:t>
            </w: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8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4"/>
              </w:rPr>
              <w:t>11/05/2019</w:t>
            </w:r>
          </w:p>
        </w:tc>
        <w:tc>
          <w:tcPr>
            <w:tcW w:w="13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Consumer Products</w:t>
            </w:r>
          </w:p>
        </w:tc>
        <w:tc>
          <w:tcPr>
            <w:tcW w:w="10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12.00%</w:t>
            </w:r>
          </w:p>
        </w:tc>
        <w:tc>
          <w:tcPr>
            <w:tcW w:w="9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9"/>
              </w:rPr>
              <w:t>11,095,363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11,095,363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11,095,363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(PIK 12.00%)</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line="130" w:lineRule="exact"/>
              <w:rPr>
                <w:sz w:val="20"/>
                <w:szCs w:val="20"/>
                <w:color w:val="auto"/>
              </w:rPr>
            </w:pPr>
            <w:r>
              <w:rPr>
                <w:rFonts w:ascii="Arial" w:cs="Arial" w:eastAsia="Arial" w:hAnsi="Arial"/>
                <w:sz w:val="14"/>
                <w:szCs w:val="14"/>
                <w:color w:val="auto"/>
              </w:rPr>
              <w:t>Performance Holdings, Inc.</w:t>
            </w:r>
          </w:p>
        </w:tc>
        <w:tc>
          <w:tcPr>
            <w:tcW w:w="2140" w:type="dxa"/>
            <w:vAlign w:val="bottom"/>
            <w:gridSpan w:val="2"/>
          </w:tcPr>
          <w:p>
            <w:pPr>
              <w:ind w:left="140"/>
              <w:spacing w:after="0" w:line="130" w:lineRule="exact"/>
              <w:rPr>
                <w:sz w:val="20"/>
                <w:szCs w:val="20"/>
                <w:color w:val="auto"/>
              </w:rPr>
            </w:pPr>
            <w:r>
              <w:rPr>
                <w:rFonts w:ascii="Arial" w:cs="Arial" w:eastAsia="Arial" w:hAnsi="Arial"/>
                <w:sz w:val="14"/>
                <w:szCs w:val="14"/>
                <w:color w:val="auto"/>
                <w:w w:val="95"/>
              </w:rPr>
              <w:t>07/16/2015 Leisure, Amusement,</w:t>
            </w:r>
          </w:p>
        </w:tc>
        <w:tc>
          <w:tcPr>
            <w:tcW w:w="1040" w:type="dxa"/>
            <w:vAlign w:val="bottom"/>
          </w:tcPr>
          <w:p>
            <w:pPr>
              <w:jc w:val="right"/>
              <w:spacing w:after="0" w:line="130" w:lineRule="exact"/>
              <w:rPr>
                <w:sz w:val="20"/>
                <w:szCs w:val="20"/>
                <w:color w:val="auto"/>
              </w:rPr>
            </w:pPr>
            <w:r>
              <w:rPr>
                <w:rFonts w:ascii="Arial" w:cs="Arial" w:eastAsia="Arial" w:hAnsi="Arial"/>
                <w:sz w:val="14"/>
                <w:szCs w:val="14"/>
                <w:color w:val="auto"/>
              </w:rPr>
              <w:t xml:space="preserve">15.00% </w:t>
            </w:r>
            <w:r>
              <w:rPr>
                <w:rFonts w:ascii="Arial" w:cs="Arial" w:eastAsia="Arial" w:hAnsi="Arial"/>
                <w:sz w:val="12"/>
                <w:szCs w:val="12"/>
                <w:color w:val="auto"/>
              </w:rPr>
              <w:t>(7)</w:t>
            </w:r>
          </w:p>
        </w:tc>
        <w:tc>
          <w:tcPr>
            <w:tcW w:w="98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7,851,005</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7,741,633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7,851,005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Motion Pictures and</w:t>
            </w: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Entertainment</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10/02/2017</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Auto Sector</w:t>
            </w:r>
          </w:p>
        </w:tc>
        <w:tc>
          <w:tcPr>
            <w:tcW w:w="10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12.50%</w:t>
            </w:r>
          </w:p>
        </w:tc>
        <w:tc>
          <w:tcPr>
            <w:tcW w:w="9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24,000,000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23,551,306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24,347,155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line="149" w:lineRule="exact"/>
              <w:rPr>
                <w:sz w:val="20"/>
                <w:szCs w:val="20"/>
                <w:color w:val="auto"/>
              </w:rPr>
            </w:pPr>
            <w:r>
              <w:rPr>
                <w:rFonts w:ascii="Arial" w:cs="Arial" w:eastAsia="Arial" w:hAnsi="Arial"/>
                <w:sz w:val="14"/>
                <w:szCs w:val="14"/>
                <w:color w:val="auto"/>
              </w:rPr>
              <w:t xml:space="preserve">Service Champ, Inc. </w:t>
            </w:r>
            <w:r>
              <w:rPr>
                <w:rFonts w:ascii="Arial" w:cs="Arial" w:eastAsia="Arial" w:hAnsi="Arial"/>
                <w:sz w:val="12"/>
                <w:szCs w:val="12"/>
                <w:color w:val="auto"/>
              </w:rPr>
              <w:t>(9)</w:t>
            </w:r>
          </w:p>
        </w:tc>
        <w:tc>
          <w:tcPr>
            <w:tcW w:w="840" w:type="dxa"/>
            <w:vAlign w:val="bottom"/>
          </w:tcPr>
          <w:p>
            <w:pPr>
              <w:ind w:left="140"/>
              <w:spacing w:after="0" w:line="149" w:lineRule="exact"/>
              <w:rPr>
                <w:sz w:val="20"/>
                <w:szCs w:val="20"/>
                <w:color w:val="auto"/>
              </w:rPr>
            </w:pPr>
            <w:r>
              <w:rPr>
                <w:rFonts w:ascii="Arial" w:cs="Arial" w:eastAsia="Arial" w:hAnsi="Arial"/>
                <w:sz w:val="14"/>
                <w:szCs w:val="14"/>
                <w:color w:val="auto"/>
                <w:w w:val="96"/>
              </w:rPr>
              <w:t>10/02/2013</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2"/>
              </w:rPr>
              <w:t>Auto Sector</w:t>
            </w:r>
          </w:p>
        </w:tc>
        <w:tc>
          <w:tcPr>
            <w:tcW w:w="10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16,000,000</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15,640,000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16,231,437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58,028,302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59,524,960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Preferred Equity – 0.7% </w:t>
            </w:r>
            <w:r>
              <w:rPr>
                <w:rFonts w:ascii="Arial" w:cs="Arial" w:eastAsia="Arial" w:hAnsi="Arial"/>
                <w:sz w:val="12"/>
                <w:szCs w:val="12"/>
                <w:b w:val="1"/>
                <w:bCs w:val="1"/>
                <w:color w:val="auto"/>
              </w:rPr>
              <w:t>(6)</w:t>
            </w: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84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Aerospace and</w:t>
            </w:r>
          </w:p>
        </w:tc>
        <w:tc>
          <w:tcPr>
            <w:tcW w:w="1040" w:type="dxa"/>
            <w:vAlign w:val="bottom"/>
            <w:shd w:val="clear" w:color="auto" w:fill="CCEEFF"/>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53,071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20,059,340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5,254,052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Defense</w:t>
            </w: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Common Equity/Partnership Interest—5.3% </w:t>
            </w:r>
            <w:r>
              <w:rPr>
                <w:rFonts w:ascii="Arial" w:cs="Arial" w:eastAsia="Arial" w:hAnsi="Arial"/>
                <w:sz w:val="12"/>
                <w:szCs w:val="12"/>
                <w:b w:val="1"/>
                <w:bCs w:val="1"/>
                <w:color w:val="auto"/>
              </w:rPr>
              <w:t>(6)</w:t>
            </w: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8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0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104,719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21,492,822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5,418,278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840" w:type="dxa"/>
            <w:vAlign w:val="bottom"/>
          </w:tcPr>
          <w:p>
            <w:pPr>
              <w:ind w:left="160"/>
              <w:spacing w:after="0" w:line="149" w:lineRule="exact"/>
              <w:rPr>
                <w:sz w:val="20"/>
                <w:szCs w:val="20"/>
                <w:color w:val="auto"/>
              </w:rPr>
            </w:pPr>
            <w:r>
              <w:rPr>
                <w:rFonts w:ascii="Arial" w:cs="Arial" w:eastAsia="Arial" w:hAnsi="Arial"/>
                <w:sz w:val="14"/>
                <w:szCs w:val="14"/>
                <w:color w:val="auto"/>
                <w:w w:val="94"/>
              </w:rPr>
              <w:t>11/05/2022</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0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15,486</w:t>
            </w:r>
          </w:p>
        </w:tc>
        <w:tc>
          <w:tcPr>
            <w:tcW w:w="80" w:type="dxa"/>
            <w:vAlign w:val="bottom"/>
          </w:tcPr>
          <w:p>
            <w:pPr>
              <w:spacing w:after="0"/>
              <w:rPr>
                <w:sz w:val="12"/>
                <w:szCs w:val="12"/>
                <w:color w:val="auto"/>
              </w:rPr>
            </w:pP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801,108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84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Environmental</w:t>
            </w:r>
          </w:p>
        </w:tc>
        <w:tc>
          <w:tcPr>
            <w:tcW w:w="1040" w:type="dxa"/>
            <w:vAlign w:val="bottom"/>
            <w:shd w:val="clear" w:color="auto" w:fill="CCEEFF"/>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141,888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11,835,704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21,185,786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Services</w:t>
            </w: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line="130" w:lineRule="exact"/>
              <w:rPr>
                <w:sz w:val="20"/>
                <w:szCs w:val="20"/>
                <w:color w:val="auto"/>
              </w:rPr>
            </w:pPr>
            <w:r>
              <w:rPr>
                <w:rFonts w:ascii="Arial" w:cs="Arial" w:eastAsia="Arial" w:hAnsi="Arial"/>
                <w:sz w:val="14"/>
                <w:szCs w:val="14"/>
                <w:color w:val="auto"/>
              </w:rPr>
              <w:t>NCP-Performance (Performance Holdings, Inc.)</w:t>
            </w:r>
          </w:p>
        </w:tc>
        <w:tc>
          <w:tcPr>
            <w:tcW w:w="840" w:type="dxa"/>
            <w:vAlign w:val="bottom"/>
          </w:tcPr>
          <w:p>
            <w:pPr>
              <w:ind w:left="360"/>
              <w:spacing w:after="0" w:line="130"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30" w:lineRule="exact"/>
              <w:rPr>
                <w:sz w:val="20"/>
                <w:szCs w:val="20"/>
                <w:color w:val="auto"/>
              </w:rPr>
            </w:pPr>
            <w:r>
              <w:rPr>
                <w:rFonts w:ascii="Arial" w:cs="Arial" w:eastAsia="Arial" w:hAnsi="Arial"/>
                <w:sz w:val="14"/>
                <w:szCs w:val="14"/>
                <w:color w:val="auto"/>
                <w:w w:val="92"/>
              </w:rPr>
              <w:t>Leisure,</w:t>
            </w:r>
          </w:p>
        </w:tc>
        <w:tc>
          <w:tcPr>
            <w:tcW w:w="1040" w:type="dxa"/>
            <w:vAlign w:val="bottom"/>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98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375,000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3,750,000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2,808,900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1"/>
              </w:rPr>
              <w:t>Amusement,</w:t>
            </w: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Motion Pictures and</w:t>
            </w: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Entertainment</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Service Champ Holdings, Inc.</w:t>
            </w:r>
          </w:p>
        </w:tc>
        <w:tc>
          <w:tcPr>
            <w:tcW w:w="84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Auto Sector</w:t>
            </w:r>
          </w:p>
        </w:tc>
        <w:tc>
          <w:tcPr>
            <w:tcW w:w="1040" w:type="dxa"/>
            <w:vAlign w:val="bottom"/>
            <w:shd w:val="clear" w:color="auto" w:fill="CCEEFF"/>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16,800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4,200,000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6,239,617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Champ, Inc.)</w:t>
            </w:r>
          </w:p>
        </w:tc>
        <w:tc>
          <w:tcPr>
            <w:tcW w:w="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840" w:type="dxa"/>
            <w:vAlign w:val="bottom"/>
          </w:tcPr>
          <w:p>
            <w:pPr>
              <w:ind w:left="360"/>
              <w:spacing w:after="0" w:line="130"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30" w:lineRule="exact"/>
              <w:rPr>
                <w:sz w:val="20"/>
                <w:szCs w:val="20"/>
                <w:color w:val="auto"/>
              </w:rPr>
            </w:pPr>
            <w:r>
              <w:rPr>
                <w:rFonts w:ascii="Arial" w:cs="Arial" w:eastAsia="Arial" w:hAnsi="Arial"/>
                <w:sz w:val="14"/>
                <w:szCs w:val="14"/>
                <w:color w:val="auto"/>
                <w:w w:val="89"/>
              </w:rPr>
              <w:t>Aerospace and</w:t>
            </w:r>
          </w:p>
        </w:tc>
        <w:tc>
          <w:tcPr>
            <w:tcW w:w="1040" w:type="dxa"/>
            <w:vAlign w:val="bottom"/>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98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53,071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202,620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53,071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Defense</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41,481,146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36,506,760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127,568,788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109,229,772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Investments in Controlled, Affiliated Portfolio Companies—5.4% </w:t>
            </w:r>
            <w:r>
              <w:rPr>
                <w:rFonts w:ascii="Arial" w:cs="Arial" w:eastAsia="Arial" w:hAnsi="Arial"/>
                <w:sz w:val="12"/>
                <w:szCs w:val="12"/>
                <w:b w:val="1"/>
                <w:bCs w:val="1"/>
                <w:color w:val="auto"/>
              </w:rPr>
              <w:t>(1),(2)</w:t>
            </w: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06/30/2020</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xml:space="preserve">14.00% </w:t>
            </w:r>
            <w:r>
              <w:rPr>
                <w:rFonts w:ascii="Arial" w:cs="Arial" w:eastAsia="Arial" w:hAnsi="Arial"/>
                <w:sz w:val="12"/>
                <w:szCs w:val="12"/>
                <w:color w:val="auto"/>
              </w:rPr>
              <w:t>(7)</w:t>
            </w:r>
          </w:p>
        </w:tc>
        <w:tc>
          <w:tcPr>
            <w:tcW w:w="9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8,850,000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8,850,000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9,149,799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840" w:type="dxa"/>
            <w:vAlign w:val="bottom"/>
          </w:tcPr>
          <w:p>
            <w:pPr>
              <w:ind w:left="140"/>
              <w:spacing w:after="0" w:line="149" w:lineRule="exact"/>
              <w:rPr>
                <w:sz w:val="20"/>
                <w:szCs w:val="20"/>
                <w:color w:val="auto"/>
              </w:rPr>
            </w:pPr>
            <w:r>
              <w:rPr>
                <w:rFonts w:ascii="Arial" w:cs="Arial" w:eastAsia="Arial" w:hAnsi="Arial"/>
                <w:sz w:val="14"/>
                <w:szCs w:val="14"/>
                <w:color w:val="auto"/>
                <w:w w:val="96"/>
              </w:rPr>
              <w:t>12/31/2015</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1"/>
              </w:rPr>
              <w:t>Oil and Gas</w:t>
            </w:r>
          </w:p>
        </w:tc>
        <w:tc>
          <w:tcPr>
            <w:tcW w:w="10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1,916,667</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1,774,052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1,916,667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10,624,052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11,066,466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line="155" w:lineRule="exact"/>
              <w:rPr>
                <w:sz w:val="20"/>
                <w:szCs w:val="20"/>
                <w:color w:val="auto"/>
              </w:rPr>
            </w:pPr>
            <w:r>
              <w:rPr>
                <w:rFonts w:ascii="Arial" w:cs="Arial" w:eastAsia="Arial" w:hAnsi="Arial"/>
                <w:sz w:val="14"/>
                <w:szCs w:val="14"/>
                <w:b w:val="1"/>
                <w:bCs w:val="1"/>
                <w:color w:val="auto"/>
              </w:rPr>
              <w:t>Second Lien Secured Debt—2.3%</w:t>
            </w: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UP Support Services, Inc.</w:t>
            </w:r>
          </w:p>
        </w:tc>
        <w:tc>
          <w:tcPr>
            <w:tcW w:w="8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12/31/2015</w:t>
            </w:r>
          </w:p>
        </w:tc>
        <w:tc>
          <w:tcPr>
            <w:tcW w:w="13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10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15.00%</w:t>
            </w:r>
          </w:p>
        </w:tc>
        <w:tc>
          <w:tcPr>
            <w:tcW w:w="9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9"/>
              </w:rPr>
              <w:t>16,002,227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13,930,192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16,002,227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(PIK 15.00%)</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Arial" w:cs="Arial" w:eastAsia="Arial" w:hAnsi="Arial"/>
                <w:sz w:val="14"/>
                <w:szCs w:val="14"/>
                <w:b w:val="1"/>
                <w:bCs w:val="1"/>
                <w:color w:val="auto"/>
              </w:rPr>
              <w:t>Subordinated Debt/Corporate Notes—0.3%</w:t>
            </w: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06/30/2020</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xml:space="preserve">14.00% </w:t>
            </w:r>
            <w:r>
              <w:rPr>
                <w:rFonts w:ascii="Arial" w:cs="Arial" w:eastAsia="Arial" w:hAnsi="Arial"/>
                <w:sz w:val="12"/>
                <w:szCs w:val="12"/>
                <w:color w:val="auto"/>
              </w:rPr>
              <w:t>(7)</w:t>
            </w:r>
          </w:p>
        </w:tc>
        <w:tc>
          <w:tcPr>
            <w:tcW w:w="9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2,150,000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1,869,126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060" w:type="dxa"/>
            <w:vAlign w:val="bottom"/>
          </w:tcPr>
          <w:p>
            <w:pPr>
              <w:spacing w:after="0"/>
              <w:rPr>
                <w:sz w:val="20"/>
                <w:szCs w:val="20"/>
                <w:color w:val="auto"/>
              </w:rPr>
            </w:pPr>
            <w:r>
              <w:rPr>
                <w:rFonts w:ascii="Arial" w:cs="Arial" w:eastAsia="Arial" w:hAnsi="Arial"/>
                <w:sz w:val="14"/>
                <w:szCs w:val="14"/>
                <w:b w:val="1"/>
                <w:bCs w:val="1"/>
                <w:color w:val="auto"/>
              </w:rPr>
              <w:t>Preferred Equity—1.2</w:t>
            </w:r>
            <w:r>
              <w:rPr>
                <w:rFonts w:ascii="Arial" w:cs="Arial" w:eastAsia="Arial" w:hAnsi="Arial"/>
                <w:sz w:val="12"/>
                <w:szCs w:val="12"/>
                <w:b w:val="1"/>
                <w:bCs w:val="1"/>
                <w:color w:val="auto"/>
              </w:rPr>
              <w:t>(6)</w:t>
            </w: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xml:space="preserve">14.00% </w:t>
            </w:r>
            <w:r>
              <w:rPr>
                <w:rFonts w:ascii="Arial" w:cs="Arial" w:eastAsia="Arial" w:hAnsi="Arial"/>
                <w:sz w:val="12"/>
                <w:szCs w:val="12"/>
                <w:color w:val="auto"/>
              </w:rPr>
              <w:t>(7)</w:t>
            </w:r>
          </w:p>
        </w:tc>
        <w:tc>
          <w:tcPr>
            <w:tcW w:w="9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1,981,076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line="130" w:lineRule="exact"/>
              <w:rPr>
                <w:sz w:val="20"/>
                <w:szCs w:val="20"/>
                <w:color w:val="auto"/>
              </w:rPr>
            </w:pPr>
            <w:r>
              <w:rPr>
                <w:rFonts w:ascii="Arial" w:cs="Arial" w:eastAsia="Arial" w:hAnsi="Arial"/>
                <w:sz w:val="14"/>
                <w:szCs w:val="14"/>
                <w:color w:val="auto"/>
              </w:rPr>
              <w:t>Universal Pegasus International Holdings, Inc.</w:t>
            </w:r>
          </w:p>
        </w:tc>
        <w:tc>
          <w:tcPr>
            <w:tcW w:w="840" w:type="dxa"/>
            <w:vAlign w:val="bottom"/>
          </w:tcPr>
          <w:p>
            <w:pPr>
              <w:ind w:left="360"/>
              <w:spacing w:after="0" w:line="130"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104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8.00%</w:t>
            </w:r>
          </w:p>
        </w:tc>
        <w:tc>
          <w:tcPr>
            <w:tcW w:w="98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376,988</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34,420,612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6,372,815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60" w:type="dxa"/>
            <w:vAlign w:val="bottom"/>
          </w:tcPr>
          <w:p>
            <w:pPr>
              <w:ind w:left="160"/>
              <w:spacing w:after="0"/>
              <w:rPr>
                <w:sz w:val="20"/>
                <w:szCs w:val="20"/>
                <w:color w:val="auto"/>
              </w:rPr>
            </w:pPr>
            <w:r>
              <w:rPr>
                <w:rFonts w:ascii="Arial" w:cs="Arial" w:eastAsia="Arial" w:hAnsi="Arial"/>
                <w:sz w:val="14"/>
                <w:szCs w:val="14"/>
                <w:color w:val="auto"/>
              </w:rPr>
              <w:t>(UP Support Services, Inc.)</w:t>
            </w: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36,420,612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8,353,891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Common Equity—0.0% </w:t>
            </w:r>
            <w:r>
              <w:rPr>
                <w:rFonts w:ascii="Arial" w:cs="Arial" w:eastAsia="Arial" w:hAnsi="Arial"/>
                <w:sz w:val="12"/>
                <w:szCs w:val="12"/>
                <w:b w:val="1"/>
                <w:bCs w:val="1"/>
                <w:color w:val="auto"/>
              </w:rPr>
              <w:t>(6)</w:t>
            </w: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10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60" w:type="dxa"/>
            <w:vAlign w:val="bottom"/>
          </w:tcPr>
          <w:p>
            <w:pPr>
              <w:spacing w:after="0" w:line="155" w:lineRule="exact"/>
              <w:rPr>
                <w:sz w:val="20"/>
                <w:szCs w:val="20"/>
                <w:color w:val="auto"/>
              </w:rPr>
            </w:pPr>
            <w:r>
              <w:rPr>
                <w:rFonts w:ascii="Arial" w:cs="Arial" w:eastAsia="Arial" w:hAnsi="Arial"/>
                <w:sz w:val="14"/>
                <w:szCs w:val="14"/>
                <w:b w:val="1"/>
                <w:bCs w:val="1"/>
                <w:color w:val="auto"/>
                <w:w w:val="96"/>
              </w:rPr>
              <w:t>Total Investments in Controlled, Affiliated Portfolio Companies</w:t>
            </w: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63,124,956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37,291,710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Investments—153.8%</w:t>
            </w: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1,079,172,148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1,066,264,872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Equivalents—2.4%</w:t>
            </w: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BlackRock Liquidity Funds, TempCash, Institutional Shares</w:t>
            </w: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3,298,523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3,298,523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line="149" w:lineRule="exact"/>
              <w:rPr>
                <w:sz w:val="20"/>
                <w:szCs w:val="20"/>
                <w:color w:val="auto"/>
              </w:rPr>
            </w:pPr>
            <w:r>
              <w:rPr>
                <w:rFonts w:ascii="Arial" w:cs="Arial" w:eastAsia="Arial" w:hAnsi="Arial"/>
                <w:sz w:val="14"/>
                <w:szCs w:val="14"/>
                <w:color w:val="auto"/>
              </w:rPr>
              <w:t>BNY Mellon Cash Reserve</w:t>
            </w: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13,023,980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13,023,980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16,322,503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16,322,503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Equivalents—156.2%</w:t>
            </w: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1,095,494,651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1,082,587,375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Assets—(56.2%)</w:t>
            </w:r>
          </w:p>
        </w:tc>
        <w:tc>
          <w:tcPr>
            <w:tcW w:w="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(389,484,718)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Net Assets—100.0%</w:t>
            </w: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60" w:type="dxa"/>
            <w:vAlign w:val="bottom"/>
            <w:vMerge w:val="continue"/>
          </w:tcPr>
          <w:p>
            <w:pPr>
              <w:spacing w:after="0"/>
              <w:rPr>
                <w:sz w:val="22"/>
                <w:szCs w:val="22"/>
                <w:color w:val="auto"/>
              </w:rPr>
            </w:pP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693,102,657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1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8" w:lineRule="exact"/>
        <w:rPr>
          <w:sz w:val="20"/>
          <w:szCs w:val="20"/>
          <w:color w:val="auto"/>
        </w:rPr>
      </w:pPr>
    </w:p>
    <w:p>
      <w:pPr>
        <w:ind w:left="340" w:right="100" w:hanging="260"/>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2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or “P,” rate.</w:t>
      </w:r>
    </w:p>
    <w:p>
      <w:pPr>
        <w:ind w:left="340" w:right="6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Coupon is payable in cash and/or in-kind or PIK.</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Current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26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Par /</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3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Maturity</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94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Coupon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2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Investments in Non-Controlled, Non-Affiliated Portfolio Companies—130.3%</w:t>
            </w:r>
            <w:r>
              <w:rPr>
                <w:rFonts w:ascii="Arial" w:cs="Arial" w:eastAsia="Arial" w:hAnsi="Arial"/>
                <w:sz w:val="12"/>
                <w:szCs w:val="12"/>
                <w:b w:val="1"/>
                <w:bCs w:val="1"/>
                <w:color w:val="auto"/>
              </w:rPr>
              <w:t>(1),(2)</w:t>
            </w:r>
          </w:p>
        </w:tc>
        <w:tc>
          <w:tcPr>
            <w:tcW w:w="9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1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06/21/2017</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Communications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11.25%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L+975</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95"/>
              </w:rPr>
              <w:t>(8)</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14,906,250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$ 14,332,682</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14,906,250</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American Surgical Holdings, Inc.</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03/23/2015</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14.00%</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L+1,000</w:t>
            </w:r>
          </w:p>
        </w:tc>
        <w:tc>
          <w:tcPr>
            <w:tcW w:w="260" w:type="dxa"/>
            <w:vAlign w:val="bottom"/>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17,811,828</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17,441,366</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17,811,828</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Education and</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4"/>
              </w:rPr>
              <w:t>Childcare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02/07/2014</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L+325</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2,000,000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1,757,029</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1,973,334</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(5),(10)</w:t>
            </w:r>
          </w:p>
        </w:tc>
        <w:tc>
          <w:tcPr>
            <w:tcW w:w="1320" w:type="dxa"/>
            <w:vAlign w:val="bottom"/>
          </w:tcPr>
          <w:p>
            <w:pPr>
              <w:ind w:left="600"/>
              <w:spacing w:after="0" w:line="149" w:lineRule="exact"/>
              <w:rPr>
                <w:sz w:val="20"/>
                <w:szCs w:val="20"/>
                <w:color w:val="auto"/>
              </w:rPr>
            </w:pPr>
            <w:r>
              <w:rPr>
                <w:rFonts w:ascii="Arial" w:cs="Arial" w:eastAsia="Arial" w:hAnsi="Arial"/>
                <w:sz w:val="14"/>
                <w:szCs w:val="14"/>
                <w:color w:val="auto"/>
                <w:w w:val="99"/>
              </w:rPr>
              <w:t>10/01/2016</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Cargo Transport</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11.63%</w:t>
            </w: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7,355,237</w:t>
            </w: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7,687,500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(5),(10)</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04/01/2018</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Cargo Transport</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990,089</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880,000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 xml:space="preserve">Columbus International, Inc. </w:t>
            </w:r>
            <w:r>
              <w:rPr>
                <w:rFonts w:ascii="Arial" w:cs="Arial" w:eastAsia="Arial" w:hAnsi="Arial"/>
                <w:sz w:val="12"/>
                <w:szCs w:val="12"/>
                <w:color w:val="auto"/>
              </w:rPr>
              <w:t>(5), (10)</w:t>
            </w:r>
          </w:p>
        </w:tc>
        <w:tc>
          <w:tcPr>
            <w:tcW w:w="1320" w:type="dxa"/>
            <w:vAlign w:val="bottom"/>
          </w:tcPr>
          <w:p>
            <w:pPr>
              <w:ind w:left="600"/>
              <w:spacing w:after="0" w:line="149" w:lineRule="exact"/>
              <w:rPr>
                <w:sz w:val="20"/>
                <w:szCs w:val="20"/>
                <w:color w:val="auto"/>
              </w:rPr>
            </w:pPr>
            <w:r>
              <w:rPr>
                <w:rFonts w:ascii="Arial" w:cs="Arial" w:eastAsia="Arial" w:hAnsi="Arial"/>
                <w:sz w:val="14"/>
                <w:szCs w:val="14"/>
                <w:color w:val="auto"/>
                <w:w w:val="99"/>
              </w:rPr>
              <w:t>11/20/2014</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Communications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10,000,000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11,100,000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Good Sam Enterprises, LLC </w:t>
            </w:r>
            <w:r>
              <w:rPr>
                <w:rFonts w:ascii="Arial" w:cs="Arial" w:eastAsia="Arial" w:hAnsi="Arial"/>
                <w:sz w:val="12"/>
                <w:szCs w:val="12"/>
                <w:color w:val="auto"/>
              </w:rPr>
              <w:t>(5)</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12/01/2016</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12,000,000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11,795,443</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12,720,000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Hanley-Wood, L.L.C.</w:t>
            </w:r>
          </w:p>
        </w:tc>
        <w:tc>
          <w:tcPr>
            <w:tcW w:w="1320" w:type="dxa"/>
            <w:vAlign w:val="bottom"/>
          </w:tcPr>
          <w:p>
            <w:pPr>
              <w:ind w:left="600"/>
              <w:spacing w:after="0" w:line="149" w:lineRule="exact"/>
              <w:rPr>
                <w:sz w:val="20"/>
                <w:szCs w:val="20"/>
                <w:color w:val="auto"/>
              </w:rPr>
            </w:pPr>
            <w:r>
              <w:rPr>
                <w:rFonts w:ascii="Arial" w:cs="Arial" w:eastAsia="Arial" w:hAnsi="Arial"/>
                <w:sz w:val="14"/>
                <w:szCs w:val="14"/>
                <w:color w:val="auto"/>
                <w:w w:val="99"/>
              </w:rPr>
              <w:t>01/13/2017</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L+650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1,752,896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1,752,896</w:t>
            </w: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1,752,896</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04/01/2017</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11,500,000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11,288,165</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12,218,750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Instant Web, Inc.</w:t>
            </w:r>
          </w:p>
        </w:tc>
        <w:tc>
          <w:tcPr>
            <w:tcW w:w="1320" w:type="dxa"/>
            <w:vAlign w:val="bottom"/>
          </w:tcPr>
          <w:p>
            <w:pPr>
              <w:ind w:left="600"/>
              <w:spacing w:after="0" w:line="149" w:lineRule="exact"/>
              <w:rPr>
                <w:sz w:val="20"/>
                <w:szCs w:val="20"/>
                <w:color w:val="auto"/>
              </w:rPr>
            </w:pPr>
            <w:r>
              <w:rPr>
                <w:rFonts w:ascii="Arial" w:cs="Arial" w:eastAsia="Arial" w:hAnsi="Arial"/>
                <w:sz w:val="14"/>
                <w:szCs w:val="14"/>
                <w:color w:val="auto"/>
                <w:w w:val="99"/>
              </w:rPr>
              <w:t>08/07/2014</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14.50%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L+950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24,115,645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23,829,738</w:t>
            </w: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23,802,142</w:t>
            </w: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32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w w:val="99"/>
              </w:rPr>
              <w:t>10/04/2016</w:t>
            </w:r>
          </w:p>
        </w:tc>
        <w:tc>
          <w:tcPr>
            <w:tcW w:w="18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L+950</w:t>
            </w:r>
          </w:p>
        </w:tc>
        <w:tc>
          <w:tcPr>
            <w:tcW w:w="260" w:type="dxa"/>
            <w:vAlign w:val="bottom"/>
            <w:shd w:val="clear" w:color="auto" w:fill="CCEEFF"/>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18,525,000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18,165,492</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18,571,313</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Education and Childcare</w:t>
            </w: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Jacuzzi Brands Corp.</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02/07/2014</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93"/>
              </w:rPr>
              <w:t>Home and Office</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2.28%</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L+225</w:t>
            </w:r>
          </w:p>
        </w:tc>
        <w:tc>
          <w:tcPr>
            <w:tcW w:w="26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9,598,649</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9,598,649</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6,371,103</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Furnishings, Housewares and</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Durable Consumer Products</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32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w w:val="99"/>
              </w:rPr>
              <w:t>09/10/2015</w:t>
            </w:r>
          </w:p>
        </w:tc>
        <w:tc>
          <w:tcPr>
            <w:tcW w:w="18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Chemicals, Plastics and</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10.00%</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L+775</w:t>
            </w:r>
          </w:p>
        </w:tc>
        <w:tc>
          <w:tcPr>
            <w:tcW w:w="260" w:type="dxa"/>
            <w:vAlign w:val="bottom"/>
            <w:shd w:val="clear" w:color="auto" w:fill="CCEEFF"/>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18,952,500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18,216,865</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19,236,788</w:t>
            </w: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Rubber</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Kadmon Pharmaceuticals, LLC</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10/31/2012</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93"/>
              </w:rPr>
              <w:t>Healthcare, Education and</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15.00%</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L+1,300</w:t>
            </w:r>
          </w:p>
        </w:tc>
        <w:tc>
          <w:tcPr>
            <w:tcW w:w="260" w:type="dxa"/>
            <w:vAlign w:val="bottom"/>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4,931,494</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4,992,740</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5,110,409</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4"/>
              </w:rPr>
              <w:t>Childcare</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04/27/2016</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Education</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12.00%</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26,052,632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25,640,832</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25,857,237</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Penton Media, Inc.</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08/01/2014</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96"/>
              </w:rPr>
              <w:t>Other Media</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5.00%</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L+400</w:t>
            </w:r>
          </w:p>
        </w:tc>
        <w:tc>
          <w:tcPr>
            <w:tcW w:w="260" w:type="dxa"/>
            <w:vAlign w:val="bottom"/>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37,775,294</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33,971,917</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30,503,550</w:t>
            </w: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(PIK 1.00%)</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Tranche A</w:t>
            </w:r>
          </w:p>
        </w:tc>
        <w:tc>
          <w:tcPr>
            <w:tcW w:w="132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w w:val="99"/>
              </w:rPr>
              <w:t>12/30/2016</w:t>
            </w:r>
          </w:p>
        </w:tc>
        <w:tc>
          <w:tcPr>
            <w:tcW w:w="18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7.50%</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L+600</w:t>
            </w:r>
          </w:p>
        </w:tc>
        <w:tc>
          <w:tcPr>
            <w:tcW w:w="260" w:type="dxa"/>
            <w:vAlign w:val="bottom"/>
            <w:shd w:val="clear" w:color="auto" w:fill="CCEEFF"/>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1,552,846</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1,533,687</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1,556,728</w:t>
            </w: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Miscellaneous Services</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Pre-Paid Legal Services, Inc., Tranche B</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12/30/2016</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11.00%</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L+950</w:t>
            </w:r>
          </w:p>
        </w:tc>
        <w:tc>
          <w:tcPr>
            <w:tcW w:w="260" w:type="dxa"/>
            <w:vAlign w:val="bottom"/>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35,000,000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34,118,800</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35,350,000</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Miscellaneous Services</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Questex Media Group LLC </w:t>
            </w:r>
            <w:r>
              <w:rPr>
                <w:rFonts w:ascii="Arial" w:cs="Arial" w:eastAsia="Arial" w:hAnsi="Arial"/>
                <w:sz w:val="12"/>
                <w:szCs w:val="12"/>
                <w:color w:val="auto"/>
              </w:rPr>
              <w:t>(9)</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12/16/2012</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1.36%</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133,603</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133,603</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133,603</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320" w:type="dxa"/>
            <w:vAlign w:val="bottom"/>
          </w:tcPr>
          <w:p>
            <w:pPr>
              <w:ind w:left="600"/>
              <w:spacing w:after="0" w:line="149" w:lineRule="exact"/>
              <w:rPr>
                <w:sz w:val="20"/>
                <w:szCs w:val="20"/>
                <w:color w:val="auto"/>
              </w:rPr>
            </w:pPr>
            <w:r>
              <w:rPr>
                <w:rFonts w:ascii="Arial" w:cs="Arial" w:eastAsia="Arial" w:hAnsi="Arial"/>
                <w:sz w:val="14"/>
                <w:szCs w:val="14"/>
                <w:color w:val="auto"/>
                <w:w w:val="99"/>
              </w:rPr>
              <w:t>01/29/2018</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Telecommunications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L+750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838,369</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01/29/2018</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Telecommunications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L+1,200</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95"/>
              </w:rPr>
              <w:t>(8)</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10,625,000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10,338,450</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10,848,126</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Worley Claims Services, LLC</w:t>
            </w:r>
          </w:p>
        </w:tc>
        <w:tc>
          <w:tcPr>
            <w:tcW w:w="1320" w:type="dxa"/>
            <w:vAlign w:val="bottom"/>
          </w:tcPr>
          <w:p>
            <w:pPr>
              <w:ind w:left="600"/>
              <w:spacing w:after="0" w:line="149" w:lineRule="exact"/>
              <w:rPr>
                <w:sz w:val="20"/>
                <w:szCs w:val="20"/>
                <w:color w:val="auto"/>
              </w:rPr>
            </w:pPr>
            <w:r>
              <w:rPr>
                <w:rFonts w:ascii="Arial" w:cs="Arial" w:eastAsia="Arial" w:hAnsi="Arial"/>
                <w:sz w:val="14"/>
                <w:szCs w:val="14"/>
                <w:color w:val="auto"/>
                <w:w w:val="99"/>
              </w:rPr>
              <w:t>07/06/2017</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L+1,100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14,934,000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14,934,000</w:t>
            </w: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14,859,330</w:t>
            </w: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Yonkers Racing Corp. </w:t>
            </w:r>
            <w:r>
              <w:rPr>
                <w:rFonts w:ascii="Arial" w:cs="Arial" w:eastAsia="Arial" w:hAnsi="Arial"/>
                <w:sz w:val="12"/>
                <w:szCs w:val="12"/>
                <w:color w:val="auto"/>
              </w:rPr>
              <w:t>(5)</w:t>
            </w:r>
          </w:p>
        </w:tc>
        <w:tc>
          <w:tcPr>
            <w:tcW w:w="132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w w:val="99"/>
              </w:rPr>
              <w:t>07/15/2016</w:t>
            </w:r>
          </w:p>
        </w:tc>
        <w:tc>
          <w:tcPr>
            <w:tcW w:w="18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Hotels, Motels, Inns and</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11.38%</w:t>
            </w:r>
          </w:p>
        </w:tc>
        <w:tc>
          <w:tcPr>
            <w:tcW w:w="78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4,500,000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4,401,515</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4,860,000</w:t>
            </w: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Gaming</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b w:val="1"/>
                <w:bCs w:val="1"/>
                <w:color w:val="auto"/>
              </w:rPr>
              <w:t>Total First Lien Secured Debt</w:t>
            </w:r>
          </w:p>
        </w:tc>
        <w:tc>
          <w:tcPr>
            <w:tcW w:w="13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277,427,564</w:t>
            </w:r>
          </w:p>
        </w:tc>
        <w:tc>
          <w:tcPr>
            <w:tcW w:w="80" w:type="dxa"/>
            <w:vAlign w:val="bottom"/>
          </w:tcPr>
          <w:p>
            <w:pPr>
              <w:spacing w:after="0"/>
              <w:rPr>
                <w:sz w:val="23"/>
                <w:szCs w:val="2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278,960,887</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Debt—25.3%</w:t>
            </w:r>
          </w:p>
        </w:tc>
        <w:tc>
          <w:tcPr>
            <w:tcW w:w="1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(5)</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09/01/2017</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96"/>
              </w:rPr>
              <w:t>Diversified Natural</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8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25,400,000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25,400,000</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26,098,500</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0"/>
              </w:rPr>
              <w:t>Resources, Precious Metals</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2"/>
              </w:rPr>
              <w:t>and Minerals</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02/07/2015</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13,600,000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13,378,432</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12,729,600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20" w:type="dxa"/>
            <w:vAlign w:val="bottom"/>
          </w:tcPr>
          <w:p>
            <w:pPr>
              <w:ind w:left="600"/>
              <w:spacing w:after="0" w:line="149" w:lineRule="exact"/>
              <w:rPr>
                <w:sz w:val="20"/>
                <w:szCs w:val="20"/>
                <w:color w:val="auto"/>
              </w:rPr>
            </w:pPr>
            <w:r>
              <w:rPr>
                <w:rFonts w:ascii="Arial" w:cs="Arial" w:eastAsia="Arial" w:hAnsi="Arial"/>
                <w:sz w:val="14"/>
                <w:szCs w:val="14"/>
                <w:color w:val="auto"/>
                <w:w w:val="99"/>
              </w:rPr>
              <w:t>02/07/2015</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7.36%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L+700</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12,000,000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11,866,485</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11,232,000</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DirectBuy Holdings, Inc. </w:t>
            </w:r>
            <w:r>
              <w:rPr>
                <w:rFonts w:ascii="Arial" w:cs="Arial" w:eastAsia="Arial" w:hAnsi="Arial"/>
                <w:sz w:val="12"/>
                <w:szCs w:val="12"/>
                <w:color w:val="auto"/>
              </w:rPr>
              <w:t>(5), (6)</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02/01/2017</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12.00%</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34,000,000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31,964,822</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10,880,000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Eureka Hunter Pipeline, LLC</w:t>
            </w:r>
          </w:p>
        </w:tc>
        <w:tc>
          <w:tcPr>
            <w:tcW w:w="1320" w:type="dxa"/>
            <w:vAlign w:val="bottom"/>
          </w:tcPr>
          <w:p>
            <w:pPr>
              <w:ind w:left="600"/>
              <w:spacing w:after="0" w:line="149" w:lineRule="exact"/>
              <w:rPr>
                <w:sz w:val="20"/>
                <w:szCs w:val="20"/>
                <w:color w:val="auto"/>
              </w:rPr>
            </w:pPr>
            <w:r>
              <w:rPr>
                <w:rFonts w:ascii="Arial" w:cs="Arial" w:eastAsia="Arial" w:hAnsi="Arial"/>
                <w:sz w:val="14"/>
                <w:szCs w:val="14"/>
                <w:color w:val="auto"/>
                <w:w w:val="99"/>
              </w:rPr>
              <w:t>08/16/2018</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45,000,000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44,543,688</w:t>
            </w: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Greatwide Logistics Services, L.L.C.</w:t>
            </w:r>
          </w:p>
        </w:tc>
        <w:tc>
          <w:tcPr>
            <w:tcW w:w="132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w w:val="99"/>
              </w:rPr>
              <w:t>03/01/2014</w:t>
            </w:r>
          </w:p>
        </w:tc>
        <w:tc>
          <w:tcPr>
            <w:tcW w:w="18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Cargo Transport</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11.00%</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L+700</w:t>
            </w:r>
          </w:p>
        </w:tc>
        <w:tc>
          <w:tcPr>
            <w:tcW w:w="260" w:type="dxa"/>
            <w:vAlign w:val="bottom"/>
            <w:shd w:val="clear" w:color="auto" w:fill="CCEEFF"/>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3,184,219</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3,184,222</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2,292,640</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(PIK 11.00%)</w:t>
            </w: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07/31/2017</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12.50%</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L+1,100</w:t>
            </w:r>
          </w:p>
        </w:tc>
        <w:tc>
          <w:tcPr>
            <w:tcW w:w="260" w:type="dxa"/>
            <w:vAlign w:val="bottom"/>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20,512,821</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20,059,979</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20,512,821</w:t>
            </w: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Education and Childcare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12/15/2014</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L+650</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95"/>
              </w:rPr>
              <w:t>(8)</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2,752,666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2,752,666</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2,584,753</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12/15/2015</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96"/>
              </w:rPr>
              <w:t>Other Media</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11.50 %</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L+850</w:t>
            </w:r>
          </w:p>
        </w:tc>
        <w:tc>
          <w:tcPr>
            <w:tcW w:w="260" w:type="dxa"/>
            <w:vAlign w:val="bottom"/>
          </w:tcPr>
          <w:p>
            <w:pPr>
              <w:jc w:val="right"/>
              <w:ind w:right="39"/>
              <w:spacing w:after="0" w:line="130" w:lineRule="exact"/>
              <w:rPr>
                <w:sz w:val="20"/>
                <w:szCs w:val="20"/>
                <w:color w:val="auto"/>
              </w:rPr>
            </w:pPr>
            <w:r>
              <w:rPr>
                <w:rFonts w:ascii="Arial" w:cs="Arial" w:eastAsia="Arial" w:hAnsi="Arial"/>
                <w:sz w:val="12"/>
                <w:szCs w:val="12"/>
                <w:color w:val="auto"/>
                <w:w w:val="95"/>
              </w:rPr>
              <w:t>(8)</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2,230,508</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2,230,508</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2,002,996</w:t>
            </w: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(PIK 11.50%)</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31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10/15/2017   Buildings and Real Estate</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13.50%</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10,000,000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10,062,500</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ROC Finance LLC and ROC Finance 1 Corp.</w:t>
            </w:r>
          </w:p>
        </w:tc>
        <w:tc>
          <w:tcPr>
            <w:tcW w:w="1320" w:type="dxa"/>
            <w:vAlign w:val="bottom"/>
          </w:tcPr>
          <w:p>
            <w:pPr>
              <w:ind w:left="600"/>
              <w:spacing w:after="0" w:line="130" w:lineRule="exact"/>
              <w:rPr>
                <w:sz w:val="20"/>
                <w:szCs w:val="20"/>
                <w:color w:val="auto"/>
              </w:rPr>
            </w:pPr>
            <w:r>
              <w:rPr>
                <w:rFonts w:ascii="Arial" w:cs="Arial" w:eastAsia="Arial" w:hAnsi="Arial"/>
                <w:sz w:val="14"/>
                <w:szCs w:val="14"/>
                <w:color w:val="auto"/>
                <w:w w:val="99"/>
              </w:rPr>
              <w:t>09/01/2018</w:t>
            </w:r>
          </w:p>
        </w:tc>
        <w:tc>
          <w:tcPr>
            <w:tcW w:w="1800" w:type="dxa"/>
            <w:vAlign w:val="bottom"/>
          </w:tcPr>
          <w:p>
            <w:pPr>
              <w:jc w:val="center"/>
              <w:spacing w:after="0" w:line="130" w:lineRule="exact"/>
              <w:rPr>
                <w:sz w:val="20"/>
                <w:szCs w:val="20"/>
                <w:color w:val="auto"/>
              </w:rPr>
            </w:pPr>
            <w:r>
              <w:rPr>
                <w:rFonts w:ascii="Arial" w:cs="Arial" w:eastAsia="Arial" w:hAnsi="Arial"/>
                <w:sz w:val="14"/>
                <w:szCs w:val="14"/>
                <w:color w:val="auto"/>
                <w:w w:val="94"/>
              </w:rPr>
              <w:t>Hotels, Motels, Inns and</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12.13%</w:t>
            </w:r>
          </w:p>
        </w:tc>
        <w:tc>
          <w:tcPr>
            <w:tcW w:w="78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16,000,000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15,752,822</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18,560,000</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Gaming</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3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9"/>
              </w:rPr>
              <w:t>06/15/2015</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Financial Services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7,811,488</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7,511,344</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7,411,149</w:t>
            </w: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b w:val="1"/>
                <w:bCs w:val="1"/>
                <w:color w:val="auto"/>
              </w:rPr>
              <w:t>Total Second Lien Secured Debt</w:t>
            </w:r>
          </w:p>
        </w:tc>
        <w:tc>
          <w:tcPr>
            <w:tcW w:w="13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188,644,968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169,366,959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Par /</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340" w:type="dxa"/>
            <w:vAlign w:val="bottom"/>
            <w:vMerge w:val="restart"/>
          </w:tcPr>
          <w:p>
            <w:pPr>
              <w:jc w:val="center"/>
              <w:ind w:left="548"/>
              <w:spacing w:after="0"/>
              <w:rPr>
                <w:sz w:val="20"/>
                <w:szCs w:val="20"/>
                <w:color w:val="auto"/>
              </w:rPr>
            </w:pPr>
            <w:r>
              <w:rPr>
                <w:rFonts w:ascii="Arial" w:cs="Arial" w:eastAsia="Arial" w:hAnsi="Arial"/>
                <w:sz w:val="14"/>
                <w:szCs w:val="14"/>
                <w:b w:val="1"/>
                <w:bCs w:val="1"/>
                <w:color w:val="auto"/>
              </w:rPr>
              <w:t>Maturity</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96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Coupon</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Debt/Corporate Notes—52.4%</w:t>
            </w:r>
          </w:p>
        </w:tc>
        <w:tc>
          <w:tcPr>
            <w:tcW w:w="13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Acentia, LLC</w:t>
            </w:r>
          </w:p>
        </w:tc>
        <w:tc>
          <w:tcPr>
            <w:tcW w:w="1340" w:type="dxa"/>
            <w:vAlign w:val="bottom"/>
          </w:tcPr>
          <w:p>
            <w:pPr>
              <w:jc w:val="center"/>
              <w:ind w:left="528"/>
              <w:spacing w:after="0" w:line="149" w:lineRule="exact"/>
              <w:rPr>
                <w:sz w:val="20"/>
                <w:szCs w:val="20"/>
                <w:color w:val="auto"/>
              </w:rPr>
            </w:pPr>
            <w:r>
              <w:rPr>
                <w:rFonts w:ascii="Arial" w:cs="Arial" w:eastAsia="Arial" w:hAnsi="Arial"/>
                <w:sz w:val="14"/>
                <w:szCs w:val="14"/>
                <w:color w:val="auto"/>
                <w:w w:val="94"/>
              </w:rPr>
              <w:t>10/02/2017</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220" w:type="dxa"/>
            <w:vAlign w:val="bottom"/>
          </w:tcPr>
          <w:p>
            <w:pPr>
              <w:spacing w:after="0"/>
              <w:rPr>
                <w:sz w:val="12"/>
                <w:szCs w:val="12"/>
                <w:color w:val="auto"/>
              </w:rPr>
            </w:pPr>
          </w:p>
        </w:tc>
        <w:tc>
          <w:tcPr>
            <w:tcW w:w="8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19,000,000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7"/>
              </w:rPr>
              <w:t>$ 18,563,943</w:t>
            </w: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19,000,000</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340" w:type="dxa"/>
            <w:vAlign w:val="bottom"/>
            <w:shd w:val="clear" w:color="auto" w:fill="CCEEFF"/>
          </w:tcPr>
          <w:p>
            <w:pPr>
              <w:jc w:val="center"/>
              <w:ind w:left="528"/>
              <w:spacing w:after="0" w:line="149" w:lineRule="exact"/>
              <w:rPr>
                <w:sz w:val="20"/>
                <w:szCs w:val="20"/>
                <w:color w:val="auto"/>
              </w:rPr>
            </w:pPr>
            <w:r>
              <w:rPr>
                <w:rFonts w:ascii="Arial" w:cs="Arial" w:eastAsia="Arial" w:hAnsi="Arial"/>
                <w:sz w:val="14"/>
                <w:szCs w:val="14"/>
                <w:color w:val="auto"/>
                <w:w w:val="94"/>
              </w:rPr>
              <w:t>11/15/2015</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35,552,000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34,172,451</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24,175,360</w:t>
            </w: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Alegeus Technologies, LLC</w:t>
            </w:r>
          </w:p>
        </w:tc>
        <w:tc>
          <w:tcPr>
            <w:tcW w:w="1340" w:type="dxa"/>
            <w:vAlign w:val="bottom"/>
          </w:tcPr>
          <w:p>
            <w:pPr>
              <w:jc w:val="center"/>
              <w:ind w:left="528"/>
              <w:spacing w:after="0" w:line="149" w:lineRule="exact"/>
              <w:rPr>
                <w:sz w:val="20"/>
                <w:szCs w:val="20"/>
                <w:color w:val="auto"/>
              </w:rPr>
            </w:pPr>
            <w:r>
              <w:rPr>
                <w:rFonts w:ascii="Arial" w:cs="Arial" w:eastAsia="Arial" w:hAnsi="Arial"/>
                <w:sz w:val="14"/>
                <w:szCs w:val="14"/>
                <w:color w:val="auto"/>
                <w:w w:val="94"/>
              </w:rPr>
              <w:t>02/15/2019</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3"/>
              </w:rPr>
              <w:t>Financial Services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20" w:type="dxa"/>
            <w:vAlign w:val="bottom"/>
          </w:tcPr>
          <w:p>
            <w:pPr>
              <w:spacing w:after="0"/>
              <w:rPr>
                <w:sz w:val="12"/>
                <w:szCs w:val="12"/>
                <w:color w:val="auto"/>
              </w:rPr>
            </w:pPr>
          </w:p>
        </w:tc>
        <w:tc>
          <w:tcPr>
            <w:tcW w:w="8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8,930,000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8,754,461</w:t>
            </w: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8,930,000</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1340" w:type="dxa"/>
            <w:vAlign w:val="bottom"/>
            <w:shd w:val="clear" w:color="auto" w:fill="CCEEFF"/>
          </w:tcPr>
          <w:p>
            <w:pPr>
              <w:jc w:val="center"/>
              <w:ind w:left="528"/>
              <w:spacing w:after="0" w:line="130" w:lineRule="exact"/>
              <w:rPr>
                <w:sz w:val="20"/>
                <w:szCs w:val="20"/>
                <w:color w:val="auto"/>
              </w:rPr>
            </w:pPr>
            <w:r>
              <w:rPr>
                <w:rFonts w:ascii="Arial" w:cs="Arial" w:eastAsia="Arial" w:hAnsi="Arial"/>
                <w:sz w:val="14"/>
                <w:szCs w:val="14"/>
                <w:color w:val="auto"/>
                <w:w w:val="94"/>
              </w:rPr>
              <w:t>03/26/2018</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12.00%</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23,277,586</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22,812,086</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22,812,034</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1.00%)</w:t>
            </w: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Diversitech Corporation</w:t>
            </w:r>
          </w:p>
        </w:tc>
        <w:tc>
          <w:tcPr>
            <w:tcW w:w="1340" w:type="dxa"/>
            <w:vAlign w:val="bottom"/>
          </w:tcPr>
          <w:p>
            <w:pPr>
              <w:jc w:val="center"/>
              <w:ind w:left="528"/>
              <w:spacing w:after="0" w:line="130" w:lineRule="exact"/>
              <w:rPr>
                <w:sz w:val="20"/>
                <w:szCs w:val="20"/>
                <w:color w:val="auto"/>
              </w:rPr>
            </w:pPr>
            <w:r>
              <w:rPr>
                <w:rFonts w:ascii="Arial" w:cs="Arial" w:eastAsia="Arial" w:hAnsi="Arial"/>
                <w:sz w:val="14"/>
                <w:szCs w:val="14"/>
                <w:color w:val="auto"/>
                <w:w w:val="94"/>
              </w:rPr>
              <w:t>01/29/2017</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4"/>
              </w:rPr>
              <w:t>Manufacturing/ Basic</w:t>
            </w:r>
          </w:p>
        </w:tc>
        <w:tc>
          <w:tcPr>
            <w:tcW w:w="1060" w:type="dxa"/>
            <w:vAlign w:val="bottom"/>
            <w:gridSpan w:val="2"/>
          </w:tcPr>
          <w:p>
            <w:pPr>
              <w:jc w:val="right"/>
              <w:ind w:right="39"/>
              <w:spacing w:after="0" w:line="130" w:lineRule="exact"/>
              <w:rPr>
                <w:sz w:val="20"/>
                <w:szCs w:val="20"/>
                <w:color w:val="auto"/>
              </w:rPr>
            </w:pPr>
            <w:r>
              <w:rPr>
                <w:rFonts w:ascii="Arial" w:cs="Arial" w:eastAsia="Arial" w:hAnsi="Arial"/>
                <w:sz w:val="14"/>
                <w:szCs w:val="14"/>
                <w:color w:val="auto"/>
              </w:rPr>
              <w:t>13.50%</w:t>
            </w:r>
            <w:r>
              <w:rPr>
                <w:rFonts w:ascii="Arial" w:cs="Arial" w:eastAsia="Arial" w:hAnsi="Arial"/>
                <w:sz w:val="12"/>
                <w:szCs w:val="12"/>
                <w:color w:val="auto"/>
              </w:rPr>
              <w:t>(7)</w:t>
            </w: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11,000,000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10,836,901</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11,275,000</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6"/>
              </w:rPr>
              <w:t>Industry</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Escort, Inc.</w:t>
            </w:r>
          </w:p>
        </w:tc>
        <w:tc>
          <w:tcPr>
            <w:tcW w:w="1340" w:type="dxa"/>
            <w:vAlign w:val="bottom"/>
            <w:shd w:val="clear" w:color="auto" w:fill="CCEEFF"/>
          </w:tcPr>
          <w:p>
            <w:pPr>
              <w:jc w:val="center"/>
              <w:ind w:left="528"/>
              <w:spacing w:after="0" w:line="130" w:lineRule="exact"/>
              <w:rPr>
                <w:sz w:val="20"/>
                <w:szCs w:val="20"/>
                <w:color w:val="auto"/>
              </w:rPr>
            </w:pPr>
            <w:r>
              <w:rPr>
                <w:rFonts w:ascii="Arial" w:cs="Arial" w:eastAsia="Arial" w:hAnsi="Arial"/>
                <w:sz w:val="14"/>
                <w:szCs w:val="14"/>
                <w:color w:val="auto"/>
                <w:w w:val="94"/>
              </w:rPr>
              <w:t>06/01/2016</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14.75%</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25,254,035</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24,751,548</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25,254,035</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2.75%)</w:t>
            </w: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Galls, LLC; Quartermaster Inc.</w:t>
            </w:r>
          </w:p>
        </w:tc>
        <w:tc>
          <w:tcPr>
            <w:tcW w:w="1340" w:type="dxa"/>
            <w:vAlign w:val="bottom"/>
          </w:tcPr>
          <w:p>
            <w:pPr>
              <w:jc w:val="center"/>
              <w:ind w:left="528"/>
              <w:spacing w:after="0" w:line="130" w:lineRule="exact"/>
              <w:rPr>
                <w:sz w:val="20"/>
                <w:szCs w:val="20"/>
                <w:color w:val="auto"/>
              </w:rPr>
            </w:pPr>
            <w:r>
              <w:rPr>
                <w:rFonts w:ascii="Arial" w:cs="Arial" w:eastAsia="Arial" w:hAnsi="Arial"/>
                <w:sz w:val="14"/>
                <w:szCs w:val="14"/>
                <w:color w:val="auto"/>
                <w:w w:val="94"/>
              </w:rPr>
              <w:t>03/31/2017</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7"/>
              </w:rPr>
              <w:t>Distribution</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13.00%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21,797,263</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21,399,764</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21,906,249</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gridSpan w:val="2"/>
          </w:tcPr>
          <w:p>
            <w:pPr>
              <w:jc w:val="right"/>
              <w:ind w:right="119"/>
              <w:spacing w:after="0"/>
              <w:rPr>
                <w:sz w:val="20"/>
                <w:szCs w:val="20"/>
                <w:color w:val="auto"/>
              </w:rPr>
            </w:pPr>
            <w:r>
              <w:rPr>
                <w:rFonts w:ascii="Arial" w:cs="Arial" w:eastAsia="Arial" w:hAnsi="Arial"/>
                <w:sz w:val="14"/>
                <w:szCs w:val="14"/>
                <w:color w:val="auto"/>
              </w:rPr>
              <w:t>(PIK 2.00%)</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JF Acquisition, LLC</w:t>
            </w:r>
          </w:p>
        </w:tc>
        <w:tc>
          <w:tcPr>
            <w:tcW w:w="1340" w:type="dxa"/>
            <w:vAlign w:val="bottom"/>
            <w:shd w:val="clear" w:color="auto" w:fill="CCEEFF"/>
          </w:tcPr>
          <w:p>
            <w:pPr>
              <w:jc w:val="center"/>
              <w:ind w:left="528"/>
              <w:spacing w:after="0" w:line="130" w:lineRule="exact"/>
              <w:rPr>
                <w:sz w:val="20"/>
                <w:szCs w:val="20"/>
                <w:color w:val="auto"/>
              </w:rPr>
            </w:pPr>
            <w:r>
              <w:rPr>
                <w:rFonts w:ascii="Arial" w:cs="Arial" w:eastAsia="Arial" w:hAnsi="Arial"/>
                <w:sz w:val="14"/>
                <w:szCs w:val="14"/>
                <w:color w:val="auto"/>
                <w:w w:val="94"/>
              </w:rPr>
              <w:t>06/30/2017</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Distribution</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14.00%</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17,171,374</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16,748,220</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17,377,430</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2.00%)</w:t>
            </w: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Last Mile Funding Corp.</w:t>
            </w:r>
          </w:p>
        </w:tc>
        <w:tc>
          <w:tcPr>
            <w:tcW w:w="1340" w:type="dxa"/>
            <w:vAlign w:val="bottom"/>
          </w:tcPr>
          <w:p>
            <w:pPr>
              <w:jc w:val="center"/>
              <w:ind w:left="528"/>
              <w:spacing w:after="0" w:line="130" w:lineRule="exact"/>
              <w:rPr>
                <w:sz w:val="20"/>
                <w:szCs w:val="20"/>
                <w:color w:val="auto"/>
              </w:rPr>
            </w:pPr>
            <w:r>
              <w:rPr>
                <w:rFonts w:ascii="Arial" w:cs="Arial" w:eastAsia="Arial" w:hAnsi="Arial"/>
                <w:sz w:val="14"/>
                <w:szCs w:val="14"/>
                <w:color w:val="auto"/>
                <w:w w:val="94"/>
              </w:rPr>
              <w:t>06/30/2016</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2"/>
              </w:rPr>
              <w:t>Cargo Transport</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14.50%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45,597,139</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44,677,474</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45,095,570</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gridSpan w:val="2"/>
          </w:tcPr>
          <w:p>
            <w:pPr>
              <w:jc w:val="right"/>
              <w:ind w:right="119"/>
              <w:spacing w:after="0"/>
              <w:rPr>
                <w:sz w:val="20"/>
                <w:szCs w:val="20"/>
                <w:color w:val="auto"/>
              </w:rPr>
            </w:pPr>
            <w:r>
              <w:rPr>
                <w:rFonts w:ascii="Arial" w:cs="Arial" w:eastAsia="Arial" w:hAnsi="Arial"/>
                <w:sz w:val="14"/>
                <w:szCs w:val="14"/>
                <w:color w:val="auto"/>
              </w:rPr>
              <w:t>(PIK 2.50%)</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Learning Care Group (US) Inc.</w:t>
            </w:r>
          </w:p>
        </w:tc>
        <w:tc>
          <w:tcPr>
            <w:tcW w:w="1340" w:type="dxa"/>
            <w:vAlign w:val="bottom"/>
            <w:shd w:val="clear" w:color="auto" w:fill="CCEEFF"/>
          </w:tcPr>
          <w:p>
            <w:pPr>
              <w:jc w:val="center"/>
              <w:ind w:left="528"/>
              <w:spacing w:after="0" w:line="130" w:lineRule="exact"/>
              <w:rPr>
                <w:sz w:val="20"/>
                <w:szCs w:val="20"/>
                <w:color w:val="auto"/>
              </w:rPr>
            </w:pPr>
            <w:r>
              <w:rPr>
                <w:rFonts w:ascii="Arial" w:cs="Arial" w:eastAsia="Arial" w:hAnsi="Arial"/>
                <w:sz w:val="14"/>
                <w:szCs w:val="14"/>
                <w:color w:val="auto"/>
                <w:w w:val="94"/>
              </w:rPr>
              <w:t>06/30/2016</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Education</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5,277,718</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4,696,436</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4,815,918</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15.00%)</w:t>
            </w: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LTI Flexible Products, Inc.</w:t>
            </w:r>
          </w:p>
        </w:tc>
        <w:tc>
          <w:tcPr>
            <w:tcW w:w="1340" w:type="dxa"/>
            <w:vAlign w:val="bottom"/>
          </w:tcPr>
          <w:p>
            <w:pPr>
              <w:jc w:val="center"/>
              <w:ind w:left="528"/>
              <w:spacing w:after="0" w:line="130" w:lineRule="exact"/>
              <w:rPr>
                <w:sz w:val="20"/>
                <w:szCs w:val="20"/>
                <w:color w:val="auto"/>
              </w:rPr>
            </w:pPr>
            <w:r>
              <w:rPr>
                <w:rFonts w:ascii="Arial" w:cs="Arial" w:eastAsia="Arial" w:hAnsi="Arial"/>
                <w:sz w:val="14"/>
                <w:szCs w:val="14"/>
                <w:color w:val="auto"/>
                <w:w w:val="94"/>
              </w:rPr>
              <w:t>01/19/2019</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2"/>
              </w:rPr>
              <w:t>Chemical, Plastic and</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12.50%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30,000,000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30,000,000</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5"/>
              </w:rPr>
              <w:t>Rubber</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1340" w:type="dxa"/>
            <w:vAlign w:val="bottom"/>
            <w:shd w:val="clear" w:color="auto" w:fill="CCEEFF"/>
          </w:tcPr>
          <w:p>
            <w:pPr>
              <w:jc w:val="center"/>
              <w:ind w:left="528"/>
              <w:spacing w:after="0" w:line="130" w:lineRule="exact"/>
              <w:rPr>
                <w:sz w:val="20"/>
                <w:szCs w:val="20"/>
                <w:color w:val="auto"/>
              </w:rPr>
            </w:pPr>
            <w:r>
              <w:rPr>
                <w:rFonts w:ascii="Arial" w:cs="Arial" w:eastAsia="Arial" w:hAnsi="Arial"/>
                <w:sz w:val="14"/>
                <w:szCs w:val="14"/>
                <w:color w:val="auto"/>
                <w:w w:val="94"/>
              </w:rPr>
              <w:t>01/11/2014</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Chemical, Plastic and</w:t>
            </w:r>
          </w:p>
        </w:tc>
        <w:tc>
          <w:tcPr>
            <w:tcW w:w="84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4,825,000</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Rubber</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MailSouth, Inc.</w:t>
            </w:r>
          </w:p>
        </w:tc>
        <w:tc>
          <w:tcPr>
            <w:tcW w:w="1340" w:type="dxa"/>
            <w:vAlign w:val="bottom"/>
          </w:tcPr>
          <w:p>
            <w:pPr>
              <w:jc w:val="center"/>
              <w:ind w:left="528"/>
              <w:spacing w:after="0" w:line="130" w:lineRule="exact"/>
              <w:rPr>
                <w:sz w:val="20"/>
                <w:szCs w:val="20"/>
                <w:color w:val="auto"/>
              </w:rPr>
            </w:pPr>
            <w:r>
              <w:rPr>
                <w:rFonts w:ascii="Arial" w:cs="Arial" w:eastAsia="Arial" w:hAnsi="Arial"/>
                <w:sz w:val="14"/>
                <w:szCs w:val="14"/>
                <w:color w:val="auto"/>
                <w:w w:val="94"/>
              </w:rPr>
              <w:t>06/15/2017</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rPr>
              <w:t>Printing</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14.50%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15,000,000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14,632,413</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15,210,000</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3"/>
              </w:rPr>
              <w:t>and Publishing</w:t>
            </w:r>
          </w:p>
        </w:tc>
        <w:tc>
          <w:tcPr>
            <w:tcW w:w="1060" w:type="dxa"/>
            <w:vAlign w:val="bottom"/>
            <w:gridSpan w:val="2"/>
          </w:tcPr>
          <w:p>
            <w:pPr>
              <w:jc w:val="right"/>
              <w:ind w:right="119"/>
              <w:spacing w:after="0"/>
              <w:rPr>
                <w:sz w:val="20"/>
                <w:szCs w:val="20"/>
                <w:color w:val="auto"/>
              </w:rPr>
            </w:pPr>
            <w:r>
              <w:rPr>
                <w:rFonts w:ascii="Arial" w:cs="Arial" w:eastAsia="Arial" w:hAnsi="Arial"/>
                <w:sz w:val="14"/>
                <w:szCs w:val="14"/>
                <w:color w:val="auto"/>
              </w:rPr>
              <w:t>(PIK 2.00%)</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PAS Technologies, Inc.</w:t>
            </w:r>
          </w:p>
        </w:tc>
        <w:tc>
          <w:tcPr>
            <w:tcW w:w="1340" w:type="dxa"/>
            <w:vAlign w:val="bottom"/>
            <w:shd w:val="clear" w:color="auto" w:fill="CCEEFF"/>
          </w:tcPr>
          <w:p>
            <w:pPr>
              <w:jc w:val="center"/>
              <w:ind w:left="528"/>
              <w:spacing w:after="0" w:line="130" w:lineRule="exact"/>
              <w:rPr>
                <w:sz w:val="20"/>
                <w:szCs w:val="20"/>
                <w:color w:val="auto"/>
              </w:rPr>
            </w:pPr>
            <w:r>
              <w:rPr>
                <w:rFonts w:ascii="Arial" w:cs="Arial" w:eastAsia="Arial" w:hAnsi="Arial"/>
                <w:sz w:val="14"/>
                <w:szCs w:val="14"/>
                <w:color w:val="auto"/>
                <w:w w:val="94"/>
              </w:rPr>
              <w:t>05/12/2017</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Aerospace</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15.02%</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17,123,218</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16,783,033</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17,123,218</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and Defense</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3.02%)</w:t>
            </w: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Prince Mineral Holdings Corp.</w:t>
            </w:r>
          </w:p>
        </w:tc>
        <w:tc>
          <w:tcPr>
            <w:tcW w:w="1340" w:type="dxa"/>
            <w:vAlign w:val="bottom"/>
          </w:tcPr>
          <w:p>
            <w:pPr>
              <w:jc w:val="center"/>
              <w:ind w:left="528"/>
              <w:spacing w:after="0" w:line="130" w:lineRule="exact"/>
              <w:rPr>
                <w:sz w:val="20"/>
                <w:szCs w:val="20"/>
                <w:color w:val="auto"/>
              </w:rPr>
            </w:pPr>
            <w:r>
              <w:rPr>
                <w:rFonts w:ascii="Arial" w:cs="Arial" w:eastAsia="Arial" w:hAnsi="Arial"/>
                <w:sz w:val="14"/>
                <w:szCs w:val="14"/>
                <w:color w:val="auto"/>
                <w:w w:val="94"/>
              </w:rPr>
              <w:t>12/03/2016</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5"/>
              </w:rPr>
              <w:t>Mining, Steel, Iron</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13.50%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26,696,517</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26,263,685</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26,696,517</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3"/>
              </w:rPr>
              <w:t>and Non-</w:t>
            </w:r>
          </w:p>
        </w:tc>
        <w:tc>
          <w:tcPr>
            <w:tcW w:w="10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(PIK 2.00%)</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Precious Metals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Realogy Corp.</w:t>
            </w:r>
          </w:p>
        </w:tc>
        <w:tc>
          <w:tcPr>
            <w:tcW w:w="1340" w:type="dxa"/>
            <w:vAlign w:val="bottom"/>
            <w:shd w:val="clear" w:color="auto" w:fill="CCEEFF"/>
          </w:tcPr>
          <w:p>
            <w:pPr>
              <w:jc w:val="center"/>
              <w:ind w:left="528"/>
              <w:spacing w:after="0" w:line="130" w:lineRule="exact"/>
              <w:rPr>
                <w:sz w:val="20"/>
                <w:szCs w:val="20"/>
                <w:color w:val="auto"/>
              </w:rPr>
            </w:pPr>
            <w:r>
              <w:rPr>
                <w:rFonts w:ascii="Arial" w:cs="Arial" w:eastAsia="Arial" w:hAnsi="Arial"/>
                <w:sz w:val="14"/>
                <w:szCs w:val="14"/>
                <w:color w:val="auto"/>
                <w:w w:val="94"/>
              </w:rPr>
              <w:t>04/15/2018</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Buildings and Real</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11.00%</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10,000,000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9,247,298</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9,400,000</w:t>
            </w: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Estate</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1340" w:type="dxa"/>
            <w:vAlign w:val="bottom"/>
          </w:tcPr>
          <w:p>
            <w:pPr>
              <w:jc w:val="center"/>
              <w:ind w:left="528"/>
              <w:spacing w:after="0" w:line="149" w:lineRule="exact"/>
              <w:rPr>
                <w:sz w:val="20"/>
                <w:szCs w:val="20"/>
                <w:color w:val="auto"/>
              </w:rPr>
            </w:pPr>
            <w:r>
              <w:rPr>
                <w:rFonts w:ascii="Arial" w:cs="Arial" w:eastAsia="Arial" w:hAnsi="Arial"/>
                <w:sz w:val="14"/>
                <w:szCs w:val="14"/>
                <w:color w:val="auto"/>
                <w:w w:val="94"/>
              </w:rPr>
              <w:t>12/29/2015</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220" w:type="dxa"/>
            <w:vAlign w:val="bottom"/>
          </w:tcPr>
          <w:p>
            <w:pPr>
              <w:jc w:val="right"/>
              <w:spacing w:after="0"/>
              <w:rPr>
                <w:sz w:val="20"/>
                <w:szCs w:val="20"/>
                <w:color w:val="auto"/>
              </w:rPr>
            </w:pPr>
            <w:r>
              <w:rPr>
                <w:rFonts w:ascii="Arial" w:cs="Arial" w:eastAsia="Arial" w:hAnsi="Arial"/>
                <w:sz w:val="12"/>
                <w:szCs w:val="12"/>
                <w:color w:val="auto"/>
                <w:w w:val="95"/>
              </w:rPr>
              <w:t>(7)</w:t>
            </w:r>
          </w:p>
        </w:tc>
        <w:tc>
          <w:tcPr>
            <w:tcW w:w="8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12,020,950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11,708,199</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12,020,950</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Group, Inc.</w:t>
            </w:r>
          </w:p>
        </w:tc>
        <w:tc>
          <w:tcPr>
            <w:tcW w:w="1340" w:type="dxa"/>
            <w:vAlign w:val="bottom"/>
            <w:shd w:val="clear" w:color="auto" w:fill="CCEEFF"/>
          </w:tcPr>
          <w:p>
            <w:pPr>
              <w:jc w:val="center"/>
              <w:ind w:left="528"/>
              <w:spacing w:after="0" w:line="130" w:lineRule="exact"/>
              <w:rPr>
                <w:sz w:val="20"/>
                <w:szCs w:val="20"/>
                <w:color w:val="auto"/>
              </w:rPr>
            </w:pPr>
            <w:r>
              <w:rPr>
                <w:rFonts w:ascii="Arial" w:cs="Arial" w:eastAsia="Arial" w:hAnsi="Arial"/>
                <w:sz w:val="14"/>
                <w:szCs w:val="14"/>
                <w:color w:val="auto"/>
                <w:w w:val="94"/>
              </w:rPr>
              <w:t>06/03/2019</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Beverage, Food, and</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14.25%</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14,778,578</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14,527,411</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14,778,578</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Tobacco</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2.25%)</w:t>
            </w: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TrustHouse Services Group, Inc.</w:t>
            </w:r>
            <w:r>
              <w:rPr>
                <w:rFonts w:ascii="Arial" w:cs="Arial" w:eastAsia="Arial" w:hAnsi="Arial"/>
                <w:sz w:val="12"/>
                <w:szCs w:val="12"/>
                <w:color w:val="auto"/>
              </w:rPr>
              <w:t>(9)</w:t>
            </w:r>
          </w:p>
        </w:tc>
        <w:tc>
          <w:tcPr>
            <w:tcW w:w="1340" w:type="dxa"/>
            <w:vAlign w:val="bottom"/>
          </w:tcPr>
          <w:p>
            <w:pPr>
              <w:jc w:val="center"/>
              <w:ind w:left="528"/>
              <w:spacing w:after="0" w:line="130" w:lineRule="exact"/>
              <w:rPr>
                <w:sz w:val="20"/>
                <w:szCs w:val="20"/>
                <w:color w:val="auto"/>
              </w:rPr>
            </w:pPr>
            <w:r>
              <w:rPr>
                <w:rFonts w:ascii="Arial" w:cs="Arial" w:eastAsia="Arial" w:hAnsi="Arial"/>
                <w:sz w:val="14"/>
                <w:szCs w:val="14"/>
                <w:color w:val="auto"/>
                <w:w w:val="94"/>
              </w:rPr>
              <w:t>06/02/2014</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1"/>
              </w:rPr>
              <w:t>Beverage, Food, and</w:t>
            </w:r>
          </w:p>
        </w:tc>
        <w:tc>
          <w:tcPr>
            <w:tcW w:w="84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4,000,000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3,920,000</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Tobacco</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340" w:type="dxa"/>
            <w:vAlign w:val="bottom"/>
            <w:shd w:val="clear" w:color="auto" w:fill="CCEEFF"/>
          </w:tcPr>
          <w:p>
            <w:pPr>
              <w:jc w:val="center"/>
              <w:ind w:left="528"/>
              <w:spacing w:after="0" w:line="149" w:lineRule="exact"/>
              <w:rPr>
                <w:sz w:val="20"/>
                <w:szCs w:val="20"/>
                <w:color w:val="auto"/>
              </w:rPr>
            </w:pPr>
            <w:r>
              <w:rPr>
                <w:rFonts w:ascii="Arial" w:cs="Arial" w:eastAsia="Arial" w:hAnsi="Arial"/>
                <w:sz w:val="14"/>
                <w:szCs w:val="14"/>
                <w:color w:val="auto"/>
                <w:w w:val="94"/>
              </w:rPr>
              <w:t>12/31/2015</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16,200,000</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15,916,579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1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355,236,902</w:t>
            </w:r>
          </w:p>
        </w:tc>
        <w:tc>
          <w:tcPr>
            <w:tcW w:w="80" w:type="dxa"/>
            <w:vAlign w:val="bottom"/>
          </w:tcPr>
          <w:p>
            <w:pPr>
              <w:spacing w:after="0"/>
              <w:rPr>
                <w:sz w:val="23"/>
                <w:szCs w:val="2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351,070,859</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Preferred Equity/Partnership Interests—1.7% </w:t>
            </w:r>
            <w:r>
              <w:rPr>
                <w:rFonts w:ascii="Arial" w:cs="Arial" w:eastAsia="Arial" w:hAnsi="Arial"/>
                <w:sz w:val="12"/>
                <w:szCs w:val="12"/>
                <w:b w:val="1"/>
                <w:bCs w:val="1"/>
                <w:color w:val="auto"/>
              </w:rPr>
              <w:t>(6)</w:t>
            </w:r>
          </w:p>
        </w:tc>
        <w:tc>
          <w:tcPr>
            <w:tcW w:w="1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AH Holdings, Inc.</w:t>
            </w:r>
          </w:p>
        </w:tc>
        <w:tc>
          <w:tcPr>
            <w:tcW w:w="1340" w:type="dxa"/>
            <w:vAlign w:val="bottom"/>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6.00%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211</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500,000</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624,081</w:t>
            </w:r>
          </w:p>
        </w:tc>
        <w:tc>
          <w:tcPr>
            <w:tcW w:w="0" w:type="dxa"/>
            <w:vAlign w:val="bottom"/>
          </w:tcPr>
          <w:p>
            <w:pPr>
              <w:spacing w:after="0"/>
              <w:rPr>
                <w:sz w:val="1"/>
                <w:szCs w:val="1"/>
                <w:color w:val="auto"/>
              </w:rPr>
            </w:pPr>
          </w:p>
        </w:tc>
      </w:tr>
      <w:tr>
        <w:trPr>
          <w:trHeight w:val="167"/>
        </w:trPr>
        <w:tc>
          <w:tcPr>
            <w:tcW w:w="3700" w:type="dxa"/>
            <w:vAlign w:val="bottom"/>
          </w:tcPr>
          <w:p>
            <w:pPr>
              <w:ind w:left="160"/>
              <w:spacing w:after="0"/>
              <w:rPr>
                <w:sz w:val="20"/>
                <w:szCs w:val="20"/>
                <w:color w:val="auto"/>
              </w:rPr>
            </w:pPr>
            <w:r>
              <w:rPr>
                <w:rFonts w:ascii="Arial" w:cs="Arial" w:eastAsia="Arial" w:hAnsi="Arial"/>
                <w:sz w:val="14"/>
                <w:szCs w:val="14"/>
                <w:color w:val="auto"/>
              </w:rPr>
              <w:t>(American Surgical Holdings, Inc.)</w:t>
            </w: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1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Media</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7,505</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318,896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Alegeus Technologies Holding Corp., Series A</w:t>
            </w:r>
          </w:p>
        </w:tc>
        <w:tc>
          <w:tcPr>
            <w:tcW w:w="1340" w:type="dxa"/>
            <w:vAlign w:val="bottom"/>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3"/>
              </w:rPr>
              <w:t>Financial Services</w:t>
            </w:r>
          </w:p>
        </w:tc>
        <w:tc>
          <w:tcPr>
            <w:tcW w:w="84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949</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949,050</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1,031,820</w:t>
            </w:r>
          </w:p>
        </w:tc>
        <w:tc>
          <w:tcPr>
            <w:tcW w:w="0" w:type="dxa"/>
            <w:vAlign w:val="bottom"/>
          </w:tcPr>
          <w:p>
            <w:pPr>
              <w:spacing w:after="0"/>
              <w:rPr>
                <w:sz w:val="1"/>
                <w:szCs w:val="1"/>
                <w:color w:val="auto"/>
              </w:rPr>
            </w:pPr>
          </w:p>
        </w:tc>
      </w:tr>
      <w:tr>
        <w:trPr>
          <w:trHeight w:val="167"/>
        </w:trPr>
        <w:tc>
          <w:tcPr>
            <w:tcW w:w="3700" w:type="dxa"/>
            <w:vAlign w:val="bottom"/>
          </w:tcPr>
          <w:p>
            <w:pPr>
              <w:ind w:left="160"/>
              <w:spacing w:after="0"/>
              <w:rPr>
                <w:sz w:val="20"/>
                <w:szCs w:val="20"/>
                <w:color w:val="auto"/>
              </w:rPr>
            </w:pPr>
            <w:r>
              <w:rPr>
                <w:rFonts w:ascii="Arial" w:cs="Arial" w:eastAsia="Arial" w:hAnsi="Arial"/>
                <w:sz w:val="14"/>
                <w:szCs w:val="14"/>
                <w:color w:val="auto"/>
              </w:rPr>
              <w:t>(Alegeus Technologies, LLC)</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1340" w:type="dxa"/>
            <w:vAlign w:val="bottom"/>
            <w:shd w:val="clear" w:color="auto" w:fill="CCEEFF"/>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76,357</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765,307</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881,885</w:t>
            </w: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(Interactive Health Solutions, Inc.)</w:t>
            </w:r>
          </w:p>
        </w:tc>
        <w:tc>
          <w:tcPr>
            <w:tcW w:w="13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1340" w:type="dxa"/>
            <w:vAlign w:val="bottom"/>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38,179</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382,654</w:t>
            </w:r>
          </w:p>
        </w:tc>
        <w:tc>
          <w:tcPr>
            <w:tcW w:w="100" w:type="dxa"/>
            <w:vAlign w:val="bottom"/>
          </w:tcPr>
          <w:p>
            <w:pPr>
              <w:spacing w:after="0"/>
              <w:rPr>
                <w:sz w:val="11"/>
                <w:szCs w:val="11"/>
                <w:color w:val="auto"/>
              </w:rPr>
            </w:pPr>
          </w:p>
        </w:tc>
        <w:tc>
          <w:tcPr>
            <w:tcW w:w="900" w:type="dxa"/>
            <w:vAlign w:val="bottom"/>
            <w:gridSpan w:val="2"/>
          </w:tcPr>
          <w:p>
            <w:pPr>
              <w:ind w:left="6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700" w:type="dxa"/>
            <w:vAlign w:val="bottom"/>
          </w:tcPr>
          <w:p>
            <w:pPr>
              <w:ind w:left="160"/>
              <w:spacing w:after="0"/>
              <w:rPr>
                <w:sz w:val="20"/>
                <w:szCs w:val="20"/>
                <w:color w:val="auto"/>
              </w:rPr>
            </w:pPr>
            <w:r>
              <w:rPr>
                <w:rFonts w:ascii="Arial" w:cs="Arial" w:eastAsia="Arial" w:hAnsi="Arial"/>
                <w:sz w:val="14"/>
                <w:szCs w:val="14"/>
                <w:color w:val="auto"/>
              </w:rPr>
              <w:t>(Interactive Health Solutions, Inc.)</w:t>
            </w: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2,375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2,375,000</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2,375,000</w:t>
            </w: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HW Topco, Inc.</w:t>
            </w:r>
          </w:p>
        </w:tc>
        <w:tc>
          <w:tcPr>
            <w:tcW w:w="1340" w:type="dxa"/>
            <w:vAlign w:val="bottom"/>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3"/>
              </w:rPr>
              <w:t>Other Media</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8.00%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3,591</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24,177</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27,916</w:t>
            </w:r>
          </w:p>
        </w:tc>
        <w:tc>
          <w:tcPr>
            <w:tcW w:w="0" w:type="dxa"/>
            <w:vAlign w:val="bottom"/>
          </w:tcPr>
          <w:p>
            <w:pPr>
              <w:spacing w:after="0"/>
              <w:rPr>
                <w:sz w:val="1"/>
                <w:szCs w:val="1"/>
                <w:color w:val="auto"/>
              </w:rPr>
            </w:pPr>
          </w:p>
        </w:tc>
      </w:tr>
      <w:tr>
        <w:trPr>
          <w:trHeight w:val="167"/>
        </w:trPr>
        <w:tc>
          <w:tcPr>
            <w:tcW w:w="3700" w:type="dxa"/>
            <w:vAlign w:val="bottom"/>
          </w:tcPr>
          <w:p>
            <w:pPr>
              <w:ind w:left="160"/>
              <w:spacing w:after="0"/>
              <w:rPr>
                <w:sz w:val="20"/>
                <w:szCs w:val="20"/>
                <w:color w:val="auto"/>
              </w:rPr>
            </w:pPr>
            <w:r>
              <w:rPr>
                <w:rFonts w:ascii="Arial" w:cs="Arial" w:eastAsia="Arial" w:hAnsi="Arial"/>
                <w:sz w:val="14"/>
                <w:szCs w:val="14"/>
                <w:color w:val="auto"/>
              </w:rPr>
              <w:t>(Hanley-Wood, LLC)</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PAS Tech Holdings, Inc., Series A-1</w:t>
            </w:r>
          </w:p>
        </w:tc>
        <w:tc>
          <w:tcPr>
            <w:tcW w:w="1340" w:type="dxa"/>
            <w:vAlign w:val="bottom"/>
            <w:shd w:val="clear" w:color="auto" w:fill="CCEEFF"/>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Aerospace and</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20,000</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1,980,000</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823,710</w:t>
            </w: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(PAS Technologies, Inc.)</w:t>
            </w:r>
          </w:p>
        </w:tc>
        <w:tc>
          <w:tcPr>
            <w:tcW w:w="13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Defense</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TrustHouse Services Holdings, LLC</w:t>
            </w:r>
          </w:p>
        </w:tc>
        <w:tc>
          <w:tcPr>
            <w:tcW w:w="1340" w:type="dxa"/>
            <w:vAlign w:val="bottom"/>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2"/>
              </w:rPr>
              <w:t>Beverage, Food,</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12.00%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1,099</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984,344</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1,111,742</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and Tobacco</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TZ Holdings, L.P., Series A</w:t>
            </w:r>
          </w:p>
        </w:tc>
        <w:tc>
          <w:tcPr>
            <w:tcW w:w="1340" w:type="dxa"/>
            <w:vAlign w:val="bottom"/>
            <w:shd w:val="clear" w:color="auto" w:fill="CCEEFF"/>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Insurance</w:t>
            </w:r>
          </w:p>
        </w:tc>
        <w:tc>
          <w:tcPr>
            <w:tcW w:w="84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686</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685,820</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(Trizetto Group, Inc.)</w:t>
            </w:r>
          </w:p>
        </w:tc>
        <w:tc>
          <w:tcPr>
            <w:tcW w:w="1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line="130" w:lineRule="exact"/>
              <w:rPr>
                <w:sz w:val="20"/>
                <w:szCs w:val="20"/>
                <w:color w:val="auto"/>
              </w:rPr>
            </w:pPr>
            <w:r>
              <w:rPr>
                <w:rFonts w:ascii="Arial" w:cs="Arial" w:eastAsia="Arial" w:hAnsi="Arial"/>
                <w:sz w:val="14"/>
                <w:szCs w:val="14"/>
                <w:color w:val="auto"/>
              </w:rPr>
              <w:t>TZ Holdings, L.P., Series B</w:t>
            </w:r>
          </w:p>
        </w:tc>
        <w:tc>
          <w:tcPr>
            <w:tcW w:w="1340" w:type="dxa"/>
            <w:vAlign w:val="bottom"/>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tcPr>
          <w:p>
            <w:pPr>
              <w:jc w:val="center"/>
              <w:spacing w:after="0" w:line="130" w:lineRule="exact"/>
              <w:rPr>
                <w:sz w:val="20"/>
                <w:szCs w:val="20"/>
                <w:color w:val="auto"/>
              </w:rPr>
            </w:pPr>
            <w:r>
              <w:rPr>
                <w:rFonts w:ascii="Arial" w:cs="Arial" w:eastAsia="Arial" w:hAnsi="Arial"/>
                <w:sz w:val="14"/>
                <w:szCs w:val="14"/>
                <w:color w:val="auto"/>
                <w:w w:val="91"/>
              </w:rPr>
              <w:t>Insurance</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6.50%</w:t>
            </w:r>
          </w:p>
        </w:tc>
        <w:tc>
          <w:tcPr>
            <w:tcW w:w="220" w:type="dxa"/>
            <w:vAlign w:val="bottom"/>
          </w:tcPr>
          <w:p>
            <w:pPr>
              <w:spacing w:after="0"/>
              <w:rPr>
                <w:sz w:val="11"/>
                <w:szCs w:val="11"/>
                <w:color w:val="auto"/>
              </w:rPr>
            </w:pPr>
          </w:p>
        </w:tc>
        <w:tc>
          <w:tcPr>
            <w:tcW w:w="8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1,312</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1,312,006</w:t>
            </w:r>
          </w:p>
        </w:tc>
        <w:tc>
          <w:tcPr>
            <w:tcW w:w="80" w:type="dxa"/>
            <w:vAlign w:val="bottom"/>
          </w:tcPr>
          <w:p>
            <w:pPr>
              <w:spacing w:after="0"/>
              <w:rPr>
                <w:sz w:val="11"/>
                <w:szCs w:val="11"/>
                <w:color w:val="auto"/>
              </w:rPr>
            </w:pP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1,666,679</w:t>
            </w:r>
          </w:p>
        </w:tc>
        <w:tc>
          <w:tcPr>
            <w:tcW w:w="0" w:type="dxa"/>
            <w:vAlign w:val="bottom"/>
          </w:tcPr>
          <w:p>
            <w:pPr>
              <w:spacing w:after="0"/>
              <w:rPr>
                <w:sz w:val="1"/>
                <w:szCs w:val="1"/>
                <w:color w:val="auto"/>
              </w:rPr>
            </w:pPr>
          </w:p>
        </w:tc>
      </w:tr>
      <w:tr>
        <w:trPr>
          <w:trHeight w:val="167"/>
        </w:trPr>
        <w:tc>
          <w:tcPr>
            <w:tcW w:w="3700" w:type="dxa"/>
            <w:vAlign w:val="bottom"/>
          </w:tcPr>
          <w:p>
            <w:pPr>
              <w:ind w:left="160"/>
              <w:spacing w:after="0"/>
              <w:rPr>
                <w:sz w:val="20"/>
                <w:szCs w:val="20"/>
                <w:color w:val="auto"/>
              </w:rPr>
            </w:pPr>
            <w:r>
              <w:rPr>
                <w:rFonts w:ascii="Arial" w:cs="Arial" w:eastAsia="Arial" w:hAnsi="Arial"/>
                <w:sz w:val="14"/>
                <w:szCs w:val="14"/>
                <w:color w:val="auto"/>
              </w:rPr>
              <w:t>(Trizetto Group, Inc.)</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Verde Parent Holdings, Inc.</w:t>
            </w:r>
          </w:p>
        </w:tc>
        <w:tc>
          <w:tcPr>
            <w:tcW w:w="1340" w:type="dxa"/>
            <w:vAlign w:val="bottom"/>
            <w:shd w:val="clear" w:color="auto" w:fill="CCEEFF"/>
          </w:tcPr>
          <w:p>
            <w:pPr>
              <w:ind w:left="860"/>
              <w:spacing w:after="0" w:line="130"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6"/>
              </w:rPr>
              <w:t>Personal</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1,824,167</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1,824,167</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1,949,629</w:t>
            </w: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Transportation</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0"/>
                <w:szCs w:val="20"/>
                <w:color w:val="auto"/>
              </w:rPr>
            </w:pPr>
            <w:r>
              <w:rPr>
                <w:rFonts w:ascii="Arial" w:cs="Arial" w:eastAsia="Arial" w:hAnsi="Arial"/>
                <w:sz w:val="14"/>
                <w:szCs w:val="14"/>
                <w:b w:val="1"/>
                <w:bCs w:val="1"/>
                <w:color w:val="auto"/>
              </w:rPr>
              <w:t>Total Preferred Equity/Partnership Interests</w:t>
            </w:r>
          </w:p>
        </w:tc>
        <w:tc>
          <w:tcPr>
            <w:tcW w:w="1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12,101,421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11,178,282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Maturity</w:t>
            </w:r>
          </w:p>
        </w:tc>
        <w:tc>
          <w:tcPr>
            <w:tcW w:w="1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Current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Par /</w:t>
            </w:r>
          </w:p>
        </w:tc>
        <w:tc>
          <w:tcPr>
            <w:tcW w:w="140" w:type="dxa"/>
            <w:vAlign w:val="bottom"/>
          </w:tcPr>
          <w:p>
            <w:pPr>
              <w:spacing w:after="0"/>
              <w:rPr>
                <w:sz w:val="14"/>
                <w:szCs w:val="14"/>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6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Coupon</w:t>
            </w: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Common Equity/Warrants/Partnership Interests—9.2%</w:t>
            </w:r>
            <w:r>
              <w:rPr>
                <w:rFonts w:ascii="Arial" w:cs="Arial" w:eastAsia="Arial" w:hAnsi="Arial"/>
                <w:sz w:val="22"/>
                <w:szCs w:val="22"/>
                <w:b w:val="1"/>
                <w:bCs w:val="1"/>
                <w:color w:val="auto"/>
                <w:vertAlign w:val="superscript"/>
              </w:rPr>
              <w:t>(6)</w:t>
            </w:r>
          </w:p>
        </w:tc>
        <w:tc>
          <w:tcPr>
            <w:tcW w:w="10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1060" w:type="dxa"/>
            <w:vAlign w:val="bottom"/>
          </w:tcPr>
          <w:p>
            <w:pPr>
              <w:ind w:left="60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4"/>
              </w:rPr>
              <w:t>Electronics</w:t>
            </w:r>
          </w:p>
        </w:tc>
        <w:tc>
          <w:tcPr>
            <w:tcW w:w="580" w:type="dxa"/>
            <w:vAlign w:val="bottom"/>
          </w:tcPr>
          <w:p>
            <w:pPr>
              <w:ind w:left="320"/>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1,998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  2,000,000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  1,737,396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AH Holdings, Inc. (Warrants)</w:t>
            </w:r>
          </w:p>
        </w:tc>
        <w:tc>
          <w:tcPr>
            <w:tcW w:w="106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03/23/2021</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753</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2,063,780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(American Surgical Holdings, Inc.)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3"/>
                <w:szCs w:val="13"/>
                <w:color w:val="auto"/>
              </w:rPr>
              <w:t>Alegeus Technologies Holding Corp., Class A</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4"/>
              </w:rPr>
              <w:t>Financial Services</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950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Autumn Games, LLC</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Broadcasting and</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1,333,330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rPr>
              <w:t>Distribution</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1,505,000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1,505,000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1,680,720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(Galls, LLC; Quartermaster Inc.)</w:t>
            </w: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23,416</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234,693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270,457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and Childcare</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11,708</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117,346</w:t>
            </w:r>
          </w:p>
        </w:tc>
        <w:tc>
          <w:tcPr>
            <w:tcW w:w="160" w:type="dxa"/>
            <w:vAlign w:val="bottom"/>
          </w:tcPr>
          <w:p>
            <w:pPr>
              <w:spacing w:after="0"/>
              <w:rPr>
                <w:sz w:val="11"/>
                <w:szCs w:val="11"/>
                <w:color w:val="auto"/>
              </w:rPr>
            </w:pPr>
          </w:p>
        </w:tc>
        <w:tc>
          <w:tcPr>
            <w:tcW w:w="820" w:type="dxa"/>
            <w:vAlign w:val="bottom"/>
            <w:gridSpan w:val="2"/>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10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4"/>
              </w:rPr>
              <w:t>and Childcare</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Holdings, LLC</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Electronics</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2,375</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(Convergint Technologies) LLC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color w:val="auto"/>
              </w:rPr>
              <w:t>CT Technologies Holdings, LLC</w:t>
            </w:r>
          </w:p>
        </w:tc>
        <w:tc>
          <w:tcPr>
            <w:tcW w:w="1060" w:type="dxa"/>
            <w:vAlign w:val="bottom"/>
          </w:tcPr>
          <w:p>
            <w:pPr>
              <w:ind w:left="60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580" w:type="dxa"/>
            <w:vAlign w:val="bottom"/>
          </w:tcPr>
          <w:p>
            <w:pPr>
              <w:ind w:left="320"/>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5,556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1,904,033</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6,665,183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DirectBuy Investors, L.P.</w:t>
            </w:r>
          </w:p>
        </w:tc>
        <w:tc>
          <w:tcPr>
            <w:tcW w:w="10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color w:val="auto"/>
              </w:rPr>
              <w:t>HW Topco, Inc. (Hanley-Wood, LLC)</w:t>
            </w:r>
          </w:p>
        </w:tc>
        <w:tc>
          <w:tcPr>
            <w:tcW w:w="1060" w:type="dxa"/>
            <w:vAlign w:val="bottom"/>
          </w:tcPr>
          <w:p>
            <w:pPr>
              <w:ind w:left="60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580" w:type="dxa"/>
            <w:vAlign w:val="bottom"/>
          </w:tcPr>
          <w:p>
            <w:pPr>
              <w:ind w:left="320"/>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348,912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2,443,050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2,642,438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Holdings, LLC, Class A</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1,079,920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1,236,832</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12,013,688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(Kadmon Pharmaceuticals, LLC)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and Childcare</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3"/>
                <w:szCs w:val="13"/>
                <w:color w:val="auto"/>
              </w:rPr>
              <w:t>Kadmon Holdings, LLC, Class D</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1,079,920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1,028,807</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(Kadmon Pharmaceuticals, LLC)</w:t>
            </w:r>
          </w:p>
        </w:tc>
        <w:tc>
          <w:tcPr>
            <w:tcW w:w="10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4"/>
              </w:rPr>
              <w:t>and Childcare</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(US) Inc. (Warrants)</w:t>
            </w:r>
          </w:p>
        </w:tc>
        <w:tc>
          <w:tcPr>
            <w:tcW w:w="10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04/27/2020</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w:t>
            </w:r>
          </w:p>
        </w:tc>
        <w:tc>
          <w:tcPr>
            <w:tcW w:w="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779,920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3"/>
                <w:szCs w:val="13"/>
                <w:color w:val="auto"/>
              </w:rPr>
              <w:t>Magnum Hunter Resources Corporation</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1,221,932</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3,239,999</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5,425,378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(Eureka Hunter Pipeline, LLC)</w:t>
            </w: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Magnum Hunter Resources Corporation (Warrants)</w:t>
            </w:r>
          </w:p>
        </w:tc>
        <w:tc>
          <w:tcPr>
            <w:tcW w:w="106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10/14/2013</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122,193</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105,697</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31,778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(Eureka Hunter Pipeline, LLC)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3"/>
                <w:szCs w:val="13"/>
                <w:color w:val="auto"/>
              </w:rPr>
              <w:t>MidOcean JF Holdings Corp.</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rPr>
              <w:t>Distribution</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1,700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1,700,000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1,641,575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(JF Acquisition, LLC)</w:t>
            </w: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MidOcean PPL Holdings, Inc.</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4,377,360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Legal Services, Inc.)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Miscellaneous Services</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3"/>
                <w:szCs w:val="13"/>
                <w:color w:val="auto"/>
              </w:rPr>
              <w:t>Paradigm Acquisition Corp.</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20,000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2,124,491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(Paradigm Management Services, LLC)</w:t>
            </w:r>
          </w:p>
        </w:tc>
        <w:tc>
          <w:tcPr>
            <w:tcW w:w="10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4"/>
              </w:rPr>
              <w:t>and Childcare</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PAS Tech Holdings, Inc. (PAS Technologies, Inc.)</w:t>
            </w:r>
          </w:p>
        </w:tc>
        <w:tc>
          <w:tcPr>
            <w:tcW w:w="10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3"/>
                <w:szCs w:val="13"/>
                <w:color w:val="auto"/>
              </w:rPr>
              <w:t>QMG HoldCo, LLC, Class A</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4,325</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1,306,166</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1,404,661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(Questex Media Group, Inc.)</w:t>
            </w: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QMG HoldCo, LLC, Class B</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531</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172,457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(Questex Media Group, Inc.)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3"/>
                <w:szCs w:val="13"/>
                <w:color w:val="auto"/>
              </w:rPr>
              <w:t>SPG Boyd Holdings Corp.</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4"/>
              </w:rPr>
              <w:t>Chemical, Plastic and</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300,000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3,000,000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(LTI Flexible Products, Inc.)</w:t>
            </w:r>
          </w:p>
        </w:tc>
        <w:tc>
          <w:tcPr>
            <w:tcW w:w="10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Titan Private Holdings I, LLC – Class A</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Telecommunications</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2,276,847</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2,274,883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6,182,426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(Tekelec Global, Inc.)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20"/>
                <w:szCs w:val="20"/>
                <w:color w:val="auto"/>
              </w:rPr>
            </w:pPr>
            <w:r>
              <w:rPr>
                <w:rFonts w:ascii="Arial" w:cs="Arial" w:eastAsia="Arial" w:hAnsi="Arial"/>
                <w:sz w:val="13"/>
                <w:szCs w:val="13"/>
                <w:color w:val="auto"/>
              </w:rPr>
              <w:t>TRAK Acquisition Corp. (Warrants)</w:t>
            </w:r>
          </w:p>
        </w:tc>
        <w:tc>
          <w:tcPr>
            <w:tcW w:w="1060" w:type="dxa"/>
            <w:vAlign w:val="bottom"/>
          </w:tcPr>
          <w:p>
            <w:pPr>
              <w:ind w:left="380"/>
              <w:spacing w:after="0"/>
              <w:rPr>
                <w:sz w:val="20"/>
                <w:szCs w:val="20"/>
                <w:color w:val="auto"/>
              </w:rPr>
            </w:pPr>
            <w:r>
              <w:rPr>
                <w:rFonts w:ascii="Arial" w:cs="Arial" w:eastAsia="Arial" w:hAnsi="Arial"/>
                <w:sz w:val="13"/>
                <w:szCs w:val="13"/>
                <w:color w:val="auto"/>
              </w:rPr>
              <w:t>12/29/2019</w:t>
            </w:r>
          </w:p>
        </w:tc>
        <w:tc>
          <w:tcPr>
            <w:tcW w:w="15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580" w:type="dxa"/>
            <w:vAlign w:val="bottom"/>
          </w:tcPr>
          <w:p>
            <w:pPr>
              <w:ind w:left="320"/>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29,400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1,197,412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Transportation 100 Holdco, L.L.C. </w:t>
            </w:r>
            <w:r>
              <w:rPr>
                <w:rFonts w:ascii="Arial" w:cs="Arial" w:eastAsia="Arial" w:hAnsi="Arial"/>
                <w:sz w:val="15"/>
                <w:szCs w:val="15"/>
                <w:color w:val="auto"/>
                <w:vertAlign w:val="superscript"/>
              </w:rPr>
              <w:t>(13)</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58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137,923</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2,111,588</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(Greatwide Logistics Services, L.L.C.)</w:t>
            </w:r>
          </w:p>
        </w:tc>
        <w:tc>
          <w:tcPr>
            <w:tcW w:w="10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line="138" w:lineRule="exact"/>
              <w:rPr>
                <w:sz w:val="20"/>
                <w:szCs w:val="20"/>
                <w:color w:val="auto"/>
              </w:rPr>
            </w:pPr>
            <w:r>
              <w:rPr>
                <w:rFonts w:ascii="Arial" w:cs="Arial" w:eastAsia="Arial" w:hAnsi="Arial"/>
                <w:sz w:val="13"/>
                <w:szCs w:val="13"/>
                <w:color w:val="auto"/>
              </w:rPr>
              <w:t>TZ Holdings, L.P.</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58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9,567</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713,718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Verde Parent Holdings, Inc.</w:t>
            </w:r>
          </w:p>
        </w:tc>
        <w:tc>
          <w:tcPr>
            <w:tcW w:w="10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Personal Transportation</w:t>
            </w:r>
          </w:p>
        </w:tc>
        <w:tc>
          <w:tcPr>
            <w:tcW w:w="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9,167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color w:val="auto"/>
              </w:rPr>
              <w:t>VText Holdings, Inc. (Veritext Corp.)</w:t>
            </w:r>
          </w:p>
        </w:tc>
        <w:tc>
          <w:tcPr>
            <w:tcW w:w="1060" w:type="dxa"/>
            <w:vAlign w:val="bottom"/>
          </w:tcPr>
          <w:p>
            <w:pPr>
              <w:ind w:left="60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580" w:type="dxa"/>
            <w:vAlign w:val="bottom"/>
          </w:tcPr>
          <w:p>
            <w:pPr>
              <w:ind w:left="320"/>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35,526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4,050,000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6,941,000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 Partnership Interests</w:t>
            </w:r>
          </w:p>
        </w:tc>
        <w:tc>
          <w:tcPr>
            <w:tcW w:w="1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38,457,098</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61,315,758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0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871,867,953</w:t>
            </w:r>
          </w:p>
        </w:tc>
        <w:tc>
          <w:tcPr>
            <w:tcW w:w="1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871,892,745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jc w:val="center"/>
              <w:ind w:right="90"/>
              <w:spacing w:after="0"/>
              <w:rPr>
                <w:sz w:val="20"/>
                <w:szCs w:val="20"/>
                <w:color w:val="auto"/>
              </w:rPr>
            </w:pPr>
            <w:r>
              <w:rPr>
                <w:rFonts w:ascii="Arial" w:cs="Arial" w:eastAsia="Arial" w:hAnsi="Arial"/>
                <w:sz w:val="13"/>
                <w:szCs w:val="13"/>
                <w:b w:val="1"/>
                <w:bCs w:val="1"/>
                <w:color w:val="auto"/>
                <w:w w:val="84"/>
              </w:rPr>
              <w:t>Basis Point</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6"/>
              </w:rPr>
              <w:t>Spread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80" w:type="dxa"/>
            <w:vAlign w:val="bottom"/>
          </w:tcPr>
          <w:p>
            <w:pPr>
              <w:jc w:val="right"/>
              <w:ind w:right="429"/>
              <w:spacing w:after="0" w:line="135" w:lineRule="exact"/>
              <w:rPr>
                <w:sz w:val="20"/>
                <w:szCs w:val="20"/>
                <w:color w:val="auto"/>
              </w:rPr>
            </w:pPr>
            <w:r>
              <w:rPr>
                <w:rFonts w:ascii="Arial" w:cs="Arial" w:eastAsia="Arial" w:hAnsi="Arial"/>
                <w:sz w:val="13"/>
                <w:szCs w:val="13"/>
                <w:b w:val="1"/>
                <w:bCs w:val="1"/>
                <w:color w:val="auto"/>
              </w:rPr>
              <w:t>Current</w:t>
            </w:r>
          </w:p>
        </w:tc>
        <w:tc>
          <w:tcPr>
            <w:tcW w:w="88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5"/>
              </w:rPr>
              <w:t>Above</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Par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8"/>
              </w:rPr>
              <w:t>Maturity</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1080" w:type="dxa"/>
            <w:vAlign w:val="bottom"/>
          </w:tcPr>
          <w:p>
            <w:pPr>
              <w:jc w:val="right"/>
              <w:ind w:right="429"/>
              <w:spacing w:after="0"/>
              <w:rPr>
                <w:sz w:val="20"/>
                <w:szCs w:val="20"/>
                <w:color w:val="auto"/>
              </w:rPr>
            </w:pPr>
            <w:r>
              <w:rPr>
                <w:rFonts w:ascii="Arial" w:cs="Arial" w:eastAsia="Arial" w:hAnsi="Arial"/>
                <w:sz w:val="13"/>
                <w:szCs w:val="13"/>
                <w:b w:val="1"/>
                <w:bCs w:val="1"/>
                <w:color w:val="auto"/>
              </w:rPr>
              <w:t>Coupon</w:t>
            </w:r>
          </w:p>
        </w:tc>
        <w:tc>
          <w:tcPr>
            <w:tcW w:w="880" w:type="dxa"/>
            <w:vAlign w:val="bottom"/>
          </w:tcPr>
          <w:p>
            <w:pPr>
              <w:jc w:val="right"/>
              <w:ind w:right="210"/>
              <w:spacing w:after="0"/>
              <w:rPr>
                <w:sz w:val="20"/>
                <w:szCs w:val="20"/>
                <w:color w:val="auto"/>
              </w:rPr>
            </w:pPr>
            <w:r>
              <w:rPr>
                <w:rFonts w:ascii="Arial" w:cs="Arial" w:eastAsia="Arial" w:hAnsi="Arial"/>
                <w:sz w:val="13"/>
                <w:szCs w:val="13"/>
                <w:b w:val="1"/>
                <w:bCs w:val="1"/>
                <w:color w:val="auto"/>
              </w:rPr>
              <w:t xml:space="preserve">Index </w:t>
            </w:r>
            <w:r>
              <w:rPr>
                <w:rFonts w:ascii="Arial" w:cs="Arial" w:eastAsia="Arial" w:hAnsi="Arial"/>
                <w:sz w:val="10"/>
                <w:szCs w:val="10"/>
                <w:b w:val="1"/>
                <w:bCs w:val="1"/>
                <w:color w:val="auto"/>
              </w:rPr>
              <w:t>(4)</w:t>
            </w: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Cost</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(3)</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7"/>
              </w:rPr>
              <w:t xml:space="preserve">Investments in Non-Controlled, Affiliated Portfolio Companies—12.0% </w:t>
            </w:r>
            <w:r>
              <w:rPr>
                <w:rFonts w:ascii="Arial" w:cs="Arial" w:eastAsia="Arial" w:hAnsi="Arial"/>
                <w:sz w:val="12"/>
                <w:szCs w:val="12"/>
                <w:b w:val="1"/>
                <w:bCs w:val="1"/>
                <w:color w:val="auto"/>
                <w:w w:val="97"/>
              </w:rPr>
              <w:t>(1),(2)</w:t>
            </w:r>
          </w:p>
        </w:tc>
        <w:tc>
          <w:tcPr>
            <w:tcW w:w="1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Performance, Inc.</w:t>
            </w:r>
          </w:p>
        </w:tc>
        <w:tc>
          <w:tcPr>
            <w:tcW w:w="7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01/16/2015</w:t>
            </w:r>
          </w:p>
        </w:tc>
        <w:tc>
          <w:tcPr>
            <w:tcW w:w="13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Leisure, Amusement</w:t>
            </w:r>
          </w:p>
        </w:tc>
        <w:tc>
          <w:tcPr>
            <w:tcW w:w="1080" w:type="dxa"/>
            <w:vAlign w:val="bottom"/>
            <w:shd w:val="clear" w:color="auto" w:fill="CCEEFF"/>
          </w:tcPr>
          <w:p>
            <w:pPr>
              <w:jc w:val="right"/>
              <w:ind w:right="189"/>
              <w:spacing w:after="0" w:line="130" w:lineRule="exact"/>
              <w:rPr>
                <w:sz w:val="20"/>
                <w:szCs w:val="20"/>
                <w:color w:val="auto"/>
              </w:rPr>
            </w:pPr>
            <w:r>
              <w:rPr>
                <w:rFonts w:ascii="Arial" w:cs="Arial" w:eastAsia="Arial" w:hAnsi="Arial"/>
                <w:sz w:val="14"/>
                <w:szCs w:val="14"/>
                <w:color w:val="auto"/>
              </w:rPr>
              <w:t>7.25%</w:t>
            </w:r>
          </w:p>
        </w:tc>
        <w:tc>
          <w:tcPr>
            <w:tcW w:w="88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 xml:space="preserve">L+625 </w:t>
            </w:r>
            <w:r>
              <w:rPr>
                <w:rFonts w:ascii="Arial" w:cs="Arial" w:eastAsia="Arial" w:hAnsi="Arial"/>
                <w:sz w:val="12"/>
                <w:szCs w:val="12"/>
                <w:color w:val="auto"/>
              </w:rPr>
              <w:t>(8)</w:t>
            </w:r>
          </w:p>
        </w:tc>
        <w:tc>
          <w:tcPr>
            <w:tcW w:w="8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8,000,000</w:t>
            </w:r>
          </w:p>
        </w:tc>
        <w:tc>
          <w:tcPr>
            <w:tcW w:w="2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8,000,000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7,672,000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Motion Pictures and</w:t>
            </w: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Entertainment</w:t>
            </w:r>
          </w:p>
        </w:tc>
        <w:tc>
          <w:tcPr>
            <w:tcW w:w="10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line="155" w:lineRule="exact"/>
              <w:rPr>
                <w:sz w:val="20"/>
                <w:szCs w:val="20"/>
                <w:color w:val="auto"/>
              </w:rPr>
            </w:pPr>
            <w:r>
              <w:rPr>
                <w:rFonts w:ascii="Arial" w:cs="Arial" w:eastAsia="Arial" w:hAnsi="Arial"/>
                <w:sz w:val="14"/>
                <w:szCs w:val="14"/>
                <w:b w:val="1"/>
                <w:bCs w:val="1"/>
                <w:color w:val="auto"/>
              </w:rPr>
              <w:t>Subordinated Debt/Corporate Notes—7.1%</w:t>
            </w: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07/16/2015</w:t>
            </w:r>
          </w:p>
        </w:tc>
        <w:tc>
          <w:tcPr>
            <w:tcW w:w="13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Leisure, Amusement,</w:t>
            </w:r>
          </w:p>
        </w:tc>
        <w:tc>
          <w:tcPr>
            <w:tcW w:w="1080" w:type="dxa"/>
            <w:vAlign w:val="bottom"/>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 xml:space="preserve">15.00% </w:t>
            </w:r>
            <w:r>
              <w:rPr>
                <w:rFonts w:ascii="Arial" w:cs="Arial" w:eastAsia="Arial" w:hAnsi="Arial"/>
                <w:sz w:val="12"/>
                <w:szCs w:val="12"/>
                <w:color w:val="auto"/>
              </w:rPr>
              <w:t>(7)</w:t>
            </w:r>
          </w:p>
        </w:tc>
        <w:tc>
          <w:tcPr>
            <w:tcW w:w="880" w:type="dxa"/>
            <w:vAlign w:val="bottom"/>
            <w:shd w:val="clear" w:color="auto" w:fill="CCEEFF"/>
          </w:tcPr>
          <w:p>
            <w:pPr>
              <w:jc w:val="right"/>
              <w:ind w:right="21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7,567,234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7,435,314</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7,453,725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Motion Pictures and</w:t>
            </w: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Entertainment</w:t>
            </w:r>
          </w:p>
        </w:tc>
        <w:tc>
          <w:tcPr>
            <w:tcW w:w="10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Service Champ, Inc.</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10/02/2017</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12.50%</w:t>
            </w:r>
          </w:p>
        </w:tc>
        <w:tc>
          <w:tcPr>
            <w:tcW w:w="88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24,000,000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23,495,700</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Service Champ, Inc. </w:t>
            </w:r>
            <w:r>
              <w:rPr>
                <w:rFonts w:ascii="Arial" w:cs="Arial" w:eastAsia="Arial" w:hAnsi="Arial"/>
                <w:sz w:val="12"/>
                <w:szCs w:val="12"/>
                <w:color w:val="auto"/>
              </w:rPr>
              <w:t>(9)</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10/02/2013</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16,000,000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15,640,000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46,571,014</w:t>
            </w:r>
          </w:p>
        </w:tc>
        <w:tc>
          <w:tcPr>
            <w:tcW w:w="8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47,453,725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Equity/Partnership Interest—3.8%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EnviroSolutions, Inc.</w:t>
            </w:r>
          </w:p>
        </w:tc>
        <w:tc>
          <w:tcPr>
            <w:tcW w:w="700" w:type="dxa"/>
            <w:vAlign w:val="bottom"/>
          </w:tcPr>
          <w:p>
            <w:pPr>
              <w:ind w:left="220"/>
              <w:spacing w:after="0" w:line="130" w:lineRule="exact"/>
              <w:rPr>
                <w:sz w:val="20"/>
                <w:szCs w:val="20"/>
                <w:color w:val="auto"/>
              </w:rPr>
            </w:pPr>
            <w:r>
              <w:rPr>
                <w:rFonts w:ascii="Arial" w:cs="Arial" w:eastAsia="Arial" w:hAnsi="Arial"/>
                <w:sz w:val="14"/>
                <w:szCs w:val="14"/>
                <w:color w:val="auto"/>
              </w:rPr>
              <w:t>—</w:t>
            </w: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w w:val="96"/>
              </w:rPr>
              <w:t>Environmental</w:t>
            </w:r>
          </w:p>
        </w:tc>
        <w:tc>
          <w:tcPr>
            <w:tcW w:w="1080" w:type="dxa"/>
            <w:vAlign w:val="bottom"/>
          </w:tcPr>
          <w:p>
            <w:pPr>
              <w:jc w:val="right"/>
              <w:ind w:right="369"/>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1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125,106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10,055,844</w:t>
            </w:r>
          </w:p>
        </w:tc>
        <w:tc>
          <w:tcPr>
            <w:tcW w:w="80" w:type="dxa"/>
            <w:vAlign w:val="bottom"/>
          </w:tcPr>
          <w:p>
            <w:pPr>
              <w:spacing w:after="0"/>
              <w:rPr>
                <w:sz w:val="11"/>
                <w:szCs w:val="11"/>
                <w:color w:val="auto"/>
              </w:rPr>
            </w:pPr>
          </w:p>
        </w:tc>
        <w:tc>
          <w:tcPr>
            <w:tcW w:w="7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18,425,519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Services</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NCP-Performance (Performance Holdings, Inc.)</w:t>
            </w:r>
          </w:p>
        </w:tc>
        <w:tc>
          <w:tcPr>
            <w:tcW w:w="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Leisure,</w:t>
            </w:r>
          </w:p>
        </w:tc>
        <w:tc>
          <w:tcPr>
            <w:tcW w:w="1080" w:type="dxa"/>
            <w:vAlign w:val="bottom"/>
            <w:shd w:val="clear" w:color="auto" w:fill="CCEEFF"/>
          </w:tcPr>
          <w:p>
            <w:pPr>
              <w:jc w:val="right"/>
              <w:ind w:right="369"/>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1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375,000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3,750,000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2,902,355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Motion Pictures and</w:t>
            </w: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Entertainment</w:t>
            </w:r>
          </w:p>
        </w:tc>
        <w:tc>
          <w:tcPr>
            <w:tcW w:w="10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70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16,800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4,200,000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4,501,658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18,005,844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25,829,532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line="155" w:lineRule="exact"/>
              <w:rPr>
                <w:sz w:val="20"/>
                <w:szCs w:val="20"/>
                <w:color w:val="auto"/>
              </w:rPr>
            </w:pPr>
            <w:r>
              <w:rPr>
                <w:rFonts w:ascii="Arial" w:cs="Arial" w:eastAsia="Arial" w:hAnsi="Arial"/>
                <w:sz w:val="14"/>
                <w:szCs w:val="14"/>
                <w:b w:val="1"/>
                <w:bCs w:val="1"/>
                <w:color w:val="auto"/>
                <w:w w:val="93"/>
              </w:rPr>
              <w:t>Total Investments in Non-Controlled, Affiliated Portfolio Companies</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72,576,858</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80,955,257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Investments in Controlled, Affiliated Portfolio Companies—5.6% </w:t>
            </w:r>
            <w:r>
              <w:rPr>
                <w:rFonts w:ascii="Arial" w:cs="Arial" w:eastAsia="Arial" w:hAnsi="Arial"/>
                <w:sz w:val="12"/>
                <w:szCs w:val="12"/>
                <w:b w:val="1"/>
                <w:bCs w:val="1"/>
                <w:color w:val="auto"/>
              </w:rPr>
              <w:t>(1),(2)</w:t>
            </w: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0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 xml:space="preserve">14.00% </w:t>
            </w:r>
            <w:r>
              <w:rPr>
                <w:rFonts w:ascii="Arial" w:cs="Arial" w:eastAsia="Arial" w:hAnsi="Arial"/>
                <w:sz w:val="12"/>
                <w:szCs w:val="12"/>
                <w:color w:val="auto"/>
              </w:rPr>
              <w:t>(7)</w:t>
            </w:r>
          </w:p>
        </w:tc>
        <w:tc>
          <w:tcPr>
            <w:tcW w:w="880" w:type="dxa"/>
            <w:vAlign w:val="bottom"/>
            <w:shd w:val="clear" w:color="auto" w:fill="CCEEFF"/>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10,800,000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10,800,000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12/31/2015</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Oil and Gas</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743,187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668,632</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743,187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12/31/2015</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Oil and Gas</w:t>
            </w:r>
          </w:p>
        </w:tc>
        <w:tc>
          <w:tcPr>
            <w:tcW w:w="108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1,173,479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1,068,059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1,173,479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12,536,691</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12,716,666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UP Support Services, Inc.</w:t>
            </w:r>
          </w:p>
        </w:tc>
        <w:tc>
          <w:tcPr>
            <w:tcW w:w="700" w:type="dxa"/>
            <w:vAlign w:val="bottom"/>
          </w:tcPr>
          <w:p>
            <w:pPr>
              <w:jc w:val="center"/>
              <w:spacing w:after="0" w:line="130" w:lineRule="exact"/>
              <w:rPr>
                <w:sz w:val="20"/>
                <w:szCs w:val="20"/>
                <w:color w:val="auto"/>
              </w:rPr>
            </w:pPr>
            <w:r>
              <w:rPr>
                <w:rFonts w:ascii="Arial" w:cs="Arial" w:eastAsia="Arial" w:hAnsi="Arial"/>
                <w:sz w:val="14"/>
                <w:szCs w:val="14"/>
                <w:color w:val="auto"/>
                <w:w w:val="94"/>
              </w:rPr>
              <w:t>12/31/2015</w:t>
            </w: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w w:val="94"/>
              </w:rPr>
              <w:t>Oil and Gas</w:t>
            </w:r>
          </w:p>
        </w:tc>
        <w:tc>
          <w:tcPr>
            <w:tcW w:w="1080" w:type="dxa"/>
            <w:vAlign w:val="bottom"/>
          </w:tcPr>
          <w:p>
            <w:pPr>
              <w:jc w:val="right"/>
              <w:ind w:right="189"/>
              <w:spacing w:after="0" w:line="130" w:lineRule="exact"/>
              <w:rPr>
                <w:sz w:val="20"/>
                <w:szCs w:val="20"/>
                <w:color w:val="auto"/>
              </w:rPr>
            </w:pPr>
            <w:r>
              <w:rPr>
                <w:rFonts w:ascii="Arial" w:cs="Arial" w:eastAsia="Arial" w:hAnsi="Arial"/>
                <w:sz w:val="14"/>
                <w:szCs w:val="14"/>
                <w:color w:val="auto"/>
              </w:rPr>
              <w:t>15.00%</w:t>
            </w:r>
          </w:p>
        </w:tc>
        <w:tc>
          <w:tcPr>
            <w:tcW w:w="880" w:type="dxa"/>
            <w:vAlign w:val="bottom"/>
          </w:tcPr>
          <w:p>
            <w:pPr>
              <w:jc w:val="right"/>
              <w:ind w:right="21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9"/>
              </w:rPr>
              <w:t>14,300,282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11,809,647</w:t>
            </w:r>
          </w:p>
        </w:tc>
        <w:tc>
          <w:tcPr>
            <w:tcW w:w="80" w:type="dxa"/>
            <w:vAlign w:val="bottom"/>
          </w:tcPr>
          <w:p>
            <w:pPr>
              <w:spacing w:after="0"/>
              <w:rPr>
                <w:sz w:val="11"/>
                <w:szCs w:val="11"/>
                <w:color w:val="auto"/>
              </w:rPr>
            </w:pPr>
          </w:p>
        </w:tc>
        <w:tc>
          <w:tcPr>
            <w:tcW w:w="7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14,300,282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(PIK 15.00)%</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080" w:type="dxa"/>
            <w:vAlign w:val="bottom"/>
          </w:tcPr>
          <w:p>
            <w:pPr>
              <w:jc w:val="right"/>
              <w:ind w:right="9"/>
              <w:spacing w:after="0" w:line="149" w:lineRule="exact"/>
              <w:rPr>
                <w:sz w:val="20"/>
                <w:szCs w:val="20"/>
                <w:color w:val="auto"/>
              </w:rPr>
            </w:pPr>
            <w:r>
              <w:rPr>
                <w:rFonts w:ascii="Arial" w:cs="Arial" w:eastAsia="Arial" w:hAnsi="Arial"/>
                <w:sz w:val="14"/>
                <w:szCs w:val="14"/>
                <w:color w:val="auto"/>
              </w:rPr>
              <w:t xml:space="preserve">14.00% </w:t>
            </w:r>
            <w:r>
              <w:rPr>
                <w:rFonts w:ascii="Arial" w:cs="Arial" w:eastAsia="Arial" w:hAnsi="Arial"/>
                <w:sz w:val="12"/>
                <w:szCs w:val="12"/>
                <w:color w:val="auto"/>
              </w:rPr>
              <w:t>(7)</w:t>
            </w:r>
          </w:p>
        </w:tc>
        <w:tc>
          <w:tcPr>
            <w:tcW w:w="88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2,158,053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Equity—1.3%</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08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14.00%</w:t>
            </w:r>
          </w:p>
        </w:tc>
        <w:tc>
          <w:tcPr>
            <w:tcW w:w="88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216,947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Oil and Gas</w:t>
            </w:r>
          </w:p>
        </w:tc>
        <w:tc>
          <w:tcPr>
            <w:tcW w:w="108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8.00%</w:t>
            </w:r>
          </w:p>
        </w:tc>
        <w:tc>
          <w:tcPr>
            <w:tcW w:w="880" w:type="dxa"/>
            <w:vAlign w:val="bottom"/>
            <w:shd w:val="clear" w:color="auto" w:fill="CCEEFF"/>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411,988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35,120,613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8,239,760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37,120,613</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8,456,707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Equity—0.0%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64,167,051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37,631,708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Investments—147.9%</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1,008,611,862</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990,479,710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Equivalents—1.1%</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7,559,453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7,559,453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1,016,171,315</w:t>
            </w:r>
          </w:p>
        </w:tc>
        <w:tc>
          <w:tcPr>
            <w:tcW w:w="1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998,039,163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1"/>
              </w:rPr>
              <w:t>(328,322,116)</w:t>
            </w:r>
          </w:p>
        </w:tc>
        <w:tc>
          <w:tcPr>
            <w:tcW w:w="0" w:type="dxa"/>
            <w:vAlign w:val="bottom"/>
          </w:tcPr>
          <w:p>
            <w:pPr>
              <w:spacing w:after="0"/>
              <w:rPr>
                <w:sz w:val="1"/>
                <w:szCs w:val="1"/>
                <w:color w:val="auto"/>
              </w:rPr>
            </w:pPr>
          </w:p>
        </w:tc>
      </w:tr>
      <w:tr>
        <w:trPr>
          <w:trHeight w:val="155"/>
        </w:trPr>
        <w:tc>
          <w:tcPr>
            <w:tcW w:w="422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669,717,047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68" w:lineRule="exact"/>
        <w:rPr>
          <w:sz w:val="20"/>
          <w:szCs w:val="20"/>
          <w:color w:val="auto"/>
        </w:rPr>
      </w:pPr>
    </w:p>
    <w:p>
      <w:pPr>
        <w:ind w:left="340" w:right="200" w:hanging="269"/>
        <w:spacing w:after="0" w:line="224"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80" w:hanging="269"/>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269"/>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80"/>
        <w:spacing w:after="0"/>
        <w:tabs>
          <w:tab w:leader="none" w:pos="320" w:val="left"/>
        </w:tabs>
        <w:rPr>
          <w:sz w:val="20"/>
          <w:szCs w:val="20"/>
          <w:color w:val="auto"/>
        </w:rPr>
      </w:pPr>
      <w:r>
        <w:rPr>
          <w:rFonts w:ascii="Arial" w:cs="Arial" w:eastAsia="Arial" w:hAnsi="Arial"/>
          <w:sz w:val="13"/>
          <w:szCs w:val="13"/>
          <w:color w:val="auto"/>
        </w:rPr>
        <w:t>(4</w:t>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Represents floating rate instruments that accrue interest at a predetermined spread relative to an index, typically the applicable LIBOR or “L”, or Prime or “P”, rate.</w:t>
      </w:r>
    </w:p>
    <w:p>
      <w:pPr>
        <w:ind w:left="340" w:hanging="269"/>
        <w:spacing w:after="0"/>
        <w:tabs>
          <w:tab w:leader="none" w:pos="340" w:val="left"/>
        </w:tabs>
        <w:numPr>
          <w:ilvl w:val="0"/>
          <w:numId w:val="5"/>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20" w:lineRule="exact"/>
        <w:rPr>
          <w:rFonts w:ascii="Arial" w:cs="Arial" w:eastAsia="Arial" w:hAnsi="Arial"/>
          <w:sz w:val="10"/>
          <w:szCs w:val="10"/>
          <w:color w:val="auto"/>
        </w:rPr>
      </w:pPr>
    </w:p>
    <w:p>
      <w:pPr>
        <w:ind w:left="340" w:hanging="269"/>
        <w:spacing w:after="0" w:line="216"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269"/>
        <w:spacing w:after="0" w:line="217"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Coupon is payable in cash and/or PIK.</w:t>
      </w:r>
    </w:p>
    <w:p>
      <w:pPr>
        <w:ind w:left="340" w:hanging="269"/>
        <w:spacing w:after="0" w:line="216"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269"/>
        <w:spacing w:after="0" w:line="216"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investments). This security does not have a basis point spread above an index.</w:t>
      </w:r>
    </w:p>
    <w:p>
      <w:pPr>
        <w:ind w:left="340" w:hanging="332"/>
        <w:spacing w:after="0" w:line="216"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U.S.</w:t>
      </w:r>
    </w:p>
    <w:p>
      <w:pPr>
        <w:ind w:left="340" w:hanging="332"/>
        <w:spacing w:after="0" w:line="216"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Investment is held through PNNT CI (Galls) Prime Investment Holdings, LLC, a consolidated subsidiary.</w:t>
      </w:r>
    </w:p>
    <w:p>
      <w:pPr>
        <w:ind w:left="340" w:hanging="332"/>
        <w:spacing w:after="0" w:line="216"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Investment is held through PNNT Acentia LLC, a consolidated subsidiary.</w:t>
      </w: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w:t>
      </w:r>
    </w:p>
    <w:p>
      <w:pPr>
        <w:spacing w:after="0" w:line="14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2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4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determing such estimates could cause actual results to differ.</w:t>
      </w:r>
    </w:p>
    <w:p>
      <w:pPr>
        <w:spacing w:after="0" w:line="118"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20" w:hanging="447"/>
        <w:spacing w:after="0" w:line="331"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480" w:hanging="248"/>
        <w:spacing w:after="0"/>
        <w:tabs>
          <w:tab w:leader="none" w:pos="48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1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60" w:firstLine="449"/>
        <w:spacing w:after="0" w:line="312" w:lineRule="auto"/>
        <w:rPr>
          <w:sz w:val="20"/>
          <w:szCs w:val="20"/>
          <w:color w:val="auto"/>
        </w:rPr>
      </w:pPr>
      <w:r>
        <w:rPr>
          <w:rFonts w:ascii="Arial" w:cs="Arial" w:eastAsia="Arial" w:hAnsi="Arial"/>
          <w:sz w:val="15"/>
          <w:szCs w:val="15"/>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for the three months ended June 30, 2013 we elected to retain a portion of our calendar year income and incurred an excise tax of less than $0.1 million and for the nine months ended June 30, 2013 we incurred an excise tax of $(0.1) million. For the three and nine months ended June 30, 2012 we incurred an excise tax of approximately $0.4 million and $0.6 million, respectively.</w:t>
      </w:r>
    </w:p>
    <w:p>
      <w:pPr>
        <w:spacing w:after="0" w:line="104"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4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43"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Services—Investment Companies—Consolidation,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independent directors, in February 2013.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2013, the Investment Adviser earned a base management fee of $5.4 million and $15.9 million, respectively, from us. For the three and nine months ended June 30, 2012, the Investment Adviser earned a base management fee of $4.5 million and $12.7 million, respectively, from us.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and nine months ended June 30, 2013, the Investment Adviser earned an incentive fee on net investment income, as calculated under the Investment Management Agreement, of $4.4 million and $12.5 million, respectively, from us. For the three and nine months ended June 30, 2012, the Investment Adviser earned an incentive fee of $3.9 million and $10.0 million, respectively, from us.</w:t>
      </w:r>
    </w:p>
    <w:p>
      <w:pPr>
        <w:spacing w:after="0" w:line="133" w:lineRule="exact"/>
        <w:rPr>
          <w:sz w:val="20"/>
          <w:szCs w:val="20"/>
          <w:color w:val="auto"/>
        </w:rPr>
      </w:pPr>
    </w:p>
    <w:p>
      <w:pPr>
        <w:ind w:right="240" w:firstLine="449"/>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from inception. For the three and nine months ended June 30, 2013 and 2012, the Investment Adviser did not earn an incentive fee on capital gains as calculated under the Investment Management Agreement.</w:t>
      </w:r>
    </w:p>
    <w:p>
      <w:pPr>
        <w:spacing w:after="0" w:line="11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nine months ended June 30, 2013 and 2012, the Investment Adviser did not earn a incentive fee on capital gains as calculated under GAAP.</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independent directors in February 2013.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2013, the Investment Adviser and Administrator, collectively, were reimbursed $0.5 million and $2.5 million, respectively, from us, including expenses the Investment Adviser incurred on behalf of the Administrator, for the services described above. For the three and nine months ended June 30, 2012, the Investment Adviser and Administrator, collectively, were reimbursed $0.6 million and $3.0 million, respectively, from us, including expenses incurred by the Investment Advisor on behalf of the Administrator, for the services described above.</w:t>
      </w:r>
    </w:p>
    <w:p>
      <w:pPr>
        <w:spacing w:after="0" w:line="12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nine months ended June 30, 2013, PennantPark Investment was reimbursed $0.1 million and $0.3 million, respectively, for the services described above. For the three and nine months ended June 30, 2012, PennantPark Investment was reimbursed $0.1 million and $0.6 million, respectively, for the services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Purchases of long-term investments, including PIK, for the three and nine months ended June 30, 2013 totaled $76.6 million and $326.8 million, respectively. For the same periods in the prior year, purchases of investments including PIK totaled $91.7 million and $251.7 million, respectively. Sales and repayments of long-term investments for the three and nine months ended June 30, 2013 totaled $117.8 million and $271.2 million, respectively. For the same periods in the prior year, sales and repayments of long-term investments totaled $55.3 million and $173.8 million, respectively.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4"/>
          </w:tcPr>
          <w:p>
            <w:pPr>
              <w:jc w:val="right"/>
              <w:ind w:right="815"/>
              <w:spacing w:after="0"/>
              <w:rPr>
                <w:sz w:val="20"/>
                <w:szCs w:val="20"/>
                <w:color w:val="auto"/>
              </w:rPr>
            </w:pPr>
            <w:r>
              <w:rPr>
                <w:rFonts w:ascii="Arial" w:cs="Arial" w:eastAsia="Arial" w:hAnsi="Arial"/>
                <w:sz w:val="13"/>
                <w:szCs w:val="13"/>
                <w:b w:val="1"/>
                <w:bCs w:val="1"/>
                <w:color w:val="auto"/>
              </w:rPr>
              <w:t>June 30, 2013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4"/>
          </w:tcPr>
          <w:p>
            <w:pPr>
              <w:ind w:left="560"/>
              <w:spacing w:after="0"/>
              <w:rPr>
                <w:sz w:val="20"/>
                <w:szCs w:val="20"/>
                <w:color w:val="auto"/>
              </w:rPr>
            </w:pPr>
            <w:r>
              <w:rPr>
                <w:rFonts w:ascii="Arial" w:cs="Arial" w:eastAsia="Arial" w:hAnsi="Arial"/>
                <w:sz w:val="13"/>
                <w:szCs w:val="13"/>
                <w:b w:val="1"/>
                <w:bCs w:val="1"/>
                <w:color w:val="auto"/>
              </w:rPr>
              <w:t>September 30, 2012</w:t>
            </w:r>
          </w:p>
        </w:tc>
      </w:tr>
      <w:tr>
        <w:trPr>
          <w:trHeight w:val="142"/>
        </w:trPr>
        <w:tc>
          <w:tcPr>
            <w:tcW w:w="38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3"/>
                <w:szCs w:val="13"/>
                <w:b w:val="1"/>
                <w:bCs w:val="1"/>
                <w:color w:val="auto"/>
              </w:rPr>
              <w:t>Cost</w:t>
            </w: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rPr>
              <w:t>Fair Value</w:t>
            </w: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3"/>
                <w:szCs w:val="13"/>
                <w:b w:val="1"/>
                <w:bCs w:val="1"/>
                <w:color w:val="auto"/>
              </w:rPr>
              <w:t>Cost</w:t>
            </w:r>
          </w:p>
        </w:tc>
        <w:tc>
          <w:tcPr>
            <w:tcW w:w="3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Fair Value</w:t>
            </w:r>
          </w:p>
        </w:tc>
        <w:tc>
          <w:tcPr>
            <w:tcW w:w="60" w:type="dxa"/>
            <w:vAlign w:val="bottom"/>
            <w:tcBorders>
              <w:bottom w:val="single" w:sz="8" w:color="CCEEFF"/>
            </w:tcBorders>
          </w:tcPr>
          <w:p>
            <w:pPr>
              <w:spacing w:after="0"/>
              <w:rPr>
                <w:sz w:val="12"/>
                <w:szCs w:val="12"/>
                <w:color w:val="auto"/>
              </w:rPr>
            </w:pPr>
          </w:p>
        </w:tc>
      </w:tr>
      <w:tr>
        <w:trPr>
          <w:trHeight w:val="210"/>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309,664,846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315,495,501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289,964,255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$291,677,553</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Second lien</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227,755,111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239,273,403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208,454,615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191,339,241</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396,770,539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387,435,694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404,507,916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400,682,637</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Preferred equity</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65,943,245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22,733,177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49,222,034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19,634,989</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79,038,407</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101,327,097</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56,463,042</w:t>
            </w:r>
          </w:p>
        </w:tc>
        <w:tc>
          <w:tcPr>
            <w:tcW w:w="3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87,145,290</w:t>
            </w:r>
          </w:p>
        </w:tc>
        <w:tc>
          <w:tcPr>
            <w:tcW w:w="60" w:type="dxa"/>
            <w:vAlign w:val="bottom"/>
            <w:shd w:val="clear" w:color="auto" w:fill="CCEEFF"/>
          </w:tcPr>
          <w:p>
            <w:pPr>
              <w:spacing w:after="0"/>
              <w:rPr>
                <w:sz w:val="18"/>
                <w:szCs w:val="18"/>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8"/>
                <w:szCs w:val="18"/>
                <w:color w:val="auto"/>
              </w:rPr>
              <w:t>Total investments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1,079,172,148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1,066,264,872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1,008,611,862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990,479,710</w:t>
            </w:r>
          </w:p>
        </w:tc>
        <w:tc>
          <w:tcPr>
            <w:tcW w:w="60" w:type="dxa"/>
            <w:vAlign w:val="bottom"/>
          </w:tcPr>
          <w:p>
            <w:pPr>
              <w:spacing w:after="0"/>
              <w:rPr>
                <w:sz w:val="19"/>
                <w:szCs w:val="19"/>
                <w:color w:val="auto"/>
              </w:rPr>
            </w:pPr>
          </w:p>
        </w:tc>
      </w:tr>
      <w:tr>
        <w:trPr>
          <w:trHeight w:val="218"/>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16,322,503</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16,322,503</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3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60" w:type="dxa"/>
            <w:vAlign w:val="bottom"/>
            <w:shd w:val="clear" w:color="auto" w:fill="CCEEFF"/>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1,095,494,651</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1,082,587,375</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1,016,171,315</w:t>
            </w: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998,039,163</w:t>
            </w:r>
          </w:p>
        </w:tc>
        <w:tc>
          <w:tcPr>
            <w:tcW w:w="6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696"/>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7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4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2013</w:t>
            </w:r>
          </w:p>
        </w:tc>
        <w:tc>
          <w:tcPr>
            <w:tcW w:w="920" w:type="dxa"/>
            <w:vAlign w:val="bottom"/>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6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68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Chemical, Plastic and Rubber</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180" w:right="720" w:hanging="728"/>
        <w:spacing w:after="0" w:line="277"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us at the measurement date.</w:t>
      </w:r>
    </w:p>
    <w:p>
      <w:pPr>
        <w:spacing w:after="0" w:line="62" w:lineRule="exact"/>
        <w:rPr>
          <w:sz w:val="20"/>
          <w:szCs w:val="20"/>
          <w:color w:val="auto"/>
        </w:rPr>
      </w:pPr>
    </w:p>
    <w:p>
      <w:pPr>
        <w:ind w:left="1180" w:right="540" w:hanging="728"/>
        <w:spacing w:after="0" w:line="263"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180" w:right="560" w:hanging="728"/>
        <w:spacing w:after="0" w:line="277"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32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9"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2013 our ability to observe valuation inputs resulted in a reclassification of an investment from Level 3 to 2 with no other reclassification between levels. During the nine months ended June 30, 2012 our ability to observe valuation inputs resulted in no reclassification of assets between levels.</w:t>
      </w:r>
    </w:p>
    <w:p>
      <w:pPr>
        <w:spacing w:after="0" w:line="11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In accordance with Accounting Standards Update No. 2011-04 “Fair Value Measurement: Amendment to Achieve Common Fair Value Measurement and Disclosure Requirements in U.S. GAAP and IFRS,” and as outlined in the table below, some of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right="60" w:firstLine="449"/>
        <w:spacing w:after="0" w:line="309" w:lineRule="auto"/>
        <w:rPr>
          <w:sz w:val="20"/>
          <w:szCs w:val="20"/>
          <w:color w:val="auto"/>
        </w:rPr>
      </w:pPr>
      <w:r>
        <w:rPr>
          <w:rFonts w:ascii="Arial" w:cs="Arial" w:eastAsia="Arial" w:hAnsi="Arial"/>
          <w:sz w:val="15"/>
          <w:szCs w:val="15"/>
          <w:color w:val="auto"/>
        </w:rPr>
        <w:t>The remainder of our portfolio, including our long-term Credit Facility, classified as Level 3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Level 3 valuation techniques, unobservable inputs and ranges of inputs were categorized as follows for ASC 820 disclosure:</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 Category</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First lien, second lien, subordinated debt/corporate notes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First lien, second lien, subordinated debt/corporate notes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Preferred and common equity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Fair Value at</w:t>
            </w:r>
          </w:p>
        </w:tc>
        <w:tc>
          <w:tcPr>
            <w:tcW w:w="14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Valuation Technique</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2013</w:t>
            </w:r>
          </w:p>
        </w:tc>
        <w:tc>
          <w:tcPr>
            <w:tcW w:w="14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  334,903,302</w:t>
            </w:r>
          </w:p>
        </w:tc>
        <w:tc>
          <w:tcPr>
            <w:tcW w:w="120" w:type="dxa"/>
            <w:vAlign w:val="bottom"/>
          </w:tcPr>
          <w:p>
            <w:pPr>
              <w:spacing w:after="0"/>
              <w:rPr>
                <w:sz w:val="10"/>
                <w:szCs w:val="10"/>
                <w:color w:val="auto"/>
              </w:rPr>
            </w:pPr>
          </w:p>
        </w:tc>
        <w:tc>
          <w:tcPr>
            <w:tcW w:w="14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Market Comparable</w:t>
            </w:r>
          </w:p>
        </w:tc>
        <w:tc>
          <w:tcPr>
            <w:tcW w:w="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Broker/Dealer bid quotes</w:t>
            </w:r>
          </w:p>
        </w:tc>
        <w:tc>
          <w:tcPr>
            <w:tcW w:w="80" w:type="dxa"/>
            <w:vAlign w:val="bottom"/>
          </w:tcPr>
          <w:p>
            <w:pPr>
              <w:spacing w:after="0"/>
              <w:rPr>
                <w:sz w:val="10"/>
                <w:szCs w:val="10"/>
                <w:color w:val="auto"/>
              </w:rPr>
            </w:pPr>
          </w:p>
        </w:tc>
        <w:tc>
          <w:tcPr>
            <w:tcW w:w="13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565,970,262</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Market Comparable</w:t>
            </w: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7"/>
              </w:rPr>
              <w:t>Market Yield</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w w:val="93"/>
              </w:rPr>
              <w:t>8.0% - 22.7% (13.5%)</w:t>
            </w:r>
          </w:p>
        </w:tc>
        <w:tc>
          <w:tcPr>
            <w:tcW w:w="0" w:type="dxa"/>
            <w:vAlign w:val="bottom"/>
          </w:tcPr>
          <w:p>
            <w:pPr>
              <w:spacing w:after="0"/>
              <w:rPr>
                <w:sz w:val="1"/>
                <w:szCs w:val="1"/>
                <w:color w:val="auto"/>
              </w:rPr>
            </w:pPr>
          </w:p>
        </w:tc>
      </w:tr>
      <w:tr>
        <w:trPr>
          <w:trHeight w:val="167"/>
        </w:trPr>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119,600,222</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Enterprise Market Value</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color w:val="auto"/>
              </w:rPr>
              <w:t>EBITDA multiple</w:t>
            </w: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6.0X - 15.0X (8.6X)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-290830</wp:posOffset>
            </wp:positionV>
            <wp:extent cx="71323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-93345</wp:posOffset>
            </wp:positionV>
            <wp:extent cx="713232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60" w:space="720"/>
            <w:col w:w="536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58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1,020,473,786</w:t>
            </w:r>
          </w:p>
        </w:tc>
        <w:tc>
          <w:tcPr>
            <w:tcW w:w="1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3"/>
        </w:trPr>
        <w:tc>
          <w:tcPr>
            <w:tcW w:w="58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103,500,000</w:t>
            </w:r>
          </w:p>
        </w:tc>
        <w:tc>
          <w:tcPr>
            <w:tcW w:w="168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Market Comparable</w:t>
            </w:r>
          </w:p>
        </w:tc>
        <w:tc>
          <w:tcPr>
            <w:tcW w:w="15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Market Yield</w:t>
            </w:r>
          </w:p>
        </w:tc>
        <w:tc>
          <w:tcPr>
            <w:tcW w:w="1260" w:type="dxa"/>
            <w:vAlign w:val="bottom"/>
            <w:shd w:val="clear" w:color="auto" w:fill="CCEEFF"/>
          </w:tcPr>
          <w:p>
            <w:pPr>
              <w:jc w:val="right"/>
              <w:ind w:right="428"/>
              <w:spacing w:after="0" w:line="143" w:lineRule="exact"/>
              <w:rPr>
                <w:sz w:val="20"/>
                <w:szCs w:val="20"/>
                <w:color w:val="auto"/>
              </w:rPr>
            </w:pPr>
            <w:r>
              <w:rPr>
                <w:rFonts w:ascii="Arial" w:cs="Arial" w:eastAsia="Arial" w:hAnsi="Arial"/>
                <w:sz w:val="14"/>
                <w:szCs w:val="14"/>
                <w:color w:val="auto"/>
              </w:rPr>
              <w:t>3.6%</w:t>
            </w:r>
          </w:p>
        </w:tc>
      </w:tr>
      <w:tr>
        <w:trPr>
          <w:trHeight w:val="20"/>
        </w:trPr>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9"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 Category</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First lien, second lien, subordinated debt/corporate notes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First lien, second lien, subordinated debt/corporate notes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Preferred and common equity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at</w:t>
            </w:r>
          </w:p>
        </w:tc>
        <w:tc>
          <w:tcPr>
            <w:tcW w:w="14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Valuation Technique</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September 30, 2012</w:t>
            </w:r>
          </w:p>
        </w:tc>
        <w:tc>
          <w:tcPr>
            <w:tcW w:w="14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0" w:type="dxa"/>
            <w:vAlign w:val="bottom"/>
            <w:tcBorders>
              <w:top w:val="single" w:sz="8" w:color="auto"/>
            </w:tcBorders>
          </w:tcPr>
          <w:p>
            <w:pPr>
              <w:jc w:val="right"/>
              <w:ind w:right="31"/>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258,617,082</w:t>
            </w:r>
          </w:p>
        </w:tc>
        <w:tc>
          <w:tcPr>
            <w:tcW w:w="160" w:type="dxa"/>
            <w:vAlign w:val="bottom"/>
          </w:tcPr>
          <w:p>
            <w:pPr>
              <w:spacing w:after="0"/>
              <w:rPr>
                <w:sz w:val="10"/>
                <w:szCs w:val="10"/>
                <w:color w:val="auto"/>
              </w:rPr>
            </w:pPr>
          </w:p>
        </w:tc>
        <w:tc>
          <w:tcPr>
            <w:tcW w:w="14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Market Comparable</w:t>
            </w:r>
          </w:p>
        </w:tc>
        <w:tc>
          <w:tcPr>
            <w:tcW w:w="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Broker/Dealer bid quotes</w:t>
            </w:r>
          </w:p>
        </w:tc>
        <w:tc>
          <w:tcPr>
            <w:tcW w:w="80" w:type="dxa"/>
            <w:vAlign w:val="bottom"/>
          </w:tcPr>
          <w:p>
            <w:pPr>
              <w:spacing w:after="0"/>
              <w:rPr>
                <w:sz w:val="10"/>
                <w:szCs w:val="10"/>
                <w:color w:val="auto"/>
              </w:rPr>
            </w:pPr>
          </w:p>
        </w:tc>
        <w:tc>
          <w:tcPr>
            <w:tcW w:w="13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1 - 5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589,806,989</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Market Comparable</w:t>
            </w: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7"/>
              </w:rPr>
              <w:t>Market Yield</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8.4% - 19.0% (14.1%)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101,323,123</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Enterprise Market Value</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color w:val="auto"/>
              </w:rPr>
              <w:t>EBITDA multiple</w:t>
            </w: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4.3x - 15.5x (8.5x)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-290830</wp:posOffset>
            </wp:positionV>
            <wp:extent cx="71323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-93345</wp:posOffset>
            </wp:positionV>
            <wp:extent cx="7132320"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40" w:space="720"/>
            <w:col w:w="56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556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949,747,194</w:t>
            </w: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3"/>
        </w:trPr>
        <w:tc>
          <w:tcPr>
            <w:tcW w:w="5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108,952,500</w:t>
            </w:r>
          </w:p>
        </w:tc>
        <w:tc>
          <w:tcPr>
            <w:tcW w:w="17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Market Comparable</w:t>
            </w:r>
          </w:p>
        </w:tc>
        <w:tc>
          <w:tcPr>
            <w:tcW w:w="150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Discount rate</w:t>
            </w:r>
          </w:p>
        </w:tc>
        <w:tc>
          <w:tcPr>
            <w:tcW w:w="1260" w:type="dxa"/>
            <w:vAlign w:val="bottom"/>
            <w:shd w:val="clear" w:color="auto" w:fill="CCEEFF"/>
          </w:tcPr>
          <w:p>
            <w:pPr>
              <w:jc w:val="right"/>
              <w:ind w:right="428"/>
              <w:spacing w:after="0" w:line="143" w:lineRule="exact"/>
              <w:rPr>
                <w:sz w:val="20"/>
                <w:szCs w:val="20"/>
                <w:color w:val="auto"/>
              </w:rPr>
            </w:pPr>
            <w:r>
              <w:rPr>
                <w:rFonts w:ascii="Arial" w:cs="Arial" w:eastAsia="Arial" w:hAnsi="Arial"/>
                <w:sz w:val="14"/>
                <w:szCs w:val="14"/>
                <w:color w:val="auto"/>
              </w:rPr>
              <w:t>3.5%</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the 2025 Notes and Credit Facility were categorized as follows in the fair value hierarchy for ASC 820 purposes: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gridSpan w:val="7"/>
          </w:tcPr>
          <w:p>
            <w:pPr>
              <w:ind w:left="120"/>
              <w:spacing w:after="0"/>
              <w:rPr>
                <w:sz w:val="20"/>
                <w:szCs w:val="20"/>
                <w:color w:val="auto"/>
              </w:rPr>
            </w:pPr>
            <w:r>
              <w:rPr>
                <w:rFonts w:ascii="Arial" w:cs="Arial" w:eastAsia="Arial" w:hAnsi="Arial"/>
                <w:sz w:val="14"/>
                <w:szCs w:val="14"/>
                <w:b w:val="1"/>
                <w:bCs w:val="1"/>
                <w:color w:val="auto"/>
              </w:rPr>
              <w:t>Fair Value at June 30, 2013</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Loan and</w:t>
            </w:r>
          </w:p>
        </w:tc>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investments</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942,204,598</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41,331,034</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900,873,564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124,060,274</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4,460,052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119,600,222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1,066,264,872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4,460,052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41,331,034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1,020,473,786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16,322,503</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16,322,503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and cash equivalents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1,082,587,375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20,782,555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41,331,034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1,020,473,786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103,500,000</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71,250,000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174,750,000</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71,250,000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60" w:type="dxa"/>
            <w:vAlign w:val="bottom"/>
            <w:gridSpan w:val="3"/>
          </w:tcPr>
          <w:p>
            <w:pPr>
              <w:jc w:val="right"/>
              <w:ind w:right="792"/>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gridSpan w:val="7"/>
          </w:tcPr>
          <w:p>
            <w:pPr>
              <w:ind w:left="640"/>
              <w:spacing w:after="0"/>
              <w:rPr>
                <w:sz w:val="20"/>
                <w:szCs w:val="20"/>
                <w:color w:val="auto"/>
              </w:rPr>
            </w:pPr>
            <w:r>
              <w:rPr>
                <w:rFonts w:ascii="Arial" w:cs="Arial" w:eastAsia="Arial" w:hAnsi="Arial"/>
                <w:sz w:val="14"/>
                <w:szCs w:val="14"/>
                <w:b w:val="1"/>
                <w:bCs w:val="1"/>
                <w:color w:val="auto"/>
              </w:rPr>
              <w:t>Fair Value at September 30, 2012</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Loan and</w:t>
            </w:r>
          </w:p>
        </w:tc>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$883,699,431</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35,275,360</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$848,424,071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106,780,279</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5,425,378</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3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101,323,123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990,479,710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5,425,378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35,307,138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7,559,453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and cash equivalents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998,039,163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12,984,831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35,307,138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949,747,194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108,952,500</w:t>
            </w: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108,952,500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9"/>
          </w:tcPr>
          <w:p>
            <w:pPr>
              <w:jc w:val="right"/>
              <w:ind w:right="732"/>
              <w:spacing w:after="0"/>
              <w:rPr>
                <w:sz w:val="20"/>
                <w:szCs w:val="20"/>
                <w:color w:val="auto"/>
              </w:rPr>
            </w:pPr>
            <w:r>
              <w:rPr>
                <w:rFonts w:ascii="Arial" w:cs="Arial" w:eastAsia="Arial" w:hAnsi="Arial"/>
                <w:sz w:val="14"/>
                <w:szCs w:val="14"/>
                <w:b w:val="1"/>
                <w:bCs w:val="1"/>
                <w:color w:val="auto"/>
              </w:rPr>
              <w:t>For the nine months ended June 30, 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0"/>
                <w:szCs w:val="10"/>
                <w:color w:val="auto"/>
              </w:rPr>
            </w:pPr>
          </w:p>
        </w:tc>
        <w:tc>
          <w:tcPr>
            <w:tcW w:w="13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Loan and debt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investments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Beginning</w:t>
            </w:r>
          </w:p>
        </w:tc>
        <w:tc>
          <w:tcPr>
            <w:tcW w:w="50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September 30, 2012</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848,424,071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101,323,123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3,757,501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3,311,652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7,069,153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 (depreciation)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34,351,022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(21,019,509)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321,218,848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46,591,490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367,810,338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non-cash exchanges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(294,037,878)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(10,606,534)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(304,644,412)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(12,840,000)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900,873,564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119,600,222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1,020,473,786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gridSpan w:val="3"/>
          </w:tcPr>
          <w:p>
            <w:pPr>
              <w:spacing w:after="0"/>
              <w:rPr>
                <w:sz w:val="20"/>
                <w:szCs w:val="20"/>
                <w:color w:val="auto"/>
              </w:rPr>
            </w:pPr>
            <w:r>
              <w:rPr>
                <w:rFonts w:ascii="Arial" w:cs="Arial" w:eastAsia="Arial" w:hAnsi="Arial"/>
                <w:sz w:val="18"/>
                <w:szCs w:val="18"/>
                <w:color w:val="auto"/>
                <w:w w:val="95"/>
              </w:rPr>
              <w:t>Net change in unrealized appreciation (depreciation) reported within the net</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change in unrealized appreciation on investments in our Consolidated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8"/>
              </w:rPr>
              <w:t>Statement of Operations attributable to our Level 3 assets still held at the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reporting date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36,781,749</w:t>
            </w:r>
          </w:p>
        </w:tc>
        <w:tc>
          <w:tcPr>
            <w:tcW w:w="2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(18,334,568)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18,447,181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jc w:val="right"/>
              <w:ind w:right="732"/>
              <w:spacing w:after="0"/>
              <w:rPr>
                <w:sz w:val="20"/>
                <w:szCs w:val="20"/>
                <w:color w:val="auto"/>
              </w:rPr>
            </w:pPr>
            <w:r>
              <w:rPr>
                <w:rFonts w:ascii="Arial" w:cs="Arial" w:eastAsia="Arial" w:hAnsi="Arial"/>
                <w:sz w:val="14"/>
                <w:szCs w:val="14"/>
                <w:b w:val="1"/>
                <w:bCs w:val="1"/>
                <w:color w:val="auto"/>
              </w:rPr>
              <w:t>For the nine months ended June 30, 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0"/>
                <w:szCs w:val="10"/>
                <w:color w:val="auto"/>
              </w:rPr>
            </w:pPr>
          </w:p>
        </w:tc>
        <w:tc>
          <w:tcPr>
            <w:tcW w:w="13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Loan and debt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investments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Beginning</w:t>
            </w:r>
          </w:p>
        </w:tc>
        <w:tc>
          <w:tcPr>
            <w:tcW w:w="50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September 30, 2011</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732,694,451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52,353,328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Realized (losses) gains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(2,334,276)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1,871,266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(7,513,982)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12,436,050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Purchases, PIK and net discount accretion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242,660,994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25,261,207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267,922,201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(166,805,784)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(5,398,142)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(172,203,926)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Exchanges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or out of Level 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Ending Balance, June 30, 2012</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798,701,403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86,523,709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885,225,112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Net change in unrealized (depreciation) appreciation reported within the net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appreciation on investments in our Consolidated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Statement of Operations attributable to our Level 3 assets still held at the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reporting date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(6,124,283)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14,280,779</w:t>
            </w:r>
          </w:p>
        </w:tc>
        <w:tc>
          <w:tcPr>
            <w:tcW w:w="2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8,156,496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ind w:left="508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42"/>
        </w:trPr>
        <w:tc>
          <w:tcPr>
            <w:tcW w:w="7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Credit Facility</w:t>
            </w:r>
          </w:p>
        </w:tc>
        <w:tc>
          <w:tcPr>
            <w:tcW w:w="960" w:type="dxa"/>
            <w:vAlign w:val="bottom"/>
          </w:tcPr>
          <w:p>
            <w:pPr>
              <w:spacing w:after="0"/>
              <w:rPr>
                <w:sz w:val="12"/>
                <w:szCs w:val="12"/>
                <w:color w:val="auto"/>
              </w:rPr>
            </w:pPr>
          </w:p>
        </w:tc>
        <w:tc>
          <w:tcPr>
            <w:tcW w:w="2340" w:type="dxa"/>
            <w:vAlign w:val="bottom"/>
            <w:tcBorders>
              <w:top w:val="single" w:sz="8" w:color="auto"/>
              <w:bottom w:val="single" w:sz="8" w:color="auto"/>
            </w:tcBorders>
            <w:gridSpan w:val="3"/>
          </w:tcPr>
          <w:p>
            <w:pPr>
              <w:jc w:val="right"/>
              <w:ind w:right="233"/>
              <w:spacing w:after="0" w:line="142" w:lineRule="exact"/>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June 30, 2013</w:t>
            </w:r>
          </w:p>
        </w:tc>
        <w:tc>
          <w:tcPr>
            <w:tcW w:w="10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Beginning Balance, September 30, 2012 (Cost – $109,500,000 and $240,900,000, respectively)</w:t>
            </w:r>
          </w:p>
        </w:tc>
        <w:tc>
          <w:tcPr>
            <w:tcW w:w="9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$ 108,952,500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Total unrealized appreciation included in earnings</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547,500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1,186,875</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532,800,000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499,500,000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2240" w:type="dxa"/>
            <w:vAlign w:val="bottom"/>
            <w:gridSpan w:val="3"/>
          </w:tcPr>
          <w:p>
            <w:pPr>
              <w:jc w:val="right"/>
              <w:ind w:right="160"/>
              <w:spacing w:after="0"/>
              <w:rPr>
                <w:sz w:val="20"/>
                <w:szCs w:val="20"/>
                <w:color w:val="auto"/>
              </w:rPr>
            </w:pPr>
            <w:r>
              <w:rPr>
                <w:rFonts w:ascii="Arial" w:cs="Arial" w:eastAsia="Arial" w:hAnsi="Arial"/>
                <w:sz w:val="18"/>
                <w:szCs w:val="18"/>
                <w:color w:val="auto"/>
              </w:rPr>
              <w:t>(538,800,000)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(556,200,000)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Transfers in and/or out of Level 3</w:t>
            </w:r>
          </w:p>
        </w:tc>
        <w:tc>
          <w:tcPr>
            <w:tcW w:w="9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gridSpan w:val="3"/>
          </w:tcPr>
          <w:p>
            <w:pPr>
              <w:spacing w:after="0"/>
              <w:rPr>
                <w:sz w:val="20"/>
                <w:szCs w:val="20"/>
                <w:color w:val="auto"/>
              </w:rPr>
            </w:pPr>
            <w:r>
              <w:rPr>
                <w:rFonts w:ascii="Arial" w:cs="Arial" w:eastAsia="Arial" w:hAnsi="Arial"/>
                <w:sz w:val="18"/>
                <w:szCs w:val="18"/>
                <w:color w:val="auto"/>
              </w:rPr>
              <w:t>Ending Balance, June 30, 2013 (Cost – $103,500,000 and $185,100,000, respectively)</w:t>
            </w:r>
          </w:p>
        </w:tc>
        <w:tc>
          <w:tcPr>
            <w:tcW w:w="9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$ 103,500,000</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$ 183,279,000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7560" w:type="dxa"/>
            <w:vAlign w:val="bottom"/>
            <w:gridSpan w:val="2"/>
          </w:tcPr>
          <w:p>
            <w:pPr>
              <w:ind w:left="180"/>
              <w:spacing w:after="0"/>
              <w:rPr>
                <w:sz w:val="20"/>
                <w:szCs w:val="20"/>
                <w:color w:val="auto"/>
              </w:rPr>
            </w:pPr>
            <w:r>
              <w:rPr>
                <w:rFonts w:ascii="Arial" w:cs="Arial" w:eastAsia="Arial" w:hAnsi="Arial"/>
                <w:sz w:val="18"/>
                <w:szCs w:val="18"/>
                <w:color w:val="auto"/>
              </w:rPr>
              <w:t>Excludes temporary draws.</w:t>
            </w:r>
          </w:p>
        </w:tc>
        <w:tc>
          <w:tcPr>
            <w:tcW w:w="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relating to debt issuance costs during the nine months ended June 30, 2013 relating to our 2025 Notes and an expansion of the size of our Credit Facility through its accordion feature.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and 2025 Notes are recorded in the Consolidated Statement of Operations. We elected not to apply ASC 825-10 to any other financial assets or liabilities, including the SBA debentures. For the three and nine months ended June 30, 2013, our Credit Facility and 2025 Notes had a combined net change in unrealized depreciation (appreciation) of $0.4 million and $(0.5) million, respectively. For the three and nine months ended June 30, 2012, our Credit Facility had a net change in unrealized depreciation (appreciation) of $0.2 million and $(1.2) million, respectively. As of June 30, 2013 and September 30, 2012, combined net unrealized (appreciation) depreciation on our Credit Facility and 2025 Notes totaled zero and $0.5 million, respectively. PennantPark Investment uses a nationally recognized independent valuation service to measure the fair value of its Credit Facility in a manner consistent with the valuation process that the board of directors uses to value investments. Our 2025 Notes trade on the New York Stock Exchange, or the NYSE, and PennantPark Investment uses the closing quote on the exchange to measure their fair value.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An affiliated company is a company in which we have ownership of 5% or more of its voting securities. A controlled affiliate is a company in which we own more than 25% of its voting securities. Transactions related to our investments with both controlled and non-controlled affiliates for the nine months ended June 30, 2013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Purchases of /</w:t>
            </w:r>
          </w:p>
        </w:tc>
        <w:tc>
          <w:tcPr>
            <w:tcW w:w="1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Sale of /</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Capital Gains</w:t>
            </w: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auto"/>
                <w:w w:val="98"/>
              </w:rPr>
              <w:t>Name of Investment</w:t>
            </w:r>
          </w:p>
        </w:tc>
        <w:tc>
          <w:tcPr>
            <w:tcW w:w="27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15"/>
              <w:spacing w:after="0"/>
              <w:rPr>
                <w:sz w:val="20"/>
                <w:szCs w:val="20"/>
                <w:color w:val="auto"/>
              </w:rPr>
            </w:pPr>
            <w:r>
              <w:rPr>
                <w:rFonts w:ascii="Arial" w:cs="Arial" w:eastAsia="Arial" w:hAnsi="Arial"/>
                <w:sz w:val="13"/>
                <w:szCs w:val="13"/>
                <w:b w:val="1"/>
                <w:bCs w:val="1"/>
                <w:color w:val="auto"/>
              </w:rPr>
              <w:t>Fair Value 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Advances to</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Distributions</w:t>
            </w:r>
          </w:p>
        </w:tc>
        <w:tc>
          <w:tcPr>
            <w:tcW w:w="120" w:type="dxa"/>
            <w:vAlign w:val="bottom"/>
          </w:tcPr>
          <w:p>
            <w:pPr>
              <w:spacing w:after="0"/>
              <w:rPr>
                <w:sz w:val="12"/>
                <w:szCs w:val="12"/>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 at</w:t>
            </w:r>
          </w:p>
        </w:tc>
        <w:tc>
          <w:tcPr>
            <w:tcW w:w="1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11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2"/>
              </w:rPr>
              <w:t>September 30, 2012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4"/>
              </w:rPr>
              <w:t>Affiliates</w:t>
            </w:r>
          </w:p>
        </w:tc>
        <w:tc>
          <w:tcPr>
            <w:tcW w:w="160" w:type="dxa"/>
            <w:vAlign w:val="bottom"/>
          </w:tcPr>
          <w:p>
            <w:pPr>
              <w:spacing w:after="0"/>
              <w:rPr>
                <w:sz w:val="14"/>
                <w:szCs w:val="14"/>
                <w:color w:val="auto"/>
              </w:rPr>
            </w:pPr>
          </w:p>
        </w:tc>
        <w:tc>
          <w:tcPr>
            <w:tcW w:w="118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3"/>
              </w:rPr>
              <w:t>from Affiliates</w:t>
            </w:r>
          </w:p>
        </w:tc>
        <w:tc>
          <w:tcPr>
            <w:tcW w:w="120" w:type="dxa"/>
            <w:vAlign w:val="bottom"/>
          </w:tcPr>
          <w:p>
            <w:pPr>
              <w:spacing w:after="0"/>
              <w:rPr>
                <w:sz w:val="14"/>
                <w:szCs w:val="14"/>
                <w:color w:val="auto"/>
              </w:rPr>
            </w:pPr>
          </w:p>
        </w:tc>
        <w:tc>
          <w:tcPr>
            <w:tcW w:w="1060" w:type="dxa"/>
            <w:vAlign w:val="bottom"/>
            <w:gridSpan w:val="2"/>
          </w:tcPr>
          <w:p>
            <w:pPr>
              <w:jc w:val="right"/>
              <w:ind w:right="480"/>
              <w:spacing w:after="0" w:line="148" w:lineRule="exact"/>
              <w:rPr>
                <w:sz w:val="20"/>
                <w:szCs w:val="20"/>
                <w:color w:val="auto"/>
              </w:rPr>
            </w:pPr>
            <w:r>
              <w:rPr>
                <w:rFonts w:ascii="Arial" w:cs="Arial" w:eastAsia="Arial" w:hAnsi="Arial"/>
                <w:sz w:val="13"/>
                <w:szCs w:val="13"/>
                <w:b w:val="1"/>
                <w:bCs w:val="1"/>
                <w:color w:val="auto"/>
                <w:w w:val="98"/>
              </w:rPr>
              <w:t>Received</w:t>
            </w:r>
          </w:p>
        </w:tc>
        <w:tc>
          <w:tcPr>
            <w:tcW w:w="80" w:type="dxa"/>
            <w:vAlign w:val="bottom"/>
          </w:tcPr>
          <w:p>
            <w:pPr>
              <w:spacing w:after="0"/>
              <w:rPr>
                <w:sz w:val="14"/>
                <w:szCs w:val="14"/>
                <w:color w:val="auto"/>
              </w:rPr>
            </w:pPr>
          </w:p>
        </w:tc>
        <w:tc>
          <w:tcPr>
            <w:tcW w:w="118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June 30, 2013</w:t>
            </w:r>
          </w:p>
        </w:tc>
        <w:tc>
          <w:tcPr>
            <w:tcW w:w="100" w:type="dxa"/>
            <w:vAlign w:val="bottom"/>
          </w:tcPr>
          <w:p>
            <w:pPr>
              <w:spacing w:after="0"/>
              <w:rPr>
                <w:sz w:val="14"/>
                <w:szCs w:val="14"/>
                <w:color w:val="auto"/>
              </w:rPr>
            </w:pPr>
          </w:p>
        </w:tc>
        <w:tc>
          <w:tcPr>
            <w:tcW w:w="88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89"/>
        </w:trPr>
        <w:tc>
          <w:tcPr>
            <w:tcW w:w="4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13,175,000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3,500,000</w:t>
            </w:r>
          </w:p>
        </w:tc>
        <w:tc>
          <w:tcPr>
            <w:tcW w:w="14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$(6,000,000)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1,401,458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13,000,001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Support Services,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24,456,708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1,117,359</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1,751,087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24,291,709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Buy Holdings, Inc. **</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623,363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17,314,749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(1,350,000)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Envirosolutions, Inc.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18,425,519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1,779,860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21,185,786</w:t>
            </w:r>
          </w:p>
        </w:tc>
        <w:tc>
          <w:tcPr>
            <w:tcW w:w="1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International Holdings, Inc. *</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17,946,928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454,431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5,307,123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(1,999,960)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18,028,080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1,286,313</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18,603,905</w:t>
            </w:r>
          </w:p>
        </w:tc>
        <w:tc>
          <w:tcPr>
            <w:tcW w:w="1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44,501,658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1,493,785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46,818,209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147,413,893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9,697,416</w:t>
            </w:r>
          </w:p>
        </w:tc>
        <w:tc>
          <w:tcPr>
            <w:tcW w:w="14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7,010,437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146,521,482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1"/>
              </w:rPr>
              <w:t>(3,349,960)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800" w:firstLine="8"/>
        <w:spacing w:after="0" w:line="331" w:lineRule="auto"/>
        <w:tabs>
          <w:tab w:leader="none" w:pos="445" w:val="left"/>
        </w:tabs>
        <w:numPr>
          <w:ilvl w:val="0"/>
          <w:numId w:val="9"/>
        </w:numPr>
        <w:rPr>
          <w:rFonts w:ascii="Arial" w:cs="Arial" w:eastAsia="Arial" w:hAnsi="Arial"/>
          <w:sz w:val="16"/>
          <w:szCs w:val="16"/>
          <w:color w:val="auto"/>
        </w:rPr>
      </w:pPr>
      <w:r>
        <w:rPr>
          <w:rFonts w:ascii="Arial" w:cs="Arial" w:eastAsia="Arial" w:hAnsi="Arial"/>
          <w:sz w:val="16"/>
          <w:szCs w:val="16"/>
          <w:color w:val="auto"/>
        </w:rPr>
        <w:t>Became a non-controlled affiliate during the three months ended March 31, 2013. ** Became a non-controlled affiliate during the three months ended December 31,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5"/>
              </w:rPr>
              <w:t>Three months ended 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9"/>
              </w:rPr>
              <w:t>Nine months ended June 30,</w:t>
            </w:r>
          </w:p>
        </w:tc>
      </w:tr>
      <w:tr>
        <w:trPr>
          <w:trHeight w:val="142"/>
        </w:trPr>
        <w:tc>
          <w:tcPr>
            <w:tcW w:w="60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3"/>
                <w:szCs w:val="13"/>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2012</w:t>
            </w:r>
          </w:p>
        </w:tc>
        <w:tc>
          <w:tcPr>
            <w:tcW w:w="6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13,785,532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3,419,732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69,299,053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45,663,365</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66,450,117</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56,365,576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66,340,895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51,680,907</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net increase in net assets per share resulting from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2013 and September 30, 2012, cash equivalents were invested in money market funds in the amount of $16.3 million and $7.6 million, respectively.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right="8280" w:hanging="452"/>
        <w:spacing w:after="0" w:line="369" w:lineRule="auto"/>
        <w:tabs>
          <w:tab w:leader="none" w:pos="18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HIGHLIGHTS </w:t>
      </w:r>
      <w:r>
        <w:rPr>
          <w:rFonts w:ascii="Arial" w:cs="Arial" w:eastAsia="Arial" w:hAnsi="Arial"/>
          <w:sz w:val="18"/>
          <w:szCs w:val="18"/>
          <w:color w:val="auto"/>
        </w:rPr>
        <w:t>Below are the financial highlights:</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2013</w:t>
            </w:r>
          </w:p>
        </w:tc>
        <w:tc>
          <w:tcPr>
            <w:tcW w:w="3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1"/>
                <w:szCs w:val="11"/>
                <w:color w:val="auto"/>
              </w:rPr>
              <w:t>(1) (2)</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Effect of common stock issuance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Effect of offering costs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66,450,117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56,367,339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debt expenses to average net assets </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693,102,657</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572,661,509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321,315,385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334,601,095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1"/>
                <w:szCs w:val="11"/>
                <w:color w:val="auto"/>
              </w:rPr>
              <w:t>(1)</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right="7500" w:firstLine="8"/>
        <w:spacing w:after="0" w:line="285" w:lineRule="auto"/>
        <w:tabs>
          <w:tab w:leader="none" w:pos="4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exclude debt related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Ratio does not annualize the 2025 Notes offering costs or costs associated with increasing the size of our Credit Facility.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a $430 million multi-currency Credit Facility with certain lenders and SunTrust Bank, acting as administrative agent, and JPMorgan Chase Bank, N.A., acting as syndication agent for the lenders. As of June 30, 2013 and September 30, 2012, there was $114.5 million (including a temporary draw of $11.0 million) and $145.0 million (including a temporary draw of $35.5 million), respectively, in outstanding borrowings under the Credit Facility, with a weighted average interest rate at the time of 3.19% and 3.49%, respectively, exclusive of the fee on undrawn commitments of 0.50%. The Credit Facility is a four-year revolving facility, maturing in February 2016, with a one-year term-out period following its third-year, and pricing is set at 275 basis points over LIBOR. The Credit Facility is secured by substantially all of the Company’s assets excluding assets held by our SBIC Funds.</w:t>
      </w:r>
    </w:p>
    <w:p>
      <w:pPr>
        <w:spacing w:after="0" w:line="120" w:lineRule="exact"/>
        <w:rPr>
          <w:sz w:val="20"/>
          <w:szCs w:val="20"/>
          <w:color w:val="auto"/>
        </w:rPr>
      </w:pPr>
    </w:p>
    <w:p>
      <w:pPr>
        <w:ind w:right="60" w:firstLine="449"/>
        <w:spacing w:after="0" w:line="331" w:lineRule="auto"/>
        <w:rPr>
          <w:sz w:val="20"/>
          <w:szCs w:val="20"/>
          <w:color w:val="auto"/>
        </w:rPr>
      </w:pPr>
      <w:r>
        <w:rPr>
          <w:rFonts w:ascii="Arial" w:cs="Arial" w:eastAsia="Arial" w:hAnsi="Arial"/>
          <w:sz w:val="16"/>
          <w:szCs w:val="16"/>
          <w:color w:val="auto"/>
        </w:rPr>
        <w:t>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32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June 30, 2013. In January 2013, our wholly-owned subsidiary, SBIC II, received a license from the SBA to operate as an SBIC under the 1958 Act. We have funded SBIC II with $2.5 million of seed capital.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19" w:lineRule="exact"/>
        <w:rPr>
          <w:sz w:val="20"/>
          <w:szCs w:val="20"/>
          <w:color w:val="auto"/>
        </w:rPr>
      </w:pPr>
    </w:p>
    <w:p>
      <w:pPr>
        <w:jc w:val="both"/>
        <w:ind w:right="280" w:firstLine="449"/>
        <w:spacing w:after="0" w:line="259" w:lineRule="auto"/>
        <w:rPr>
          <w:sz w:val="20"/>
          <w:szCs w:val="20"/>
          <w:color w:val="auto"/>
        </w:rPr>
      </w:pPr>
      <w:r>
        <w:rPr>
          <w:rFonts w:ascii="Arial" w:cs="Arial" w:eastAsia="Arial" w:hAnsi="Arial"/>
          <w:sz w:val="18"/>
          <w:szCs w:val="18"/>
          <w:color w:val="auto"/>
        </w:rPr>
        <w:t>As of June 30, 2013, SBIC LP had fully drawn $150.0 million in debt commitments with a weighted average interest rate of 3.70%, exclusive of the 3.43% of upfront fees, which are amortized over the life of the loan (4.04% after upfront fees). Our fixed-rate SBA debentures as of both June 30, 2013 and September 30, 2012 were as follows:</w:t>
      </w:r>
    </w:p>
    <w:p>
      <w:pPr>
        <w:spacing w:after="0" w:line="175"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Fixed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All-in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3"/>
              </w:rPr>
              <w:t>Coupon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Issuance Dates</w:t>
            </w: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Arial" w:cs="Arial" w:eastAsia="Arial" w:hAnsi="Arial"/>
                <w:sz w:val="13"/>
                <w:szCs w:val="13"/>
                <w:b w:val="1"/>
                <w:bCs w:val="1"/>
                <w:color w:val="auto"/>
              </w:rPr>
              <w:t>Maturity</w:t>
            </w:r>
          </w:p>
        </w:tc>
        <w:tc>
          <w:tcPr>
            <w:tcW w:w="400" w:type="dxa"/>
            <w:vAlign w:val="bottom"/>
          </w:tcPr>
          <w:p>
            <w:pPr>
              <w:spacing w:after="0"/>
              <w:rPr>
                <w:sz w:val="14"/>
                <w:szCs w:val="14"/>
                <w:color w:val="auto"/>
              </w:rPr>
            </w:pPr>
          </w:p>
        </w:tc>
        <w:tc>
          <w:tcPr>
            <w:tcW w:w="800" w:type="dxa"/>
            <w:vAlign w:val="bottom"/>
            <w:gridSpan w:val="2"/>
          </w:tcPr>
          <w:p>
            <w:pPr>
              <w:jc w:val="center"/>
              <w:ind w:right="360"/>
              <w:spacing w:after="0" w:line="162" w:lineRule="exact"/>
              <w:rPr>
                <w:sz w:val="20"/>
                <w:szCs w:val="20"/>
                <w:color w:val="auto"/>
              </w:rPr>
            </w:pPr>
            <w:r>
              <w:rPr>
                <w:rFonts w:ascii="Arial" w:cs="Arial" w:eastAsia="Arial" w:hAnsi="Arial"/>
                <w:sz w:val="11"/>
                <w:szCs w:val="11"/>
                <w:b w:val="1"/>
                <w:bCs w:val="1"/>
                <w:color w:val="auto"/>
              </w:rPr>
              <w:t xml:space="preserve">Rate </w:t>
            </w:r>
            <w:r>
              <w:rPr>
                <w:rFonts w:ascii="Arial" w:cs="Arial" w:eastAsia="Arial" w:hAnsi="Arial"/>
                <w:sz w:val="18"/>
                <w:szCs w:val="18"/>
                <w:b w:val="1"/>
                <w:bCs w:val="1"/>
                <w:color w:val="auto"/>
                <w:vertAlign w:val="superscript"/>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20"/>
        </w:trPr>
        <w:tc>
          <w:tcPr>
            <w:tcW w:w="2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92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September 1, 2020</w:t>
            </w:r>
          </w:p>
        </w:tc>
        <w:tc>
          <w:tcPr>
            <w:tcW w:w="40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3.50%</w:t>
            </w:r>
          </w:p>
        </w:tc>
        <w:tc>
          <w:tcPr>
            <w:tcW w:w="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360" w:type="dxa"/>
            <w:vAlign w:val="bottom"/>
            <w:gridSpan w:val="2"/>
          </w:tcPr>
          <w:p>
            <w:pPr>
              <w:ind w:left="920"/>
              <w:spacing w:after="0"/>
              <w:rPr>
                <w:sz w:val="20"/>
                <w:szCs w:val="20"/>
                <w:color w:val="auto"/>
              </w:rPr>
            </w:pPr>
            <w:r>
              <w:rPr>
                <w:rFonts w:ascii="Arial" w:cs="Arial" w:eastAsia="Arial" w:hAnsi="Arial"/>
                <w:sz w:val="18"/>
                <w:szCs w:val="18"/>
                <w:color w:val="auto"/>
              </w:rPr>
              <w:t>March 1, 2021</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44,500,000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2"/>
              </w:rPr>
              <w:t>September 1, 2021</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rate/total</w:t>
            </w: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76835</wp:posOffset>
            </wp:positionV>
            <wp:extent cx="711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51" w:lineRule="exact"/>
        <w:rPr>
          <w:sz w:val="20"/>
          <w:szCs w:val="20"/>
          <w:color w:val="auto"/>
        </w:rPr>
      </w:pPr>
    </w:p>
    <w:p>
      <w:pPr>
        <w:ind w:left="2240" w:hanging="437"/>
        <w:spacing w:after="0"/>
        <w:tabs>
          <w:tab w:leader="none" w:pos="224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Excluding 3.43% of upfront fees.</w:t>
      </w:r>
    </w:p>
    <w:p>
      <w:pPr>
        <w:spacing w:after="0" w:line="141"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our SBIC Funds are wholly owned by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9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In January 2013 we issued $71.3 million in aggregate principal amount of 2025 Notes, including the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will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jc w:val="both"/>
        <w:ind w:right="280" w:firstLine="449"/>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We have reviewed the accompanying consolidated statement of assets and liabilities of PennantPark Investment Corporation and Subsidiaries (the “Company”), including the consolidated schedule of investments, as of June 30, 2013, the consolidated statement of operations for the three and nine months ended June 30, 2013 and June 30, 2012, and the consolidated statement of changes in net assets and cash flows for the nine months ended June 30, 2013 and 2012. These consolidated financial statements are the responsibility of the Company’s management.</w:t>
      </w:r>
    </w:p>
    <w:p>
      <w:pPr>
        <w:spacing w:after="0" w:line="11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and Subsidiaries,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66865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8655" cy="12001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contains statements that constitute forward-looking statements, which relate to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160" w:firstLine="449"/>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0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47"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140"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80" w:firstLine="449"/>
        <w:spacing w:after="0" w:line="369" w:lineRule="auto"/>
        <w:rPr>
          <w:sz w:val="20"/>
          <w:szCs w:val="20"/>
          <w:color w:val="auto"/>
        </w:rPr>
      </w:pPr>
      <w:r>
        <w:rPr>
          <w:rFonts w:ascii="Arial" w:cs="Arial" w:eastAsia="Arial" w:hAnsi="Arial"/>
          <w:sz w:val="15"/>
          <w:szCs w:val="15"/>
          <w:color w:val="auto"/>
        </w:rPr>
        <w:t>PennantPark Investment Corporation is a BDC whose objectives are to generate both current income and capital appreciation through debt and equity investments primarily in U.S. middle-market companies in the form of senior secured loans, mezzanine debt and, to a lesser extent, equity investments.</w:t>
      </w:r>
    </w:p>
    <w:p>
      <w:pPr>
        <w:spacing w:after="0" w:line="64"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the SBA debentures, proceeds from the rotation of our portfolio and proceeds from public and private offerings of securities to finance our investment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Investment Corporation</w:t>
      </w:r>
    </w:p>
    <w:p>
      <w:pPr>
        <w:spacing w:after="0" w:line="9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intend to continue to be treated as a RIC and qualify annually under the Code.</w:t>
      </w:r>
    </w:p>
    <w:p>
      <w:pPr>
        <w:spacing w:after="0" w:line="14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4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with the Investment Adviser, or the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administrative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Interest on debt securities is generally payable quarterly or semiannually. In some cases, some of our investments provide for deferred interest payments and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40"/>
        <w:spacing w:after="0" w:line="369" w:lineRule="auto"/>
        <w:rPr>
          <w:sz w:val="20"/>
          <w:szCs w:val="20"/>
          <w:color w:val="auto"/>
        </w:rPr>
      </w:pPr>
      <w:r>
        <w:rPr>
          <w:rFonts w:ascii="Arial" w:cs="Arial" w:eastAsia="Arial" w:hAnsi="Arial"/>
          <w:sz w:val="15"/>
          <w:szCs w:val="15"/>
          <w:color w:val="auto"/>
        </w:rPr>
        <w:t>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40" w:firstLine="449"/>
        <w:spacing w:after="0" w:line="323" w:lineRule="auto"/>
        <w:rPr>
          <w:sz w:val="20"/>
          <w:szCs w:val="20"/>
          <w:color w:val="auto"/>
        </w:rPr>
      </w:pPr>
      <w:r>
        <w:rPr>
          <w:rFonts w:ascii="Arial" w:cs="Arial" w:eastAsia="Arial" w:hAnsi="Arial"/>
          <w:sz w:val="15"/>
          <w:szCs w:val="15"/>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commitments we accrue under our various debt facilities. We bear all other direct or indirect costs and expenses of our operations and transactions, including:</w:t>
      </w:r>
    </w:p>
    <w:p>
      <w:pPr>
        <w:spacing w:after="0" w:line="16" w:lineRule="exact"/>
        <w:rPr>
          <w:sz w:val="20"/>
          <w:szCs w:val="20"/>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80" w:hanging="319"/>
        <w:spacing w:after="0" w:line="268"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right="160" w:hanging="319"/>
        <w:spacing w:after="0" w:line="268"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50" w:lineRule="exact"/>
        <w:rPr>
          <w:rFonts w:ascii="Arial" w:cs="Arial" w:eastAsia="Arial" w:hAnsi="Arial"/>
          <w:sz w:val="18"/>
          <w:szCs w:val="18"/>
          <w:color w:val="auto"/>
        </w:rPr>
      </w:pPr>
    </w:p>
    <w:p>
      <w:pPr>
        <w:ind w:left="880" w:right="120" w:hanging="319"/>
        <w:spacing w:after="0" w:line="298"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 of June 30, 2013, our portfolio totaled $1,066.3 million and consisted of $315.5 million of senior secured loans, $239.3 million of second lien secured debt, $387.4 million of subordinated debt and $124.1 million of preferred and common equity investments. Our debt portfolio consisted of 60% fixed-rate and 40% variable-rate investments (including 36% with a London Interbank Offered Rate, or LIBOR, or prime floor). Our overall portfolio consisted of 57 companies with an average investment size of $18.7 million, had a weighted average yield on debt investments of 13.1%, and was invested 30% in senior secured loans, 22% in second lien secured debt, 36% in subordinated debt and 12% in preferred and common equity investments.</w:t>
      </w:r>
    </w:p>
    <w:p>
      <w:pPr>
        <w:spacing w:after="0" w:line="115"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For the three months ended June 30, 2013, we invested $73.3 million in two new and five existing portfolio companies with a weighted average yield on debt investments of 12.9%. Sales and repayments of long-term investments for the three months ended June 30, 2013 totaled $117.8 million. For the nine months ended June 30, 2013, we invested $317.2 million in eight new and 19 existing portfolio companies with a weighted average yield of 12.9% on debt investments. Sales and repayments of long-term investments for the nine months ended June 30, 2013 totaled $271.2 million.</w:t>
      </w:r>
    </w:p>
    <w:p>
      <w:pPr>
        <w:spacing w:after="0" w:line="112"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For the three months ended June 30, 2012, we invested $89.9 million in three new and two existing portfolio companies with a weighted average yield on debt investments of 13.0%. Sales and repayments of long-term investments for the three months ended June 30, 2012 totaled $55.3 million. For the nine months ended June 30, 2012, we invested $243.8 million in nine new and 13 existing portfolio companies with a weighted average yield of 13.7% on debt investments. Sales and repayments of long-term investments for the nine months ended June 30, 2012 totaled $173.8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19"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60" w:hanging="447"/>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hanging="447"/>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29" w:lineRule="exact"/>
        <w:rPr>
          <w:rFonts w:ascii="Arial" w:cs="Arial" w:eastAsia="Arial" w:hAnsi="Arial"/>
          <w:sz w:val="16"/>
          <w:szCs w:val="16"/>
          <w:color w:val="auto"/>
        </w:rPr>
      </w:pPr>
    </w:p>
    <w:p>
      <w:pPr>
        <w:ind w:left="900" w:right="300" w:hanging="447"/>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180" w:right="760" w:hanging="728"/>
        <w:spacing w:after="0" w:line="277"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us at the measurement date.</w:t>
      </w:r>
    </w:p>
    <w:p>
      <w:pPr>
        <w:spacing w:after="0" w:line="62" w:lineRule="exact"/>
        <w:rPr>
          <w:sz w:val="20"/>
          <w:szCs w:val="20"/>
          <w:color w:val="auto"/>
        </w:rPr>
      </w:pPr>
    </w:p>
    <w:p>
      <w:pPr>
        <w:ind w:left="1180" w:right="580" w:hanging="728"/>
        <w:spacing w:after="0" w:line="263"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180" w:right="600" w:hanging="728"/>
        <w:spacing w:after="0" w:line="277"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4" w:lineRule="exact"/>
        <w:rPr>
          <w:sz w:val="20"/>
          <w:szCs w:val="20"/>
          <w:color w:val="auto"/>
        </w:rPr>
      </w:pPr>
    </w:p>
    <w:p>
      <w:pPr>
        <w:ind w:right="60" w:firstLine="449"/>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relating to debt issuance related costs.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and 2025 Notes are recorded in the Consolidated Statement of Operations. We elected not to apply ASC 825-10 to any other financial assets or liabilities, including the SBA debentures. For the three and nine months ended June 30, 2013, our Credit Facility and 2025 Notes had a combined net change in unrealized depreciation (appreciation) of $0.4 million and $(0.5) million, respectively. For the three and nine months ended June 30, 2012, our Credit Facility had a net change in unrealized depreciation (appreciation) of $0.2 million and $(1.2) million, respectively. As of June 30, 2013 and September 30, 2012, combined net unrealized depreciation on our Credit Facility and 2025 Notes totaled zero and $0.5 million, respectively. PennantPark Investment uses a nationally recognized independent valuation service to measure the fair value of its Credit Facility in a manner consistent with the valuation process that the board of directors uses to value investments. Our 2025 Notes trade on the New York Stock Exchange, or the NYSE, and PennantPark Investment uses the closing quote on the exchange to measure their fair value.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will not be able to collect such interest. Loan origination fees, OID, market discount or premium and deferred financing costs are capitalized and we then accrete or amortize such amounts using the effective interest method as interest income or interest expense as it relates to our deferred financing costs. We record contractual prepayment premiums on loans and debt investments as income. Dividend income, if any, is recognized on an accrual basis on the ex-dividend date to the extent that we expect to collect such amounts.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We have complied with the requirements under Subchapter M of the Code and expect to be subject to tax as a RIC. To maintain RIC tax benefits,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85"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nine months ended June 30, 2013 and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Investment income for the three and nine months ended June 30, 2013 was $33.7 million and $97.7 million, respectively, and was attributable to $11.6 million and $29.6 million from senior secured loans, $7.9 million and $22.9 million from second lien secured debt investments, $14.2 million and $43.9 million from subordinated debt investments, and zero and $1.3 million from common equity investments, respectively. This compares to investment income for the three and nine months ended June 30, 2012 which was $29.4 million and $82.6 million, respectively, and was attributable to $9.2 million and $30.0 million from senior secured loans, $4.8 million and $13.3 million from second lien secured debt investments, and $15.4 million and $39.3 million from subordinated debt investments, respectively. The increase in investment income compared with the same period in the prior year was due to the growth of our portfolio.</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Expenses for the three and nine months ended June 30, 2013 totaled $16.1 million and $47.8 million, respectively. Base management fees for the same periods totaled $5.4 million and $15.9 million, incentive fees totaled $4.4 million and $12.5 million, debt related interest and expenses (excluding the $0.3 million and $2.7 million of debt issuance expenses, respectively) totaled $4.2 million and $11.3 million, general and administrative expenses and excise tax totaled $1.8 million and $5.4 million, respectively. This compares to expenses for the three and nine months ended June 30, 2012, which totaled $13.8 million and $42.3 million, respectively. Base management fees for the same respective periods totaled $4.5 million and $12.7 million, incentive fees totaled $3.9 million and $10.0 million, debt-related interest and expenses (excluding the $5.4 million upfront fees associated with amending and restating our Credit Facility) totaled $3.2 million and $8.3 million, general and administrative expenses totaled $1.8 million and $5.3 million and excise taxes totaled $0.4 million and $0.6 million, respectively. The increase in expenses was due to the growth of the portfolio as well as the higher cost of debt capital.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Net investment income totaled $17.7 million and $49.9 million, or $0.27 and $0.76 per share, for the three and nine months ended June 30, 2013, respectively. For the same respective periods in the prior year, net investment income totaled $15.6 million and $40.3 million, or $0.28 and $0.78 per share. The increase in net investment income compared to the same period in the prior year was primarily the result of the growth of our portfolio offset by the increased cost of debt capital. The net investment income per share decreased compared to the same period in the prior year as a result of issuing shares.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Sales and repayments of long-term investments for the three and nine months ended June 30, 2013 totaled $117.8 million and $271.2 million, respectively, and realized gains totaled $15.7 million and $14.7 million, respectively, due to sales and refinancing of our investments. Sales and repayments of long-term investments for the three and nine months ended June 30, 2012 totaled $55.3 million and $173.8 million, respectively, and realized gains (losses) totaled $1.4 million and $(10.5) million, respectively, due to sales and refinancing of our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Debt</w:t>
      </w:r>
    </w:p>
    <w:p>
      <w:pPr>
        <w:spacing w:after="0" w:line="117"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For the three and nine months ended June 30, 2013, we reported unrealized (depreciation) appreciation on investments of $(20.0) million and $5.2 million, respectively. For the three and nine months ended June 30, 2012, we reported unrealized (depreciation) appreciation on investments of $(13.8) million and $17.0 million, respectively. The decrease in unrealized appreciation for current periods compared to the prior periods was the result of the reversal of unrealized gains upon exiting our investments and changes in market values. As of June 30, 2013 and September 30, 2012, our net unrealized depreciation on investments totaled $12.9 million and $18.1 million, respectively.</w:t>
      </w:r>
    </w:p>
    <w:p>
      <w:pPr>
        <w:spacing w:after="0" w:line="176" w:lineRule="exact"/>
        <w:rPr>
          <w:sz w:val="20"/>
          <w:szCs w:val="20"/>
          <w:color w:val="auto"/>
        </w:rPr>
      </w:pPr>
    </w:p>
    <w:p>
      <w:pPr>
        <w:ind w:right="220" w:firstLine="449"/>
        <w:spacing w:after="0" w:line="296" w:lineRule="auto"/>
        <w:rPr>
          <w:sz w:val="20"/>
          <w:szCs w:val="20"/>
          <w:color w:val="auto"/>
        </w:rPr>
      </w:pPr>
      <w:r>
        <w:rPr>
          <w:rFonts w:ascii="Arial" w:cs="Arial" w:eastAsia="Arial" w:hAnsi="Arial"/>
          <w:sz w:val="16"/>
          <w:szCs w:val="16"/>
          <w:color w:val="auto"/>
        </w:rPr>
        <w:t>For the three and nine months ended June 30, 2013, our Credit Facility and 2025 Notes changed in value due to unrealized depreciation (appreciation) of $0.4 million and $(0.5) million, respectively. For the three and nine months ended June 30, 2012, our Credit Facility increased in value due to unrealized depreciation (appreciation) of $0.2 million and $(1.2) million, respectively. The change in unrealized appreciation for current periods compared to the prior periods is the result of issuing new debt capital and the resetting of our Credit Facility to current market rates. As of June 30, 2013 and September 30, 2012, net unrealized depreciation on our Credit Facility and 2025 Notes totaled zero and $0.5 million, respectively.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Net increase in net assets resulting from operations totaled $13.8 million and $69.3 million or $0.21 per share and $1.05 per share, for the three and nine months ended June 30, 2013, respectively. This compares to a net increase in net assets resulting from operations which totaled $3.4 million and $45.7 million, or $0.06 per share and $0.88 per share, for the three and nine months ended June 30, 2012, respectively. The change in net assets from operations is due to both unrealized appreciation on investments and net investment income.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40" w:firstLine="449"/>
        <w:spacing w:after="0" w:line="279" w:lineRule="auto"/>
        <w:rPr>
          <w:sz w:val="20"/>
          <w:szCs w:val="20"/>
          <w:color w:val="auto"/>
        </w:rPr>
      </w:pPr>
      <w:r>
        <w:rPr>
          <w:rFonts w:ascii="Arial" w:cs="Arial" w:eastAsia="Arial" w:hAnsi="Arial"/>
          <w:sz w:val="17"/>
          <w:szCs w:val="17"/>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71"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We have a $430 million multi-currency Credit Facility with certain lenders and SunTrust Bank, acting as administrative agent, and JPMorgan Chase Bank, N.A., acting as syndication agent for the lenders. As of June 30, 2013 and September 30, 2012, there was $114.5 million (including a temporary draw of $11.0 million) and $145.0 million (including a temporary draw of $35.5 million), respectively, in outstanding borrowings under the Credit Facility, with a weighted average interest rate at the time of 3.19% and 3.49%, respectively, exclusive of the fee on undrawn commitments of 0.50%. The Credit Facility is a four-year revolving facility, maturing in February 2016, with a one-year term-out period following its third-year, and pricing is set at 275 basis points over LIBOR. As of June 30, 2013 and September 30, 2012, we had $315.5 million and $235.0 million of unused borrowing capacity, respectively, subject to the regulatory restrictions that the 1940 Act imposes on us as a BDC. The Credit Facility is secured by substantially all of the Company’s assets excluding assets held by our SBIC Funds.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shareholders’ equity of the sum of</w:t>
      </w:r>
    </w:p>
    <w:p>
      <w:pPr>
        <w:spacing w:after="0" w:line="46" w:lineRule="exact"/>
        <w:rPr>
          <w:sz w:val="20"/>
          <w:szCs w:val="20"/>
          <w:color w:val="auto"/>
        </w:rPr>
      </w:pPr>
    </w:p>
    <w:p>
      <w:pPr>
        <w:ind w:right="20" w:firstLine="8"/>
        <w:spacing w:after="0" w:line="269" w:lineRule="auto"/>
        <w:tabs>
          <w:tab w:leader="none" w:pos="2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June 30, 2013, we were in compliance with the terms of our Credit Facility.</w:t>
      </w:r>
    </w:p>
    <w:p>
      <w:pPr>
        <w:spacing w:after="0" w:line="180"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commencing on May 1, 2013. The 2025 Notes mature on February 1, 2025. We may redeem the 2025 Notes in whole or in part at any time or from time to time on or after February 1, 2016. The 2025 Notes are general, unsecured obligations and will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7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Furthermore, our Credit Facility availability depends on various covenants and restrictions. The primary use of existing funds and any funds raised in the future is expected to be for repayment of indebtedness, investments in portfolio companies, cash distributions to our shareholders or for other general corporate or strategic purposes. For the nine months ended June 30, 2013, we issued an additional 700,000 shares of common stock, pursuant to the underwriters’ partial exercise of the over-allotment option in connection with an equity offering, at a public offering price of $10.82 per share, generating gross proceeds of $7.6 million and net proceeds of $7.3 million after underwriting discounts payable by us.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asset coverage ratio is met after such borrowing. As of June 30, 2013, we excluded the principal amounts of our SBA debentures from our asset coverage ratio pursuant to SEC exemptive relief. As a result of this exemptive relief, our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88"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June 30, 2013. Effective January 2013, our wholly-owned subsidiary, SBIC II, received a license from the SBA to operate as an SBIC under the 1958 Act.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8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As of June 30, 2013 and September 30, 2012, SBIC LP had fully drawn $150.0 million in debt commitments with a weighted average interest rate of 3.70% exclusive of the 3.43% in upfront fees (4.04% after upfront fees). The SBA debentures upfront fees of 3.43% consist of a commitment fee of 1.00% and an issuance discount of 2.43%. Both fees are being amortized over the lives of the loans. Our fixed rate SBA debentures as of June 30, 2013 and September 30, 2012 were as follows:</w:t>
      </w:r>
    </w:p>
    <w:p>
      <w:pPr>
        <w:spacing w:after="0" w:line="193"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Fixed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All-in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86"/>
              </w:rPr>
              <w:t>Issuance Dates</w:t>
            </w:r>
          </w:p>
        </w:tc>
        <w:tc>
          <w:tcPr>
            <w:tcW w:w="2040" w:type="dxa"/>
            <w:vAlign w:val="bottom"/>
            <w:gridSpan w:val="2"/>
            <w:vMerge w:val="restart"/>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Coupon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CCEEFF"/>
            </w:tcBorders>
            <w:gridSpan w:val="2"/>
            <w:vMerge w:val="continue"/>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12"/>
                <w:szCs w:val="12"/>
                <w:b w:val="1"/>
                <w:bCs w:val="1"/>
                <w:color w:val="auto"/>
                <w:w w:val="98"/>
              </w:rPr>
              <w:t>(1)</w:t>
            </w: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March 29, 2011</w:t>
            </w:r>
          </w:p>
        </w:tc>
        <w:tc>
          <w:tcPr>
            <w:tcW w:w="2100" w:type="dxa"/>
            <w:vAlign w:val="bottom"/>
            <w:gridSpan w:val="2"/>
          </w:tcPr>
          <w:p>
            <w:pPr>
              <w:ind w:left="740"/>
              <w:spacing w:after="0"/>
              <w:rPr>
                <w:sz w:val="20"/>
                <w:szCs w:val="20"/>
                <w:color w:val="auto"/>
              </w:rPr>
            </w:pPr>
            <w:r>
              <w:rPr>
                <w:rFonts w:ascii="Arial" w:cs="Arial" w:eastAsia="Arial" w:hAnsi="Arial"/>
                <w:sz w:val="18"/>
                <w:szCs w:val="18"/>
                <w:color w:val="auto"/>
              </w:rPr>
              <w:t>March 1, 2021</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w w:val="85"/>
              </w:rPr>
              <w:t>4.46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87"/>
              </w:rPr>
              <w:t>September 1, 2021</w:t>
            </w: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5"/>
              </w:rPr>
              <w:t>3.38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(1) Excludes 3.43% of upfront fees.</w:t>
      </w:r>
    </w:p>
    <w:p>
      <w:pPr>
        <w:spacing w:after="0" w:line="221" w:lineRule="exact"/>
        <w:rPr>
          <w:sz w:val="20"/>
          <w:szCs w:val="20"/>
          <w:color w:val="auto"/>
        </w:rPr>
      </w:pPr>
    </w:p>
    <w:p>
      <w:pPr>
        <w:ind w:right="240" w:firstLine="449"/>
        <w:spacing w:after="0" w:line="293"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June 30, 2013, our SBIC Funds were in compliance with their regulatory requirements.</w:t>
      </w:r>
    </w:p>
    <w:p>
      <w:pPr>
        <w:spacing w:after="0" w:line="164"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84"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Our operating activities provided cash of $11.1 million for the nine months ended June 30, 2013, primarily from operating income. Our financing activities used cash of $2.4 million for the same period, primarily to repay our Credit Facility.</w:t>
      </w:r>
    </w:p>
    <w:p>
      <w:pPr>
        <w:spacing w:after="0" w:line="170"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Our operating activities used cash of $74.3 million for the nine months ended June 30, 2012, primarily for net purchase of investments. Our financing activities provided cash of $12.0 million for the same period and used proceeds from our September 2012 equity offering to pay down the Credit Facility.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A summary of our significant contractual payment obligations as of June 30, 2013 including borrowings under our debt facilities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8"/>
              </w:rPr>
              <w:t>Payments due by period (in millions)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660" w:type="dxa"/>
            <w:vAlign w:val="bottom"/>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1-3</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3-5</w:t>
            </w:r>
          </w:p>
        </w:tc>
        <w:tc>
          <w:tcPr>
            <w:tcW w:w="3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2025 Notes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(1)</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20.5</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358.7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5"/>
              </w:rPr>
              <w:t>20.5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116.4</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6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80" w:hanging="452"/>
        <w:spacing w:after="0" w:line="25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June 30, 2013 was 4.07% exclusive of the fee on the undrawn commitment of 0.50% on the Credit Facility and 3.43% of upfront fees on SBIC LP’s SBA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 of Assets and Liabilities represent unfunded delayed draws on investments.</w:t>
      </w:r>
    </w:p>
    <w:p>
      <w:pPr>
        <w:spacing w:after="0" w:line="234"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4"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Under our Administration Agreement, which was most recently reapproved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78"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including any risk management of commodity pricing or other hedging practices.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w:t>
      </w:r>
    </w:p>
    <w:p>
      <w:pPr>
        <w:spacing w:after="0" w:line="1" w:lineRule="exact"/>
        <w:rPr>
          <w:sz w:val="20"/>
          <w:szCs w:val="20"/>
          <w:color w:val="auto"/>
        </w:rPr>
      </w:pPr>
    </w:p>
    <w:p>
      <w:pPr>
        <w:jc w:val="both"/>
        <w:ind w:right="40" w:firstLine="8"/>
        <w:spacing w:after="0" w:line="273"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additional liquidity. Although not required for us to maintain our RIC tax status, for the three and nine months ended June 30, 2013 we elected to retain a portion of our calendar year income and incurred an excise tax of less than $0.1 million and $(0.1) million, respectively. For the three and nine months ended June 30, 2012 we incurred an excise tax of approximately $0.4 million and $0.6 million, respectively.</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During the three and nine months ended June 30, 2013 we declared distributions of $0.28 and $0.84 per share, respectively, for total distributions of $18.6 million and $55.8 million, respectively. For the same periods in the prior year, we declared distributions of $0.28 and $0.84 per share, respectively, for total distributions of $15.8 million and $44.3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6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intend to continue to make quarterly dividends to our stockholders. Our quarterly dividends, if any, are determined by our board of directors. 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8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459"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0" w:firstLine="449"/>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June 30, 2013, our debt portfolio consisted of 60% fixed-rate investments and 40% variable-rate investments (including 36%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78"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76"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Change in Interest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17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 Net of</w:t>
            </w:r>
          </w:p>
        </w:tc>
        <w:tc>
          <w:tcPr>
            <w:tcW w:w="44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 Expense</w:t>
            </w:r>
          </w:p>
        </w:tc>
        <w:tc>
          <w:tcPr>
            <w:tcW w:w="4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Up 1%</w:t>
            </w:r>
          </w:p>
        </w:tc>
        <w:tc>
          <w:tcPr>
            <w:tcW w:w="17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(824,616)</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Up 2%</w:t>
            </w:r>
          </w:p>
        </w:tc>
        <w:tc>
          <w:tcPr>
            <w:tcW w:w="2920" w:type="dxa"/>
            <w:vAlign w:val="bottom"/>
            <w:gridSpan w:val="2"/>
          </w:tcPr>
          <w:p>
            <w:pPr>
              <w:jc w:val="right"/>
              <w:ind w:right="84"/>
              <w:spacing w:after="0"/>
              <w:rPr>
                <w:sz w:val="20"/>
                <w:szCs w:val="20"/>
                <w:color w:val="auto"/>
              </w:rPr>
            </w:pPr>
            <w:r>
              <w:rPr>
                <w:rFonts w:ascii="Arial" w:cs="Arial" w:eastAsia="Arial" w:hAnsi="Arial"/>
                <w:sz w:val="18"/>
                <w:szCs w:val="18"/>
                <w:color w:val="auto"/>
              </w:rPr>
              <w:t>(1,190,326)</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Up 3%</w:t>
            </w:r>
          </w:p>
        </w:tc>
        <w:tc>
          <w:tcPr>
            <w:tcW w:w="292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1,362,896</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1540" w:type="dxa"/>
            <w:vAlign w:val="bottom"/>
          </w:tcPr>
          <w:p>
            <w:pPr>
              <w:ind w:left="440"/>
              <w:spacing w:after="0"/>
              <w:rPr>
                <w:sz w:val="20"/>
                <w:szCs w:val="20"/>
                <w:color w:val="auto"/>
              </w:rPr>
            </w:pPr>
            <w:r>
              <w:rPr>
                <w:rFonts w:ascii="Arial" w:cs="Arial" w:eastAsia="Arial" w:hAnsi="Arial"/>
                <w:sz w:val="18"/>
                <w:szCs w:val="18"/>
                <w:color w:val="auto"/>
              </w:rPr>
              <w:t>Up 4%</w:t>
            </w:r>
          </w:p>
        </w:tc>
        <w:tc>
          <w:tcPr>
            <w:tcW w:w="2920" w:type="dxa"/>
            <w:vAlign w:val="bottom"/>
            <w:gridSpan w:val="2"/>
          </w:tcPr>
          <w:p>
            <w:pPr>
              <w:jc w:val="right"/>
              <w:ind w:right="144"/>
              <w:spacing w:after="0"/>
              <w:rPr>
                <w:sz w:val="20"/>
                <w:szCs w:val="20"/>
                <w:color w:val="auto"/>
              </w:rPr>
            </w:pPr>
            <w:r>
              <w:rPr>
                <w:rFonts w:ascii="Arial" w:cs="Arial" w:eastAsia="Arial" w:hAnsi="Arial"/>
                <w:sz w:val="18"/>
                <w:szCs w:val="18"/>
                <w:color w:val="auto"/>
              </w:rPr>
              <w:t>3,916,118</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3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June 30, 2013 that have materially affected, or are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3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In addition to the other information set forth in this Report, you should consider carefully the factors discussed in Part I “Item 1A. Risk Factors” in our Annual Report on Form 10-K for the fiscal year ended September 30, 2012, in Part II “Item 1A. Risk Factors” in our Quarterly Report on Form 10-Q for the quarter ended December 31, 2012, and in Part II “Item 1A. Risk Factors” in our Quarterly Report on Form 10-Q for the quarter ended March 31, 2013, which could materially affect our business, financial condition and/or operating results. The risks described in our Annual Report on Form 10-K and our prior Quarterly Report on Form 10-Q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52" w:lineRule="exact"/>
        <w:rPr>
          <w:sz w:val="20"/>
          <w:szCs w:val="20"/>
          <w:color w:val="auto"/>
        </w:rPr>
      </w:pPr>
    </w:p>
    <w:p>
      <w:pPr>
        <w:ind w:left="900" w:right="1920" w:hanging="800"/>
        <w:spacing w:after="0" w:line="277"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No.1 to the Registration Statement on Form N-2/A (File No. 333-140092), filed on March 5, 2007).</w:t>
      </w:r>
    </w:p>
    <w:p>
      <w:pPr>
        <w:spacing w:after="0" w:line="76" w:lineRule="exact"/>
        <w:rPr>
          <w:sz w:val="20"/>
          <w:szCs w:val="20"/>
          <w:color w:val="auto"/>
        </w:rPr>
      </w:pPr>
    </w:p>
    <w:p>
      <w:pPr>
        <w:ind w:left="900" w:right="1380" w:hanging="800"/>
        <w:spacing w:after="0" w:line="277"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Exhibit 3.2 to the Registrant’s Annual Report on Form 10-K (File No. 814-00736), filed on November 16, 2011).</w:t>
      </w:r>
    </w:p>
    <w:p>
      <w:pPr>
        <w:spacing w:after="0" w:line="76" w:lineRule="exact"/>
        <w:rPr>
          <w:sz w:val="20"/>
          <w:szCs w:val="20"/>
          <w:color w:val="auto"/>
        </w:rPr>
      </w:pPr>
    </w:p>
    <w:p>
      <w:pPr>
        <w:ind w:left="900" w:right="1320" w:hanging="800"/>
        <w:spacing w:after="0" w:line="277"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Share Certificate (Incorporated by reference to Exhibit 99(d)(1) to the Registrant’s Registration Statement on Form N-2 (File No. 333-150033), filed on April 2, 2008).</w:t>
      </w:r>
    </w:p>
    <w:p>
      <w:pPr>
        <w:spacing w:after="0" w:line="76" w:lineRule="exact"/>
        <w:rPr>
          <w:sz w:val="20"/>
          <w:szCs w:val="20"/>
          <w:color w:val="auto"/>
        </w:rPr>
      </w:pPr>
    </w:p>
    <w:p>
      <w:pPr>
        <w:ind w:left="900" w:hanging="892"/>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Computation of Per Share Earnings (included in the notes to the Consolidated Financial Statements contained in this Report).</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Privacy Policy of the Registrant (Incorporated by reference to Exhibit 99.1 the Registrant’s Annual Report on Form 10-K (File No. 814-</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2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00"/>
          </w:cols>
          <w:pgMar w:left="320" w:top="459" w:right="8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9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380" w:val="left"/>
          <w:tab w:leader="none" w:pos="7680" w:val="left"/>
          <w:tab w:leader="none" w:pos="802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Arthur H. Penn</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7"/>
          <w:szCs w:val="17"/>
          <w:b w:val="1"/>
          <w:bCs w:val="1"/>
          <w:color w:val="auto"/>
        </w:rPr>
        <w:t>Chairman of the Board of Directors and Chief Executive Officer</w:t>
      </w:r>
    </w:p>
    <w:p>
      <w:pPr>
        <w:spacing w:after="0" w:line="21"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spacing w:after="0"/>
        <w:tabs>
          <w:tab w:leader="none" w:pos="5380" w:val="left"/>
          <w:tab w:leader="none" w:pos="7860" w:val="left"/>
          <w:tab w:leader="none" w:pos="820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Aviv Efrat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defined in Exchange Act Rules 13a-15(e) and 15d-15(e)) and internal control over financial reporting (as defined in Exchange Act Rules 13a-15(f) and 15d-15(f)) for the company and have:</w:t>
      </w:r>
    </w:p>
    <w:p>
      <w:pPr>
        <w:spacing w:after="0" w:line="139" w:lineRule="exact"/>
        <w:rPr>
          <w:sz w:val="20"/>
          <w:szCs w:val="20"/>
          <w:color w:val="auto"/>
        </w:rPr>
      </w:pPr>
    </w:p>
    <w:p>
      <w:pPr>
        <w:jc w:val="both"/>
        <w:ind w:right="240" w:firstLine="8"/>
        <w:spacing w:after="0" w:line="259"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jc w:val="both"/>
        <w:ind w:right="20" w:firstLine="8"/>
        <w:spacing w:after="0" w:line="369" w:lineRule="auto"/>
        <w:tabs>
          <w:tab w:leader="none" w:pos="175"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64" w:lineRule="exact"/>
        <w:rPr>
          <w:sz w:val="20"/>
          <w:szCs w:val="20"/>
          <w:color w:val="auto"/>
        </w:rPr>
      </w:pPr>
    </w:p>
    <w:p>
      <w:pPr>
        <w:jc w:val="both"/>
        <w:ind w:right="240" w:firstLine="8"/>
        <w:spacing w:after="0" w:line="259"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June 30, 2013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June 30, 2013 (the “Report”) of PennantPark Investment Corporation (the “Registrant”), as filed with the Securities and Exchange Commission on the date hereof, I, Aviv Efrat, Chief Financial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5"/>
    </w:lvl>
  </w:abstractNum>
  <w:abstractNum w:abstractNumId="5">
    <w:nsid w:val="3F2DBA31"/>
    <w:multiLevelType w:val="hybridMultilevel"/>
    <w:lvl w:ilvl="0">
      <w:lvlJc w:val="left"/>
      <w:lvlText w:val="(%1)"/>
      <w:numFmt w:val="decimal"/>
      <w:start w:val="7"/>
    </w:lvl>
  </w:abstractNum>
  <w:abstractNum w:abstractNumId="6">
    <w:nsid w:val="7C83E458"/>
    <w:multiLevelType w:val="hybridMultilevel"/>
    <w:lvl w:ilvl="0">
      <w:lvlJc w:val="left"/>
      <w:lvlText w:val="%1"/>
      <w:numFmt w:val="lowerLetter"/>
      <w:start w:val="1"/>
    </w:lvl>
    <w:lvl w:ilvl="1">
      <w:lvlJc w:val="left"/>
      <w:lvlText w:val="(%2)"/>
      <w:numFmt w:val="decimal"/>
      <w:start w:val="1"/>
    </w:lvl>
  </w:abstractNum>
  <w:abstractNum w:abstractNumId="7">
    <w:nsid w:val="257130A3"/>
    <w:multiLevelType w:val="hybridMultilevel"/>
    <w:lvl w:ilvl="0">
      <w:lvlJc w:val="left"/>
      <w:lvlText w:val="(%1)"/>
      <w:numFmt w:val="lowerLetter"/>
      <w:start w:val="2"/>
    </w:lvl>
    <w:lvl w:ilvl="1">
      <w:lvlJc w:val="left"/>
      <w:lvlText w:val="%2"/>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4"/>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2020-05-05T15:18:17Z</dcterms:created>
  <dcterms:modified xsi:type="dcterms:W3CDTF">2020-05-05T15:18:17Z</dcterms:modified>
</cp:coreProperties>
</file>