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ind w:left="4260"/>
        <w:spacing w:after="0"/>
        <w:rPr>
          <w:sz w:val="20"/>
          <w:szCs w:val="20"/>
          <w:color w:val="auto"/>
        </w:rPr>
      </w:pPr>
      <w:r>
        <w:rPr>
          <w:rFonts w:ascii="Arial" w:cs="Arial" w:eastAsia="Arial" w:hAnsi="Arial"/>
          <w:sz w:val="22"/>
          <w:szCs w:val="22"/>
          <w:b w:val="1"/>
          <w:bCs w:val="1"/>
          <w:color w:val="auto"/>
        </w:rPr>
        <w:t>Date of Report: June 03, 2013</w:t>
      </w:r>
    </w:p>
    <w:p>
      <w:pPr>
        <w:spacing w:after="0" w:line="14" w:lineRule="exact"/>
        <w:rPr>
          <w:sz w:val="24"/>
          <w:szCs w:val="24"/>
          <w:color w:val="auto"/>
        </w:rPr>
      </w:pPr>
    </w:p>
    <w:p>
      <w:pPr>
        <w:ind w:left="4240"/>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Investment Corporation</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814-00736</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20-8250744</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ind w:left="40" w:right="1080"/>
        <w:spacing w:after="0" w:line="274" w:lineRule="auto"/>
        <w:rPr>
          <w:sz w:val="20"/>
          <w:szCs w:val="20"/>
          <w:color w:val="auto"/>
        </w:rPr>
      </w:pPr>
      <w:r>
        <w:rPr>
          <w:rFonts w:ascii="Arial" w:cs="Arial" w:eastAsia="Arial" w:hAnsi="Arial"/>
          <w:sz w:val="21"/>
          <w:szCs w:val="21"/>
          <w:color w:val="auto"/>
        </w:rPr>
        <w:t>On June 3, 2013, PennantPark Investment Corporation issued a press release announcing its third fiscal quarter 2013 distribution. A copy of the press release is furnished as Exhibit 99.1 to this Form 8-K.</w:t>
      </w:r>
    </w:p>
    <w:p>
      <w:pPr>
        <w:spacing w:after="0" w:line="178" w:lineRule="exact"/>
        <w:rPr>
          <w:sz w:val="24"/>
          <w:szCs w:val="24"/>
          <w:color w:val="auto"/>
        </w:rPr>
      </w:pPr>
    </w:p>
    <w:p>
      <w:pPr>
        <w:ind w:left="40"/>
        <w:spacing w:after="0"/>
        <w:rPr>
          <w:sz w:val="20"/>
          <w:szCs w:val="20"/>
          <w:color w:val="auto"/>
        </w:rPr>
      </w:pPr>
      <w:r>
        <w:rPr>
          <w:rFonts w:ascii="Arial" w:cs="Arial" w:eastAsia="Arial" w:hAnsi="Arial"/>
          <w:sz w:val="19"/>
          <w:szCs w:val="19"/>
          <w:color w:val="auto"/>
        </w:rPr>
        <w:t>The information in this Current Report on Form 8-K, including Exhibit 99.1 furnished herewith, is being furnished and shall not</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9"/>
          <w:szCs w:val="19"/>
          <w:color w:val="auto"/>
        </w:rPr>
        <w:t>be deemed "filed" for purposes of Section 18 of the Securities Exchange Act of 1934, as amended (the "Exchange Act"), or</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9"/>
          <w:szCs w:val="19"/>
          <w:color w:val="auto"/>
        </w:rPr>
        <w:t>otherwise subject to the liabilities of such section. The information in this Current Report on Form 8-K shall not be deemed</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9"/>
          <w:szCs w:val="19"/>
          <w:color w:val="auto"/>
        </w:rPr>
        <w:t>incorporated by reference in any filing under the Securities Act of 1933, as amended, or the Exchange Act except as shall be</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22"/>
          <w:szCs w:val="22"/>
          <w:color w:val="auto"/>
        </w:rPr>
        <w:t>expressly set forth by specific reference in such filing.</w:t>
      </w:r>
    </w:p>
    <w:p>
      <w:pPr>
        <w:ind w:left="40"/>
        <w:spacing w:after="0"/>
        <w:rPr>
          <w:sz w:val="20"/>
          <w:szCs w:val="20"/>
          <w:color w:val="auto"/>
        </w:rPr>
      </w:pPr>
      <w:r>
        <w:rPr>
          <w:rFonts w:ascii="Arial" w:cs="Arial" w:eastAsia="Arial" w:hAnsi="Arial"/>
          <w:sz w:val="22"/>
          <w:szCs w:val="22"/>
          <w:color w:val="auto"/>
        </w:rPr>
        <w:t>Forward-Looking Statements</w:t>
      </w:r>
    </w:p>
    <w:p>
      <w:pPr>
        <w:spacing w:after="0" w:line="215" w:lineRule="exact"/>
        <w:rPr>
          <w:sz w:val="24"/>
          <w:szCs w:val="24"/>
          <w:color w:val="auto"/>
        </w:rPr>
      </w:pPr>
    </w:p>
    <w:p>
      <w:pPr>
        <w:ind w:left="40" w:right="60"/>
        <w:spacing w:after="0" w:line="277" w:lineRule="auto"/>
        <w:rPr>
          <w:sz w:val="20"/>
          <w:szCs w:val="20"/>
          <w:color w:val="auto"/>
        </w:rPr>
      </w:pPr>
      <w:r>
        <w:rPr>
          <w:rFonts w:ascii="Arial" w:cs="Arial" w:eastAsia="Arial" w:hAnsi="Arial"/>
          <w:sz w:val="19"/>
          <w:szCs w:val="19"/>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All forward-looking statements speak only as of the date of this Current Report on Form 8-K.</w:t>
      </w:r>
    </w:p>
    <w:p>
      <w:pPr>
        <w:spacing w:after="0" w:line="14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ectPr>
          <w:pgSz w:w="11900" w:h="16838" w:orient="portrait"/>
          <w:cols w:equalWidth="0" w:num="1">
            <w:col w:w="11200"/>
          </w:cols>
          <w:pgMar w:left="320" w:top="828" w:right="379" w:bottom="397"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(d) Exhibits</w:t>
      </w:r>
    </w:p>
    <w:p>
      <w:pPr>
        <w:spacing w:after="0" w:line="15"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Investment Corporation dated June 03, 2013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2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720" w:type="dxa"/>
            <w:vAlign w:val="bottom"/>
          </w:tcPr>
          <w:p>
            <w:pPr>
              <w:spacing w:after="0"/>
              <w:rPr>
                <w:sz w:val="20"/>
                <w:szCs w:val="20"/>
                <w:color w:val="auto"/>
              </w:rPr>
            </w:pPr>
            <w:r>
              <w:rPr>
                <w:rFonts w:ascii="Arial" w:cs="Arial" w:eastAsia="Arial" w:hAnsi="Arial"/>
                <w:sz w:val="22"/>
                <w:szCs w:val="22"/>
                <w:color w:val="auto"/>
              </w:rPr>
              <w:t>Dated: June 03, 2013</w:t>
            </w:r>
          </w:p>
        </w:tc>
        <w:tc>
          <w:tcPr>
            <w:tcW w:w="6720" w:type="dxa"/>
            <w:vAlign w:val="bottom"/>
            <w:gridSpan w:val="3"/>
          </w:tcPr>
          <w:p>
            <w:pPr>
              <w:ind w:left="1900"/>
              <w:spacing w:after="0"/>
              <w:rPr>
                <w:sz w:val="20"/>
                <w:szCs w:val="20"/>
                <w:color w:val="auto"/>
              </w:rPr>
            </w:pPr>
            <w:r>
              <w:rPr>
                <w:rFonts w:ascii="Arial" w:cs="Arial" w:eastAsia="Arial" w:hAnsi="Arial"/>
                <w:sz w:val="22"/>
                <w:szCs w:val="22"/>
                <w:b w:val="1"/>
                <w:bCs w:val="1"/>
                <w:color w:val="auto"/>
                <w:w w:val="98"/>
              </w:rPr>
              <w:t>PENNANTPARK INVESTMENT CORPORATION</w:t>
            </w:r>
          </w:p>
        </w:tc>
      </w:tr>
      <w:tr>
        <w:trPr>
          <w:trHeight w:val="408"/>
        </w:trPr>
        <w:tc>
          <w:tcPr>
            <w:tcW w:w="3720" w:type="dxa"/>
            <w:vAlign w:val="bottom"/>
          </w:tcPr>
          <w:p>
            <w:pPr>
              <w:spacing w:after="0"/>
              <w:rPr>
                <w:sz w:val="24"/>
                <w:szCs w:val="24"/>
                <w:color w:val="auto"/>
              </w:rPr>
            </w:pPr>
          </w:p>
        </w:tc>
        <w:tc>
          <w:tcPr>
            <w:tcW w:w="6720" w:type="dxa"/>
            <w:vAlign w:val="bottom"/>
            <w:gridSpan w:val="3"/>
          </w:tcPr>
          <w:p>
            <w:pPr>
              <w:ind w:left="1900"/>
              <w:spacing w:after="0"/>
              <w:rPr>
                <w:sz w:val="20"/>
                <w:szCs w:val="20"/>
                <w:color w:val="auto"/>
              </w:rPr>
            </w:pPr>
            <w:r>
              <w:rPr>
                <w:rFonts w:ascii="Arial" w:cs="Arial" w:eastAsia="Arial" w:hAnsi="Arial"/>
                <w:sz w:val="22"/>
                <w:szCs w:val="22"/>
                <w:color w:val="auto"/>
              </w:rPr>
              <w:t>By: /s/ Aviv Efrat</w:t>
            </w:r>
          </w:p>
        </w:tc>
      </w:tr>
      <w:tr>
        <w:trPr>
          <w:trHeight w:val="20"/>
        </w:trPr>
        <w:tc>
          <w:tcPr>
            <w:tcW w:w="37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42"/>
        </w:trPr>
        <w:tc>
          <w:tcPr>
            <w:tcW w:w="3720" w:type="dxa"/>
            <w:vAlign w:val="bottom"/>
          </w:tcPr>
          <w:p>
            <w:pPr>
              <w:spacing w:after="0"/>
              <w:rPr>
                <w:sz w:val="21"/>
                <w:szCs w:val="21"/>
                <w:color w:val="auto"/>
              </w:rPr>
            </w:pPr>
          </w:p>
        </w:tc>
        <w:tc>
          <w:tcPr>
            <w:tcW w:w="6720" w:type="dxa"/>
            <w:vAlign w:val="bottom"/>
            <w:gridSpan w:val="3"/>
          </w:tcPr>
          <w:p>
            <w:pPr>
              <w:ind w:left="214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720" w:type="dxa"/>
            <w:vAlign w:val="bottom"/>
          </w:tcPr>
          <w:p>
            <w:pPr>
              <w:spacing w:after="0"/>
              <w:rPr>
                <w:sz w:val="23"/>
                <w:szCs w:val="23"/>
                <w:color w:val="auto"/>
              </w:rPr>
            </w:pPr>
          </w:p>
        </w:tc>
        <w:tc>
          <w:tcPr>
            <w:tcW w:w="6720" w:type="dxa"/>
            <w:vAlign w:val="bottom"/>
            <w:gridSpan w:val="3"/>
          </w:tcPr>
          <w:p>
            <w:pPr>
              <w:ind w:left="222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7"/>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840" w:type="dxa"/>
            <w:vAlign w:val="bottom"/>
            <w:gridSpan w:val="3"/>
          </w:tcPr>
          <w:p>
            <w:pPr>
              <w:jc w:val="center"/>
              <w:ind w:left="1532"/>
              <w:spacing w:after="0"/>
              <w:rPr>
                <w:sz w:val="20"/>
                <w:szCs w:val="20"/>
                <w:color w:val="auto"/>
              </w:rPr>
            </w:pPr>
            <w:r>
              <w:rPr>
                <w:rFonts w:ascii="Arial" w:cs="Arial" w:eastAsia="Arial" w:hAnsi="Arial"/>
                <w:sz w:val="22"/>
                <w:szCs w:val="22"/>
                <w:color w:val="auto"/>
                <w:w w:val="87"/>
              </w:rPr>
              <w:t>Press Release of PennantPark Investment Corporation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840" w:type="dxa"/>
            <w:vAlign w:val="bottom"/>
            <w:gridSpan w:val="3"/>
            <w:vMerge w:val="restart"/>
          </w:tcPr>
          <w:p>
            <w:pPr>
              <w:jc w:val="center"/>
              <w:ind w:left="1532"/>
              <w:spacing w:after="0"/>
              <w:rPr>
                <w:sz w:val="20"/>
                <w:szCs w:val="20"/>
                <w:color w:val="auto"/>
              </w:rPr>
            </w:pPr>
            <w:r>
              <w:rPr>
                <w:rFonts w:ascii="Arial" w:cs="Arial" w:eastAsia="Arial" w:hAnsi="Arial"/>
                <w:sz w:val="22"/>
                <w:szCs w:val="22"/>
                <w:color w:val="auto"/>
                <w:w w:val="86"/>
              </w:rPr>
              <w:t>June 03, 2013</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8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360" w:top="111" w:right="5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Investment Corporation Announces Its Quarterly Distribution of $0.28 per Share</w:t>
      </w:r>
    </w:p>
    <w:p>
      <w:pPr>
        <w:spacing w:after="0" w:line="213" w:lineRule="exact"/>
        <w:rPr>
          <w:sz w:val="20"/>
          <w:szCs w:val="20"/>
          <w:color w:val="auto"/>
        </w:rPr>
      </w:pPr>
    </w:p>
    <w:p>
      <w:pPr>
        <w:ind w:right="160"/>
        <w:spacing w:after="0" w:line="249" w:lineRule="auto"/>
        <w:rPr>
          <w:sz w:val="20"/>
          <w:szCs w:val="20"/>
          <w:color w:val="auto"/>
        </w:rPr>
      </w:pPr>
      <w:r>
        <w:rPr>
          <w:rFonts w:ascii="Arial" w:cs="Arial" w:eastAsia="Arial" w:hAnsi="Arial"/>
          <w:sz w:val="21"/>
          <w:szCs w:val="21"/>
          <w:color w:val="auto"/>
        </w:rPr>
        <w:t>NEW YORK, NY -- (Marketwire - June 03, 2013) - PennantPark Investment Corporation (the "Company") (NASDAQ: PNNT) declares its third fiscal quarter 2013 distribution of $0.28 per share, payable on July 1, 2013 to stockholders of record as of June 21, 2013. Distributions are paid from taxable earnings and may include return of capital and/or capital gains. The specific tax characteristics of the distribution will be reported to stockholders on Form 1099 after the end of the calendar year and in the Company's periodic report filed with the Securities and Exchange Commission.</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CORPORATION</w:t>
      </w:r>
    </w:p>
    <w:p>
      <w:pPr>
        <w:spacing w:after="0" w:line="8" w:lineRule="exact"/>
        <w:rPr>
          <w:sz w:val="20"/>
          <w:szCs w:val="20"/>
          <w:color w:val="auto"/>
        </w:rPr>
      </w:pPr>
    </w:p>
    <w:p>
      <w:pPr>
        <w:spacing w:after="0" w:line="234" w:lineRule="auto"/>
        <w:rPr>
          <w:sz w:val="20"/>
          <w:szCs w:val="20"/>
          <w:color w:val="auto"/>
        </w:rPr>
      </w:pPr>
      <w:r>
        <w:rPr>
          <w:rFonts w:ascii="Arial" w:cs="Arial" w:eastAsia="Arial" w:hAnsi="Arial"/>
          <w:sz w:val="22"/>
          <w:szCs w:val="22"/>
          <w:color w:val="auto"/>
        </w:rPr>
        <w:t>PennantPark Investment Corporation is a business development company which principally invests in U.S. middle-market private companies in the form of senior secured loans, mezzanine debt and equity investments. PennantPark Investment Corporation is managed by PennantPark Investment Advisers, LLC.</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8" w:lineRule="exact"/>
        <w:rPr>
          <w:sz w:val="20"/>
          <w:szCs w:val="20"/>
          <w:color w:val="auto"/>
        </w:rPr>
      </w:pPr>
    </w:p>
    <w:p>
      <w:pPr>
        <w:ind w:right="40"/>
        <w:spacing w:after="0" w:line="275"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Investment Corporation</w:t>
      </w:r>
    </w:p>
    <w:p>
      <w:pPr>
        <w:spacing w:after="0" w:line="5" w:lineRule="exact"/>
        <w:rPr>
          <w:sz w:val="20"/>
          <w:szCs w:val="20"/>
          <w:color w:val="auto"/>
        </w:rPr>
      </w:pPr>
    </w:p>
    <w:p>
      <w:pPr>
        <w:ind w:right="9220" w:firstLine="8"/>
        <w:spacing w:after="0" w:line="290" w:lineRule="auto"/>
        <w:tabs>
          <w:tab w:leader="none" w:pos="632"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220"/>
      </w:cols>
      <w:pgMar w:left="320" w:top="11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21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2020-05-05T15:07:09Z</dcterms:created>
  <dcterms:modified xsi:type="dcterms:W3CDTF">2020-05-05T15:07:09Z</dcterms:modified>
</cp:coreProperties>
</file>