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184150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203835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2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February 4, 2014</w:t>
      </w:r>
    </w:p>
    <w:p>
      <w:pPr>
        <w:spacing w:after="0" w:line="1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175895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389"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PennantPark Investment Corporation</w:t>
      </w:r>
    </w:p>
    <w:p>
      <w:pPr>
        <w:spacing w:after="0" w:line="54"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190500</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140" w:type="dxa"/>
        <w:tblCellMar>
          <w:top w:w="0" w:type="dxa"/>
          <w:left w:w="0" w:type="dxa"/>
          <w:bottom w:w="0" w:type="dxa"/>
          <w:right w:w="0" w:type="dxa"/>
        </w:tblCellMar>
      </w:tblPr>
      <w:tr>
        <w:trPr>
          <w:trHeight w:val="218"/>
        </w:trPr>
        <w:tc>
          <w:tcPr>
            <w:tcW w:w="3980" w:type="dxa"/>
            <w:vAlign w:val="bottom"/>
          </w:tcPr>
          <w:p>
            <w:pPr>
              <w:jc w:val="center"/>
              <w:ind w:right="2364"/>
              <w:spacing w:after="0"/>
              <w:rPr>
                <w:sz w:val="20"/>
                <w:szCs w:val="20"/>
                <w:color w:val="auto"/>
              </w:rPr>
            </w:pPr>
            <w:r>
              <w:rPr>
                <w:rFonts w:ascii="Arial" w:cs="Arial" w:eastAsia="Arial" w:hAnsi="Arial"/>
                <w:sz w:val="18"/>
                <w:szCs w:val="18"/>
                <w:b w:val="1"/>
                <w:bCs w:val="1"/>
                <w:color w:val="auto"/>
                <w:w w:val="93"/>
              </w:rPr>
              <w:t>Maryland</w:t>
            </w:r>
          </w:p>
        </w:tc>
        <w:tc>
          <w:tcPr>
            <w:tcW w:w="2400" w:type="dxa"/>
            <w:vAlign w:val="bottom"/>
          </w:tcPr>
          <w:p>
            <w:pPr>
              <w:ind w:left="240"/>
              <w:spacing w:after="0"/>
              <w:rPr>
                <w:sz w:val="20"/>
                <w:szCs w:val="20"/>
                <w:color w:val="auto"/>
              </w:rPr>
            </w:pPr>
            <w:r>
              <w:rPr>
                <w:rFonts w:ascii="Arial" w:cs="Arial" w:eastAsia="Arial" w:hAnsi="Arial"/>
                <w:sz w:val="18"/>
                <w:szCs w:val="18"/>
                <w:b w:val="1"/>
                <w:bCs w:val="1"/>
                <w:color w:val="auto"/>
              </w:rPr>
              <w:t>814-00736</w:t>
            </w:r>
          </w:p>
        </w:tc>
        <w:tc>
          <w:tcPr>
            <w:tcW w:w="2460" w:type="dxa"/>
            <w:vAlign w:val="bottom"/>
          </w:tcPr>
          <w:p>
            <w:pPr>
              <w:jc w:val="right"/>
              <w:ind w:right="44"/>
              <w:spacing w:after="0"/>
              <w:rPr>
                <w:sz w:val="20"/>
                <w:szCs w:val="20"/>
                <w:color w:val="auto"/>
              </w:rPr>
            </w:pPr>
            <w:r>
              <w:rPr>
                <w:rFonts w:ascii="Arial" w:cs="Arial" w:eastAsia="Arial" w:hAnsi="Arial"/>
                <w:sz w:val="18"/>
                <w:szCs w:val="18"/>
                <w:b w:val="1"/>
                <w:bCs w:val="1"/>
                <w:color w:val="auto"/>
              </w:rPr>
              <w:t>20-8250744</w:t>
            </w:r>
          </w:p>
        </w:tc>
      </w:tr>
      <w:tr>
        <w:trPr>
          <w:trHeight w:val="148"/>
        </w:trPr>
        <w:tc>
          <w:tcPr>
            <w:tcW w:w="3980" w:type="dxa"/>
            <w:vAlign w:val="bottom"/>
          </w:tcPr>
          <w:p>
            <w:pPr>
              <w:jc w:val="center"/>
              <w:ind w:right="2364"/>
              <w:spacing w:after="0"/>
              <w:rPr>
                <w:sz w:val="20"/>
                <w:szCs w:val="20"/>
                <w:color w:val="auto"/>
              </w:rPr>
            </w:pPr>
            <w:r>
              <w:rPr>
                <w:rFonts w:ascii="Arial" w:cs="Arial" w:eastAsia="Arial" w:hAnsi="Arial"/>
                <w:sz w:val="13"/>
                <w:szCs w:val="13"/>
                <w:b w:val="1"/>
                <w:bCs w:val="1"/>
                <w:color w:val="auto"/>
                <w:w w:val="94"/>
              </w:rPr>
              <w:t>(State or other jurisdiction</w:t>
            </w:r>
          </w:p>
        </w:tc>
        <w:tc>
          <w:tcPr>
            <w:tcW w:w="2400" w:type="dxa"/>
            <w:vAlign w:val="bottom"/>
          </w:tcPr>
          <w:p>
            <w:pPr>
              <w:ind w:left="240"/>
              <w:spacing w:after="0"/>
              <w:rPr>
                <w:sz w:val="20"/>
                <w:szCs w:val="20"/>
                <w:color w:val="auto"/>
              </w:rPr>
            </w:pPr>
            <w:r>
              <w:rPr>
                <w:rFonts w:ascii="Arial" w:cs="Arial" w:eastAsia="Arial" w:hAnsi="Arial"/>
                <w:sz w:val="13"/>
                <w:szCs w:val="13"/>
                <w:b w:val="1"/>
                <w:bCs w:val="1"/>
                <w:color w:val="auto"/>
              </w:rPr>
              <w:t>(Commission</w:t>
            </w:r>
          </w:p>
        </w:tc>
        <w:tc>
          <w:tcPr>
            <w:tcW w:w="2460" w:type="dxa"/>
            <w:vAlign w:val="bottom"/>
          </w:tcPr>
          <w:p>
            <w:pPr>
              <w:jc w:val="center"/>
              <w:ind w:left="130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3980" w:type="dxa"/>
            <w:vAlign w:val="bottom"/>
          </w:tcPr>
          <w:p>
            <w:pPr>
              <w:jc w:val="center"/>
              <w:ind w:right="2364"/>
              <w:spacing w:after="0"/>
              <w:rPr>
                <w:sz w:val="20"/>
                <w:szCs w:val="20"/>
                <w:color w:val="auto"/>
              </w:rPr>
            </w:pPr>
            <w:r>
              <w:rPr>
                <w:rFonts w:ascii="Arial" w:cs="Arial" w:eastAsia="Arial" w:hAnsi="Arial"/>
                <w:sz w:val="13"/>
                <w:szCs w:val="13"/>
                <w:b w:val="1"/>
                <w:bCs w:val="1"/>
                <w:color w:val="auto"/>
                <w:w w:val="94"/>
              </w:rPr>
              <w:t>of incorporation)</w:t>
            </w:r>
          </w:p>
        </w:tc>
        <w:tc>
          <w:tcPr>
            <w:tcW w:w="2400" w:type="dxa"/>
            <w:vAlign w:val="bottom"/>
          </w:tcPr>
          <w:p>
            <w:pPr>
              <w:ind w:left="240"/>
              <w:spacing w:after="0"/>
              <w:rPr>
                <w:sz w:val="20"/>
                <w:szCs w:val="20"/>
                <w:color w:val="auto"/>
              </w:rPr>
            </w:pPr>
            <w:r>
              <w:rPr>
                <w:rFonts w:ascii="Arial" w:cs="Arial" w:eastAsia="Arial" w:hAnsi="Arial"/>
                <w:sz w:val="13"/>
                <w:szCs w:val="13"/>
                <w:b w:val="1"/>
                <w:bCs w:val="1"/>
                <w:color w:val="auto"/>
              </w:rPr>
              <w:t>File Number)</w:t>
            </w:r>
          </w:p>
        </w:tc>
        <w:tc>
          <w:tcPr>
            <w:tcW w:w="2460" w:type="dxa"/>
            <w:vAlign w:val="bottom"/>
          </w:tcPr>
          <w:p>
            <w:pPr>
              <w:jc w:val="center"/>
              <w:ind w:left="1324"/>
              <w:spacing w:after="0"/>
              <w:rPr>
                <w:sz w:val="20"/>
                <w:szCs w:val="20"/>
                <w:color w:val="auto"/>
              </w:rPr>
            </w:pPr>
            <w:r>
              <w:rPr>
                <w:rFonts w:ascii="Arial" w:cs="Arial" w:eastAsia="Arial" w:hAnsi="Arial"/>
                <w:sz w:val="13"/>
                <w:szCs w:val="13"/>
                <w:b w:val="1"/>
                <w:bCs w:val="1"/>
                <w:color w:val="auto"/>
                <w:w w:val="96"/>
              </w:rPr>
              <w:t>Identification No.)</w:t>
            </w:r>
          </w:p>
        </w:tc>
      </w:tr>
      <w:tr>
        <w:trPr>
          <w:trHeight w:val="406"/>
        </w:trPr>
        <w:tc>
          <w:tcPr>
            <w:tcW w:w="6380" w:type="dxa"/>
            <w:vAlign w:val="bottom"/>
            <w:gridSpan w:val="2"/>
          </w:tcPr>
          <w:p>
            <w:pPr>
              <w:jc w:val="center"/>
              <w:ind w:right="1046"/>
              <w:spacing w:after="0"/>
              <w:rPr>
                <w:sz w:val="20"/>
                <w:szCs w:val="20"/>
                <w:color w:val="auto"/>
              </w:rPr>
            </w:pPr>
            <w:r>
              <w:rPr>
                <w:rFonts w:ascii="Arial" w:cs="Arial" w:eastAsia="Arial" w:hAnsi="Arial"/>
                <w:sz w:val="18"/>
                <w:szCs w:val="18"/>
                <w:b w:val="1"/>
                <w:bCs w:val="1"/>
                <w:color w:val="auto"/>
                <w:w w:val="89"/>
              </w:rPr>
              <w:t>590 Madison Avenue, 15th Floor, New York, NY</w:t>
            </w:r>
          </w:p>
        </w:tc>
        <w:tc>
          <w:tcPr>
            <w:tcW w:w="2460" w:type="dxa"/>
            <w:vAlign w:val="bottom"/>
          </w:tcPr>
          <w:p>
            <w:pPr>
              <w:jc w:val="right"/>
              <w:ind w:right="244"/>
              <w:spacing w:after="0"/>
              <w:rPr>
                <w:sz w:val="20"/>
                <w:szCs w:val="20"/>
                <w:color w:val="auto"/>
              </w:rPr>
            </w:pPr>
            <w:r>
              <w:rPr>
                <w:rFonts w:ascii="Arial" w:cs="Arial" w:eastAsia="Arial" w:hAnsi="Arial"/>
                <w:sz w:val="18"/>
                <w:szCs w:val="18"/>
                <w:b w:val="1"/>
                <w:bCs w:val="1"/>
                <w:color w:val="auto"/>
              </w:rPr>
              <w:t>10022</w:t>
            </w:r>
          </w:p>
        </w:tc>
      </w:tr>
      <w:tr>
        <w:trPr>
          <w:trHeight w:val="174"/>
        </w:trPr>
        <w:tc>
          <w:tcPr>
            <w:tcW w:w="3980" w:type="dxa"/>
            <w:vAlign w:val="bottom"/>
          </w:tcPr>
          <w:p>
            <w:pPr>
              <w:jc w:val="center"/>
              <w:ind w:left="1224"/>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2400" w:type="dxa"/>
            <w:vAlign w:val="bottom"/>
          </w:tcPr>
          <w:p>
            <w:pPr>
              <w:spacing w:after="0"/>
              <w:rPr>
                <w:sz w:val="15"/>
                <w:szCs w:val="15"/>
                <w:color w:val="auto"/>
              </w:rPr>
            </w:pPr>
          </w:p>
        </w:tc>
        <w:tc>
          <w:tcPr>
            <w:tcW w:w="2460" w:type="dxa"/>
            <w:vAlign w:val="bottom"/>
          </w:tcPr>
          <w:p>
            <w:pPr>
              <w:jc w:val="center"/>
              <w:ind w:left="1324"/>
              <w:spacing w:after="0"/>
              <w:rPr>
                <w:sz w:val="20"/>
                <w:szCs w:val="20"/>
                <w:color w:val="auto"/>
              </w:rPr>
            </w:pPr>
            <w:r>
              <w:rPr>
                <w:rFonts w:ascii="Arial" w:cs="Arial" w:eastAsia="Arial" w:hAnsi="Arial"/>
                <w:sz w:val="13"/>
                <w:szCs w:val="13"/>
                <w:b w:val="1"/>
                <w:bCs w:val="1"/>
                <w:color w:val="auto"/>
                <w:w w:val="96"/>
              </w:rPr>
              <w:t>(Zip Code)</w:t>
            </w:r>
          </w:p>
        </w:tc>
      </w:tr>
    </w:tbl>
    <w:p>
      <w:pPr>
        <w:spacing w:after="0" w:line="13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212-905-1000</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4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180975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314" w:right="5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t>Item 5.07 Submission of Matters to a Vote of Security Holders</w:t>
      </w:r>
    </w:p>
    <w:p>
      <w:pPr>
        <w:spacing w:after="0" w:line="96" w:lineRule="exact"/>
        <w:rPr>
          <w:sz w:val="20"/>
          <w:szCs w:val="20"/>
          <w:color w:val="auto"/>
        </w:rPr>
      </w:pPr>
    </w:p>
    <w:p>
      <w:pPr>
        <w:ind w:right="220" w:firstLine="449"/>
        <w:spacing w:after="0" w:line="256" w:lineRule="auto"/>
        <w:rPr>
          <w:sz w:val="20"/>
          <w:szCs w:val="20"/>
          <w:color w:val="auto"/>
        </w:rPr>
      </w:pPr>
      <w:r>
        <w:rPr>
          <w:rFonts w:ascii="Arial" w:cs="Arial" w:eastAsia="Arial" w:hAnsi="Arial"/>
          <w:sz w:val="18"/>
          <w:szCs w:val="18"/>
          <w:color w:val="auto"/>
        </w:rPr>
        <w:t>On February 4, 2014, PennantPark Investment Corporation (the “Company”) held its annual meeting of stockholders (the “Annual Meeting”) and submitted two matters to the vote of stockholders. The proposals are described in detail in the Company’s definitive proxy statement filed with the Securities and Exchange Commission on December 5, 2013. As of December 9, 2013, the record date, 66,546,734 shares of common stock were eligible to vote. A summary of the matters voted upon by the stockholders is set forth below.</w:t>
      </w:r>
    </w:p>
    <w:p>
      <w:pPr>
        <w:spacing w:after="0" w:line="13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Due to the absence of the affirmative vote of a majority of the outstanding shares of common stock to elect the nominees, the named Proxies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stockholders approved an adjournment of the meeting to allow the polls to remain open until 9:30 a.m. on February 25, 2014 for the proposal to elect two Class I directors of the Company, each of whom will serve until the 2017 Annual Meeting, or until his successor is duly elected and qualifies or until his earlier resignation, removal from office, death or incapacity. The meeting will be reconvened at the offices of Dechert LLP, located at 1095 Avenue of the Americas, New York, New York, on February 25, 2014, at 9:30 a.m.</w:t>
      </w:r>
    </w:p>
    <w:p>
      <w:pPr>
        <w:spacing w:after="0" w:line="138"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 xml:space="preserve">Proposal 2. </w:t>
      </w:r>
      <w:r>
        <w:rPr>
          <w:rFonts w:ascii="Arial" w:cs="Arial" w:eastAsia="Arial" w:hAnsi="Arial"/>
          <w:sz w:val="18"/>
          <w:szCs w:val="18"/>
          <w:color w:val="auto"/>
        </w:rPr>
        <w:t>The Company’s stockholders ratified the selection of McGladrey LLP to serve as the Company’s independent registered public accounting firm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year ending September 30, 2014. The voting results are set forth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For</w:t>
            </w:r>
          </w:p>
        </w:tc>
        <w:tc>
          <w:tcPr>
            <w:tcW w:w="10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Against</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Abstain</w:t>
            </w:r>
          </w:p>
        </w:tc>
      </w:tr>
      <w:tr>
        <w:trPr>
          <w:trHeight w:val="210"/>
        </w:trPr>
        <w:tc>
          <w:tcPr>
            <w:tcW w:w="8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57,341,806</w:t>
            </w:r>
          </w:p>
        </w:tc>
        <w:tc>
          <w:tcPr>
            <w:tcW w:w="3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478,936</w:t>
            </w:r>
          </w:p>
        </w:tc>
        <w:tc>
          <w:tcPr>
            <w:tcW w:w="3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256,364</w:t>
            </w:r>
          </w:p>
        </w:tc>
        <w:tc>
          <w:tcPr>
            <w:tcW w:w="140" w:type="dxa"/>
            <w:vAlign w:val="bottom"/>
            <w:tcBorders>
              <w:top w:val="single" w:sz="8" w:color="CCEEFF"/>
            </w:tcBorders>
            <w:shd w:val="clear" w:color="auto" w:fill="CCEEFF"/>
          </w:tcPr>
          <w:p>
            <w:pPr>
              <w:spacing w:after="0"/>
              <w:rPr>
                <w:sz w:val="18"/>
                <w:szCs w:val="18"/>
                <w:color w:val="auto"/>
              </w:rPr>
            </w:pPr>
          </w:p>
        </w:tc>
      </w:tr>
      <w:tr>
        <w:trPr>
          <w:trHeight w:val="222"/>
        </w:trPr>
        <w:tc>
          <w:tcPr>
            <w:tcW w:w="8240" w:type="dxa"/>
            <w:vAlign w:val="bottom"/>
          </w:tcPr>
          <w:p>
            <w:pPr>
              <w:spacing w:after="0"/>
              <w:rPr>
                <w:sz w:val="20"/>
                <w:szCs w:val="20"/>
                <w:color w:val="auto"/>
              </w:rPr>
            </w:pPr>
            <w:r>
              <w:rPr>
                <w:rFonts w:ascii="Arial" w:cs="Arial" w:eastAsia="Arial" w:hAnsi="Arial"/>
                <w:sz w:val="18"/>
                <w:szCs w:val="18"/>
                <w:color w:val="auto"/>
              </w:rPr>
              <w:t>% of Shares Voted</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98.73%</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0.82%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0.45%</w:t>
            </w:r>
          </w:p>
        </w:tc>
      </w:tr>
    </w:tbl>
    <w:p>
      <w:pPr>
        <w:spacing w:after="0" w:line="147"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On February 4, 2014, the Company held a special meeting of stockholders (the “Special Meeting”) and submitted one matter to the vote of the stockholders. The proposal is described in detail in the Company’s definitive proxy statement filed with the Securities and Exchange Commission on December 5, 2013. As of December 9, 2013, the record date, 66,546,734 shares of common stock were eligible to vote. A summary of the matter voted upon by the stockholders is set forth below.</w:t>
      </w:r>
    </w:p>
    <w:p>
      <w:pPr>
        <w:spacing w:after="0" w:line="13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Due to the absence of a quorum, the named Proxies for the Company’s stockholders approved an adjournment of the meeting to allow the polls to</w:t>
      </w:r>
      <w:r>
        <w:rPr>
          <w:rFonts w:ascii="Arial" w:cs="Arial" w:eastAsia="Arial" w:hAnsi="Arial"/>
          <w:sz w:val="18"/>
          <w:szCs w:val="18"/>
          <w:b w:val="1"/>
          <w:bCs w:val="1"/>
          <w:color w:val="auto"/>
        </w:rPr>
        <w:t xml:space="preserve"> </w:t>
      </w:r>
      <w:r>
        <w:rPr>
          <w:rFonts w:ascii="Arial" w:cs="Arial" w:eastAsia="Arial" w:hAnsi="Arial"/>
          <w:sz w:val="18"/>
          <w:szCs w:val="18"/>
          <w:color w:val="auto"/>
        </w:rPr>
        <w:t>remain open until 10:00 a.m. on February 25, 2014 for the proposal to authorize flexibility for the Company, with the approval of its Board of Directors, to sell shares of its common stock during the next 12 months, at a price below its then current net asset value per share, subject to certain limitations as described in the joint proxy statement. The meeting will be reconvened at the offices of Dechert LLP, located at 1095 Avenue of the Americas, New York, New York, on February 25, 2014, at 10:00 a.m.</w:t>
      </w:r>
    </w:p>
    <w:p>
      <w:pPr>
        <w:sectPr>
          <w:pgSz w:w="11900" w:h="16838" w:orient="portrait"/>
          <w:cols w:equalWidth="0" w:num="1">
            <w:col w:w="11240"/>
          </w:cols>
          <w:pgMar w:left="320" w:top="44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t>SIGNATURE</w:t>
      </w:r>
    </w:p>
    <w:p>
      <w:pPr>
        <w:spacing w:after="0" w:line="177" w:lineRule="exact"/>
        <w:rPr>
          <w:sz w:val="20"/>
          <w:szCs w:val="20"/>
          <w:color w:val="auto"/>
        </w:rPr>
      </w:pPr>
    </w:p>
    <w:p>
      <w:pPr>
        <w:ind w:right="40" w:firstLine="449"/>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80" w:type="dxa"/>
            <w:vAlign w:val="bottom"/>
          </w:tcPr>
          <w:p>
            <w:pPr>
              <w:spacing w:after="0"/>
              <w:rPr>
                <w:sz w:val="19"/>
                <w:szCs w:val="19"/>
                <w:color w:val="auto"/>
              </w:rPr>
            </w:pPr>
          </w:p>
        </w:tc>
        <w:tc>
          <w:tcPr>
            <w:tcW w:w="5260" w:type="dxa"/>
            <w:vAlign w:val="bottom"/>
          </w:tcPr>
          <w:p>
            <w:pPr>
              <w:ind w:left="100"/>
              <w:spacing w:after="0"/>
              <w:rPr>
                <w:sz w:val="20"/>
                <w:szCs w:val="20"/>
                <w:color w:val="auto"/>
              </w:rPr>
            </w:pPr>
            <w:r>
              <w:rPr>
                <w:rFonts w:ascii="Arial" w:cs="Arial" w:eastAsia="Arial" w:hAnsi="Arial"/>
                <w:sz w:val="18"/>
                <w:szCs w:val="18"/>
                <w:b w:val="1"/>
                <w:bCs w:val="1"/>
                <w:color w:val="auto"/>
              </w:rPr>
              <w:t>PennantPark Investment Corporation</w:t>
            </w:r>
          </w:p>
        </w:tc>
      </w:tr>
      <w:tr>
        <w:trPr>
          <w:trHeight w:val="433"/>
        </w:trPr>
        <w:tc>
          <w:tcPr>
            <w:tcW w:w="5980" w:type="dxa"/>
            <w:vAlign w:val="bottom"/>
          </w:tcPr>
          <w:p>
            <w:pPr>
              <w:spacing w:after="0"/>
              <w:rPr>
                <w:sz w:val="20"/>
                <w:szCs w:val="20"/>
                <w:color w:val="auto"/>
              </w:rPr>
            </w:pPr>
            <w:r>
              <w:rPr>
                <w:rFonts w:ascii="Arial" w:cs="Arial" w:eastAsia="Arial" w:hAnsi="Arial"/>
                <w:sz w:val="18"/>
                <w:szCs w:val="18"/>
                <w:color w:val="auto"/>
              </w:rPr>
              <w:t>Date: February 7, 2014</w:t>
            </w:r>
          </w:p>
        </w:tc>
        <w:tc>
          <w:tcPr>
            <w:tcW w:w="5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AVIV EFRAT</w:t>
            </w:r>
          </w:p>
        </w:tc>
      </w:tr>
      <w:tr>
        <w:trPr>
          <w:trHeight w:val="202"/>
        </w:trPr>
        <w:tc>
          <w:tcPr>
            <w:tcW w:w="5980" w:type="dxa"/>
            <w:vAlign w:val="bottom"/>
          </w:tcPr>
          <w:p>
            <w:pPr>
              <w:spacing w:after="0"/>
              <w:rPr>
                <w:sz w:val="17"/>
                <w:szCs w:val="17"/>
                <w:color w:val="auto"/>
              </w:rPr>
            </w:pPr>
          </w:p>
        </w:tc>
        <w:tc>
          <w:tcPr>
            <w:tcW w:w="5260" w:type="dxa"/>
            <w:vAlign w:val="bottom"/>
          </w:tcPr>
          <w:p>
            <w:pPr>
              <w:ind w:left="100"/>
              <w:spacing w:after="0" w:line="202" w:lineRule="exact"/>
              <w:rPr>
                <w:sz w:val="20"/>
                <w:szCs w:val="20"/>
                <w:color w:val="auto"/>
              </w:rPr>
            </w:pPr>
            <w:r>
              <w:rPr>
                <w:rFonts w:ascii="Arial" w:cs="Arial" w:eastAsia="Arial" w:hAnsi="Arial"/>
                <w:sz w:val="18"/>
                <w:szCs w:val="18"/>
                <w:color w:val="auto"/>
              </w:rPr>
              <w:t>Aviv Efrat</w:t>
            </w:r>
          </w:p>
        </w:tc>
      </w:tr>
      <w:tr>
        <w:trPr>
          <w:trHeight w:val="222"/>
        </w:trPr>
        <w:tc>
          <w:tcPr>
            <w:tcW w:w="5980" w:type="dxa"/>
            <w:vAlign w:val="bottom"/>
          </w:tcPr>
          <w:p>
            <w:pPr>
              <w:spacing w:after="0"/>
              <w:rPr>
                <w:sz w:val="19"/>
                <w:szCs w:val="19"/>
                <w:color w:val="auto"/>
              </w:rPr>
            </w:pPr>
          </w:p>
        </w:tc>
        <w:tc>
          <w:tcPr>
            <w:tcW w:w="5260" w:type="dxa"/>
            <w:vAlign w:val="bottom"/>
          </w:tcPr>
          <w:p>
            <w:pPr>
              <w:ind w:left="100"/>
              <w:spacing w:after="0"/>
              <w:rPr>
                <w:sz w:val="20"/>
                <w:szCs w:val="20"/>
                <w:color w:val="auto"/>
              </w:rPr>
            </w:pPr>
            <w:r>
              <w:rPr>
                <w:rFonts w:ascii="Arial" w:cs="Arial" w:eastAsia="Arial" w:hAnsi="Arial"/>
                <w:sz w:val="18"/>
                <w:szCs w:val="18"/>
                <w:i w:val="1"/>
                <w:iCs w:val="1"/>
                <w:color w:val="auto"/>
              </w:rPr>
              <w:t>Chief Financial Officer &amp; Treasurer</w:t>
            </w:r>
          </w:p>
        </w:tc>
      </w:tr>
    </w:tbl>
    <w:p>
      <w:pPr>
        <w:spacing w:after="0" w:line="1" w:lineRule="exact"/>
        <w:rPr>
          <w:sz w:val="20"/>
          <w:szCs w:val="20"/>
          <w:color w:val="auto"/>
        </w:rPr>
      </w:pPr>
    </w:p>
    <w:sectPr>
      <w:pgSz w:w="11900" w:h="16838" w:orient="portrait"/>
      <w:cols w:equalWidth="0" w:num="1">
        <w:col w:w="11240"/>
      </w:cols>
      <w:pgMar w:left="320" w:top="3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2020-05-05T15:18:09Z</dcterms:created>
  <dcterms:modified xsi:type="dcterms:W3CDTF">2020-05-05T15:18:09Z</dcterms:modified>
</cp:coreProperties>
</file>