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29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2" w:lineRule="exact"/>
        <w:rPr>
          <w:sz w:val="24"/>
          <w:szCs w:val="24"/>
          <w:color w:val="auto"/>
        </w:rPr>
      </w:pPr>
    </w:p>
    <w:p>
      <w:pPr>
        <w:jc w:val="center"/>
        <w:ind w:right="-29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7"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CURRENT REPORT</w:t>
      </w:r>
    </w:p>
    <w:p>
      <w:pPr>
        <w:spacing w:after="0" w:line="16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February 5, 2019</w:t>
      </w:r>
    </w:p>
    <w:p>
      <w:pPr>
        <w:spacing w:after="0" w:line="17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4"/>
          <w:szCs w:val="24"/>
          <w:color w:val="auto"/>
        </w:rPr>
      </w:pPr>
    </w:p>
    <w:p>
      <w:pPr>
        <w:jc w:val="center"/>
        <w:ind w:right="-299"/>
        <w:spacing w:after="0"/>
        <w:rPr>
          <w:sz w:val="20"/>
          <w:szCs w:val="20"/>
          <w:color w:val="auto"/>
        </w:rPr>
      </w:pPr>
      <w:r>
        <w:rPr>
          <w:rFonts w:ascii="Arial" w:cs="Arial" w:eastAsia="Arial" w:hAnsi="Arial"/>
          <w:sz w:val="31"/>
          <w:szCs w:val="31"/>
          <w:b w:val="1"/>
          <w:bCs w:val="1"/>
          <w:color w:val="auto"/>
        </w:rPr>
        <w:t>PennantPark Investment Corporation</w:t>
      </w:r>
    </w:p>
    <w:p>
      <w:pPr>
        <w:spacing w:after="0" w:line="24"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7" w:lineRule="exact"/>
        <w:rPr>
          <w:sz w:val="24"/>
          <w:szCs w:val="24"/>
          <w:color w:val="auto"/>
        </w:rPr>
      </w:pPr>
    </w:p>
    <w:tbl>
      <w:tblPr>
        <w:tblLayout w:type="fixed"/>
        <w:tblInd w:w="760" w:type="dxa"/>
        <w:tblCellMar>
          <w:top w:w="0" w:type="dxa"/>
          <w:left w:w="0" w:type="dxa"/>
          <w:bottom w:w="0" w:type="dxa"/>
          <w:right w:w="0" w:type="dxa"/>
        </w:tblCellMar>
      </w:tblPr>
      <w:tr>
        <w:trPr>
          <w:trHeight w:val="163"/>
        </w:trPr>
        <w:tc>
          <w:tcPr>
            <w:tcW w:w="3840" w:type="dxa"/>
            <w:vAlign w:val="bottom"/>
          </w:tcPr>
          <w:p>
            <w:pPr>
              <w:jc w:val="center"/>
              <w:ind w:right="1535"/>
              <w:spacing w:after="0"/>
              <w:rPr>
                <w:sz w:val="20"/>
                <w:szCs w:val="20"/>
                <w:color w:val="auto"/>
              </w:rPr>
            </w:pPr>
            <w:r>
              <w:rPr>
                <w:rFonts w:ascii="Arial" w:cs="Arial" w:eastAsia="Arial" w:hAnsi="Arial"/>
                <w:sz w:val="14"/>
                <w:szCs w:val="14"/>
                <w:b w:val="1"/>
                <w:bCs w:val="1"/>
                <w:color w:val="auto"/>
                <w:w w:val="97"/>
              </w:rPr>
              <w:t>Maryland</w:t>
            </w:r>
          </w:p>
        </w:tc>
        <w:tc>
          <w:tcPr>
            <w:tcW w:w="2580" w:type="dxa"/>
            <w:vAlign w:val="bottom"/>
          </w:tcPr>
          <w:p>
            <w:pPr>
              <w:jc w:val="right"/>
              <w:ind w:right="1195"/>
              <w:spacing w:after="0"/>
              <w:rPr>
                <w:sz w:val="20"/>
                <w:szCs w:val="20"/>
                <w:color w:val="auto"/>
              </w:rPr>
            </w:pPr>
            <w:r>
              <w:rPr>
                <w:rFonts w:ascii="Arial" w:cs="Arial" w:eastAsia="Arial" w:hAnsi="Arial"/>
                <w:sz w:val="14"/>
                <w:szCs w:val="14"/>
                <w:b w:val="1"/>
                <w:bCs w:val="1"/>
                <w:color w:val="auto"/>
              </w:rPr>
              <w:t>814-00736</w:t>
            </w:r>
          </w:p>
        </w:tc>
        <w:tc>
          <w:tcPr>
            <w:tcW w:w="3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20-8250744</w:t>
            </w:r>
          </w:p>
        </w:tc>
      </w:tr>
      <w:tr>
        <w:trPr>
          <w:trHeight w:val="150"/>
        </w:trPr>
        <w:tc>
          <w:tcPr>
            <w:tcW w:w="3840" w:type="dxa"/>
            <w:vAlign w:val="bottom"/>
          </w:tcPr>
          <w:p>
            <w:pPr>
              <w:jc w:val="center"/>
              <w:ind w:right="1555"/>
              <w:spacing w:after="0"/>
              <w:rPr>
                <w:sz w:val="20"/>
                <w:szCs w:val="20"/>
                <w:color w:val="auto"/>
              </w:rPr>
            </w:pPr>
            <w:r>
              <w:rPr>
                <w:rFonts w:ascii="Arial" w:cs="Arial" w:eastAsia="Arial" w:hAnsi="Arial"/>
                <w:sz w:val="12"/>
                <w:szCs w:val="12"/>
                <w:b w:val="1"/>
                <w:bCs w:val="1"/>
                <w:color w:val="auto"/>
                <w:w w:val="89"/>
              </w:rPr>
              <w:t>(State or other jurisdiction of incorporation)</w:t>
            </w:r>
          </w:p>
        </w:tc>
        <w:tc>
          <w:tcPr>
            <w:tcW w:w="2580" w:type="dxa"/>
            <w:vAlign w:val="bottom"/>
          </w:tcPr>
          <w:p>
            <w:pPr>
              <w:jc w:val="center"/>
              <w:ind w:right="495"/>
              <w:spacing w:after="0"/>
              <w:rPr>
                <w:sz w:val="20"/>
                <w:szCs w:val="20"/>
                <w:color w:val="auto"/>
              </w:rPr>
            </w:pPr>
            <w:r>
              <w:rPr>
                <w:rFonts w:ascii="Arial" w:cs="Arial" w:eastAsia="Arial" w:hAnsi="Arial"/>
                <w:sz w:val="12"/>
                <w:szCs w:val="12"/>
                <w:b w:val="1"/>
                <w:bCs w:val="1"/>
                <w:color w:val="auto"/>
                <w:w w:val="87"/>
              </w:rPr>
              <w:t>(Commission File Number)</w:t>
            </w:r>
          </w:p>
        </w:tc>
        <w:tc>
          <w:tcPr>
            <w:tcW w:w="3020" w:type="dxa"/>
            <w:vAlign w:val="bottom"/>
          </w:tcPr>
          <w:p>
            <w:pPr>
              <w:jc w:val="center"/>
              <w:ind w:left="1251"/>
              <w:spacing w:after="0"/>
              <w:rPr>
                <w:sz w:val="20"/>
                <w:szCs w:val="20"/>
                <w:color w:val="auto"/>
              </w:rPr>
            </w:pPr>
            <w:r>
              <w:rPr>
                <w:rFonts w:ascii="Arial" w:cs="Arial" w:eastAsia="Arial" w:hAnsi="Arial"/>
                <w:sz w:val="12"/>
                <w:szCs w:val="12"/>
                <w:b w:val="1"/>
                <w:bCs w:val="1"/>
                <w:color w:val="auto"/>
                <w:w w:val="91"/>
              </w:rPr>
              <w:t>(IRS Employer Identification No.)</w:t>
            </w:r>
          </w:p>
        </w:tc>
      </w:tr>
      <w:tr>
        <w:trPr>
          <w:trHeight w:val="348"/>
        </w:trPr>
        <w:tc>
          <w:tcPr>
            <w:tcW w:w="3840" w:type="dxa"/>
            <w:vAlign w:val="bottom"/>
          </w:tcPr>
          <w:p>
            <w:pPr>
              <w:jc w:val="center"/>
              <w:ind w:left="195"/>
              <w:spacing w:after="0"/>
              <w:rPr>
                <w:sz w:val="20"/>
                <w:szCs w:val="20"/>
                <w:color w:val="auto"/>
              </w:rPr>
            </w:pPr>
            <w:r>
              <w:rPr>
                <w:rFonts w:ascii="Arial" w:cs="Arial" w:eastAsia="Arial" w:hAnsi="Arial"/>
                <w:sz w:val="14"/>
                <w:szCs w:val="14"/>
                <w:b w:val="1"/>
                <w:bCs w:val="1"/>
                <w:color w:val="auto"/>
                <w:w w:val="93"/>
              </w:rPr>
              <w:t>590 Madison Avenue, 15th Floor, New York, NY</w:t>
            </w:r>
          </w:p>
        </w:tc>
        <w:tc>
          <w:tcPr>
            <w:tcW w:w="2580" w:type="dxa"/>
            <w:vAlign w:val="bottom"/>
          </w:tcPr>
          <w:p>
            <w:pPr>
              <w:spacing w:after="0"/>
              <w:rPr>
                <w:sz w:val="24"/>
                <w:szCs w:val="24"/>
                <w:color w:val="auto"/>
              </w:rPr>
            </w:pPr>
          </w:p>
        </w:tc>
        <w:tc>
          <w:tcPr>
            <w:tcW w:w="3020" w:type="dxa"/>
            <w:vAlign w:val="bottom"/>
          </w:tcPr>
          <w:p>
            <w:pPr>
              <w:jc w:val="right"/>
              <w:ind w:right="1531"/>
              <w:spacing w:after="0"/>
              <w:rPr>
                <w:sz w:val="20"/>
                <w:szCs w:val="20"/>
                <w:color w:val="auto"/>
              </w:rPr>
            </w:pPr>
            <w:r>
              <w:rPr>
                <w:rFonts w:ascii="Arial" w:cs="Arial" w:eastAsia="Arial" w:hAnsi="Arial"/>
                <w:sz w:val="14"/>
                <w:szCs w:val="14"/>
                <w:b w:val="1"/>
                <w:bCs w:val="1"/>
                <w:color w:val="auto"/>
              </w:rPr>
              <w:t>10022</w:t>
            </w:r>
          </w:p>
        </w:tc>
      </w:tr>
      <w:tr>
        <w:trPr>
          <w:trHeight w:val="186"/>
        </w:trPr>
        <w:tc>
          <w:tcPr>
            <w:tcW w:w="3840" w:type="dxa"/>
            <w:vAlign w:val="bottom"/>
          </w:tcPr>
          <w:p>
            <w:pPr>
              <w:jc w:val="center"/>
              <w:ind w:left="195"/>
              <w:spacing w:after="0"/>
              <w:rPr>
                <w:sz w:val="20"/>
                <w:szCs w:val="20"/>
                <w:color w:val="auto"/>
              </w:rPr>
            </w:pPr>
            <w:r>
              <w:rPr>
                <w:rFonts w:ascii="Arial" w:cs="Arial" w:eastAsia="Arial" w:hAnsi="Arial"/>
                <w:sz w:val="12"/>
                <w:szCs w:val="12"/>
                <w:b w:val="1"/>
                <w:bCs w:val="1"/>
                <w:color w:val="auto"/>
                <w:w w:val="86"/>
              </w:rPr>
              <w:t>(Address of principal executive offices)</w:t>
            </w:r>
          </w:p>
        </w:tc>
        <w:tc>
          <w:tcPr>
            <w:tcW w:w="2580" w:type="dxa"/>
            <w:vAlign w:val="bottom"/>
          </w:tcPr>
          <w:p>
            <w:pPr>
              <w:spacing w:after="0"/>
              <w:rPr>
                <w:sz w:val="16"/>
                <w:szCs w:val="16"/>
                <w:color w:val="auto"/>
              </w:rPr>
            </w:pPr>
          </w:p>
        </w:tc>
        <w:tc>
          <w:tcPr>
            <w:tcW w:w="3020" w:type="dxa"/>
            <w:vAlign w:val="bottom"/>
          </w:tcPr>
          <w:p>
            <w:pPr>
              <w:jc w:val="center"/>
              <w:ind w:right="471"/>
              <w:spacing w:after="0"/>
              <w:rPr>
                <w:sz w:val="20"/>
                <w:szCs w:val="20"/>
                <w:color w:val="auto"/>
              </w:rPr>
            </w:pPr>
            <w:r>
              <w:rPr>
                <w:rFonts w:ascii="Arial" w:cs="Arial" w:eastAsia="Arial" w:hAnsi="Arial"/>
                <w:sz w:val="14"/>
                <w:szCs w:val="14"/>
                <w:b w:val="1"/>
                <w:bCs w:val="1"/>
                <w:color w:val="auto"/>
                <w:w w:val="98"/>
              </w:rPr>
              <w:t>(Zip Code)</w:t>
            </w:r>
          </w:p>
        </w:tc>
      </w:tr>
    </w:tbl>
    <w:p>
      <w:pPr>
        <w:spacing w:after="0" w:line="286"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212-905-1000</w:t>
      </w:r>
    </w:p>
    <w:p>
      <w:pPr>
        <w:spacing w:after="0" w:line="14" w:lineRule="exact"/>
        <w:rPr>
          <w:sz w:val="24"/>
          <w:szCs w:val="24"/>
          <w:color w:val="auto"/>
        </w:rPr>
      </w:pPr>
    </w:p>
    <w:p>
      <w:pPr>
        <w:jc w:val="center"/>
        <w:ind w:right="-29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132"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Not Applicable</w:t>
      </w:r>
    </w:p>
    <w:p>
      <w:pPr>
        <w:spacing w:after="0" w:line="14" w:lineRule="exact"/>
        <w:rPr>
          <w:sz w:val="24"/>
          <w:szCs w:val="24"/>
          <w:color w:val="auto"/>
        </w:rPr>
      </w:pPr>
    </w:p>
    <w:p>
      <w:pPr>
        <w:jc w:val="center"/>
        <w:ind w:right="-29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6" w:lineRule="exact"/>
        <w:rPr>
          <w:sz w:val="24"/>
          <w:szCs w:val="24"/>
          <w:color w:val="auto"/>
        </w:rPr>
      </w:pPr>
    </w:p>
    <w:p>
      <w:pPr>
        <w:ind w:left="48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69"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09" w:lineRule="exact"/>
        <w:rPr>
          <w:rFonts w:ascii="MS PGothic" w:cs="MS PGothic" w:eastAsia="MS PGothic" w:hAnsi="MS PGothic"/>
          <w:sz w:val="14"/>
          <w:szCs w:val="1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09" w:lineRule="exact"/>
        <w:rPr>
          <w:rFonts w:ascii="MS PGothic" w:cs="MS PGothic" w:eastAsia="MS PGothic" w:hAnsi="MS PGothic"/>
          <w:sz w:val="14"/>
          <w:szCs w:val="1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09" w:lineRule="exact"/>
        <w:rPr>
          <w:rFonts w:ascii="MS PGothic" w:cs="MS PGothic" w:eastAsia="MS PGothic" w:hAnsi="MS PGothic"/>
          <w:sz w:val="14"/>
          <w:szCs w:val="1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50" w:lineRule="exact"/>
        <w:rPr>
          <w:sz w:val="24"/>
          <w:szCs w:val="24"/>
          <w:color w:val="auto"/>
        </w:rPr>
      </w:pPr>
    </w:p>
    <w:p>
      <w:pPr>
        <w:ind w:firstLine="36"/>
        <w:spacing w:after="0" w:line="25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1033780</wp:posOffset>
            </wp:positionH>
            <wp:positionV relativeFrom="paragraph">
              <wp:posOffset>-65405</wp:posOffset>
            </wp:positionV>
            <wp:extent cx="69215" cy="70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157" w:lineRule="exact"/>
        <w:rPr>
          <w:sz w:val="24"/>
          <w:szCs w:val="24"/>
          <w:color w:val="auto"/>
        </w:rPr>
      </w:pPr>
    </w:p>
    <w:p>
      <w:pPr>
        <w:ind w:right="28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358140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2466340</wp:posOffset>
            </wp:positionH>
            <wp:positionV relativeFrom="paragraph">
              <wp:posOffset>-106045</wp:posOffset>
            </wp:positionV>
            <wp:extent cx="69215" cy="70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ectPr>
          <w:pgSz w:w="11900" w:h="16838" w:orient="portrait"/>
          <w:cols w:equalWidth="0" w:num="1">
            <w:col w:w="10960"/>
          </w:cols>
          <w:pgMar w:left="320" w:top="981" w:right="61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114935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t>Item 5.07</w:t>
      </w:r>
      <w:r>
        <w:rPr>
          <w:sz w:val="20"/>
          <w:szCs w:val="20"/>
          <w:color w:val="auto"/>
        </w:rPr>
        <w:tab/>
      </w:r>
      <w:r>
        <w:rPr>
          <w:rFonts w:ascii="Arial" w:cs="Arial" w:eastAsia="Arial" w:hAnsi="Arial"/>
          <w:sz w:val="12"/>
          <w:szCs w:val="12"/>
          <w:b w:val="1"/>
          <w:bCs w:val="1"/>
          <w:color w:val="auto"/>
        </w:rPr>
        <w:t>Submission of Matters to a Vote of Security Holders</w:t>
      </w:r>
    </w:p>
    <w:p>
      <w:pPr>
        <w:spacing w:after="0" w:line="86" w:lineRule="exact"/>
        <w:rPr>
          <w:sz w:val="20"/>
          <w:szCs w:val="20"/>
          <w:color w:val="auto"/>
        </w:rPr>
      </w:pPr>
    </w:p>
    <w:p>
      <w:pPr>
        <w:jc w:val="both"/>
        <w:ind w:right="160" w:firstLine="510"/>
        <w:spacing w:after="0" w:line="264" w:lineRule="auto"/>
        <w:rPr>
          <w:sz w:val="20"/>
          <w:szCs w:val="20"/>
          <w:color w:val="auto"/>
        </w:rPr>
      </w:pPr>
      <w:r>
        <w:rPr>
          <w:rFonts w:ascii="Arial" w:cs="Arial" w:eastAsia="Arial" w:hAnsi="Arial"/>
          <w:sz w:val="13"/>
          <w:szCs w:val="13"/>
          <w:color w:val="auto"/>
        </w:rPr>
        <w:t>On February 5, 2019, PennantPark Investment Corporation (the “Company”) held its annual meeting of stockholders (the “Annual Meeting”) and submitted three matters to the vote of stockholders. The proposals are described in detail in the Company’s definitive proxy statement filed with the Securities and Exchange Commission on December 7, 2018. As of November 19, 2018, the record date, 69,053,958 shares of common stock were eligible to vote. A summary of the matters voted upon by the stockholders is set forth below.</w:t>
      </w:r>
    </w:p>
    <w:p>
      <w:pPr>
        <w:spacing w:after="0" w:line="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Proposal 1. </w:t>
      </w:r>
      <w:r>
        <w:rPr>
          <w:rFonts w:ascii="Arial" w:cs="Arial" w:eastAsia="Arial" w:hAnsi="Arial"/>
          <w:sz w:val="13"/>
          <w:szCs w:val="13"/>
          <w:color w:val="auto"/>
        </w:rPr>
        <w:t>The Company’s stockholders elected one Class III director of the Company, who will serve until the 2022 Annual Meeting and until his successor is duly elected and qualifies.</w:t>
      </w:r>
    </w:p>
    <w:p>
      <w:pPr>
        <w:spacing w:after="0" w:line="11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voting results as of February 5, 2019, as certified by the inspector of election, are set forth below:</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2"/>
          </w:tcPr>
          <w:p>
            <w:pPr>
              <w:spacing w:after="0"/>
              <w:rPr>
                <w:sz w:val="20"/>
                <w:szCs w:val="20"/>
                <w:color w:val="auto"/>
              </w:rPr>
            </w:pPr>
            <w:r>
              <w:rPr>
                <w:rFonts w:ascii="Arial" w:cs="Arial" w:eastAsia="Arial" w:hAnsi="Arial"/>
                <w:sz w:val="14"/>
                <w:szCs w:val="14"/>
                <w:color w:val="auto"/>
              </w:rPr>
              <w:t>Name</w:t>
            </w:r>
          </w:p>
        </w:tc>
        <w:tc>
          <w:tcPr>
            <w:tcW w:w="2900" w:type="dxa"/>
            <w:vAlign w:val="bottom"/>
            <w:gridSpan w:val="2"/>
          </w:tcPr>
          <w:p>
            <w:pPr>
              <w:jc w:val="right"/>
              <w:ind w:right="1700"/>
              <w:spacing w:after="0"/>
              <w:rPr>
                <w:sz w:val="20"/>
                <w:szCs w:val="20"/>
                <w:color w:val="auto"/>
              </w:rPr>
            </w:pPr>
            <w:r>
              <w:rPr>
                <w:rFonts w:ascii="Arial" w:cs="Arial" w:eastAsia="Arial" w:hAnsi="Arial"/>
                <w:sz w:val="14"/>
                <w:szCs w:val="14"/>
                <w:color w:val="auto"/>
              </w:rPr>
              <w:t>For</w:t>
            </w:r>
          </w:p>
        </w:tc>
        <w:tc>
          <w:tcPr>
            <w:tcW w:w="2860" w:type="dxa"/>
            <w:vAlign w:val="bottom"/>
            <w:gridSpan w:val="2"/>
          </w:tcPr>
          <w:p>
            <w:pPr>
              <w:jc w:val="right"/>
              <w:ind w:right="1500"/>
              <w:spacing w:after="0"/>
              <w:rPr>
                <w:sz w:val="20"/>
                <w:szCs w:val="20"/>
                <w:color w:val="auto"/>
              </w:rPr>
            </w:pPr>
            <w:r>
              <w:rPr>
                <w:rFonts w:ascii="Arial" w:cs="Arial" w:eastAsia="Arial" w:hAnsi="Arial"/>
                <w:sz w:val="14"/>
                <w:szCs w:val="14"/>
                <w:color w:val="auto"/>
              </w:rPr>
              <w:t>Withheld</w:t>
            </w:r>
          </w:p>
        </w:tc>
        <w:tc>
          <w:tcPr>
            <w:tcW w:w="2280" w:type="dxa"/>
            <w:vAlign w:val="bottom"/>
            <w:gridSpan w:val="2"/>
          </w:tcPr>
          <w:p>
            <w:pPr>
              <w:ind w:left="560"/>
              <w:spacing w:after="0"/>
              <w:rPr>
                <w:sz w:val="20"/>
                <w:szCs w:val="20"/>
                <w:color w:val="auto"/>
              </w:rPr>
            </w:pPr>
            <w:r>
              <w:rPr>
                <w:rFonts w:ascii="Arial" w:cs="Arial" w:eastAsia="Arial" w:hAnsi="Arial"/>
                <w:sz w:val="14"/>
                <w:szCs w:val="14"/>
                <w:color w:val="auto"/>
              </w:rPr>
              <w:t>Broker Non Votes</w:t>
            </w:r>
          </w:p>
        </w:tc>
      </w:tr>
      <w:tr>
        <w:trPr>
          <w:trHeight w:val="155"/>
        </w:trPr>
        <w:tc>
          <w:tcPr>
            <w:tcW w:w="2700" w:type="dxa"/>
            <w:vAlign w:val="bottom"/>
            <w:tcBorders>
              <w:top w:val="single" w:sz="8" w:color="auto"/>
            </w:tcBorders>
            <w:shd w:val="clear" w:color="auto" w:fill="BDD7EE"/>
          </w:tcPr>
          <w:p>
            <w:pPr>
              <w:spacing w:after="0" w:line="155" w:lineRule="exact"/>
              <w:rPr>
                <w:sz w:val="20"/>
                <w:szCs w:val="20"/>
                <w:color w:val="auto"/>
              </w:rPr>
            </w:pPr>
            <w:r>
              <w:rPr>
                <w:rFonts w:ascii="Arial" w:cs="Arial" w:eastAsia="Arial" w:hAnsi="Arial"/>
                <w:sz w:val="14"/>
                <w:szCs w:val="14"/>
                <w:color w:val="auto"/>
              </w:rPr>
              <w:t>Arthur H. Penn</w:t>
            </w:r>
          </w:p>
        </w:tc>
        <w:tc>
          <w:tcPr>
            <w:tcW w:w="500" w:type="dxa"/>
            <w:vAlign w:val="bottom"/>
            <w:tcBorders>
              <w:top w:val="single" w:sz="8" w:color="BDD7EE"/>
            </w:tcBorders>
            <w:shd w:val="clear" w:color="auto" w:fill="BDD7EE"/>
          </w:tcPr>
          <w:p>
            <w:pPr>
              <w:spacing w:after="0"/>
              <w:rPr>
                <w:sz w:val="13"/>
                <w:szCs w:val="13"/>
                <w:color w:val="auto"/>
              </w:rPr>
            </w:pPr>
          </w:p>
        </w:tc>
        <w:tc>
          <w:tcPr>
            <w:tcW w:w="222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34,549,010</w:t>
            </w:r>
          </w:p>
        </w:tc>
        <w:tc>
          <w:tcPr>
            <w:tcW w:w="680" w:type="dxa"/>
            <w:vAlign w:val="bottom"/>
            <w:tcBorders>
              <w:top w:val="single" w:sz="8" w:color="BDD7EE"/>
            </w:tcBorders>
            <w:shd w:val="clear" w:color="auto" w:fill="BDD7EE"/>
          </w:tcPr>
          <w:p>
            <w:pPr>
              <w:spacing w:after="0"/>
              <w:rPr>
                <w:sz w:val="13"/>
                <w:szCs w:val="13"/>
                <w:color w:val="auto"/>
              </w:rPr>
            </w:pPr>
          </w:p>
        </w:tc>
        <w:tc>
          <w:tcPr>
            <w:tcW w:w="222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7,312,816</w:t>
            </w:r>
          </w:p>
        </w:tc>
        <w:tc>
          <w:tcPr>
            <w:tcW w:w="640" w:type="dxa"/>
            <w:vAlign w:val="bottom"/>
            <w:tcBorders>
              <w:top w:val="single" w:sz="8" w:color="BDD7EE"/>
            </w:tcBorders>
            <w:shd w:val="clear" w:color="auto" w:fill="BDD7EE"/>
          </w:tcPr>
          <w:p>
            <w:pPr>
              <w:spacing w:after="0"/>
              <w:rPr>
                <w:sz w:val="13"/>
                <w:szCs w:val="13"/>
                <w:color w:val="auto"/>
              </w:rPr>
            </w:pPr>
          </w:p>
        </w:tc>
        <w:tc>
          <w:tcPr>
            <w:tcW w:w="218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20,776,556</w:t>
            </w:r>
          </w:p>
        </w:tc>
        <w:tc>
          <w:tcPr>
            <w:tcW w:w="100" w:type="dxa"/>
            <w:vAlign w:val="bottom"/>
            <w:tcBorders>
              <w:top w:val="single" w:sz="8" w:color="BDD7EE"/>
            </w:tcBorders>
            <w:shd w:val="clear" w:color="auto" w:fill="BDD7EE"/>
          </w:tcPr>
          <w:p>
            <w:pPr>
              <w:spacing w:after="0"/>
              <w:rPr>
                <w:sz w:val="13"/>
                <w:szCs w:val="13"/>
                <w:color w:val="auto"/>
              </w:rPr>
            </w:pPr>
          </w:p>
        </w:tc>
      </w:tr>
      <w:tr>
        <w:trPr>
          <w:trHeight w:val="182"/>
        </w:trPr>
        <w:tc>
          <w:tcPr>
            <w:tcW w:w="3200" w:type="dxa"/>
            <w:vAlign w:val="bottom"/>
            <w:gridSpan w:val="2"/>
          </w:tcPr>
          <w:p>
            <w:pPr>
              <w:ind w:left="380"/>
              <w:spacing w:after="0"/>
              <w:rPr>
                <w:sz w:val="20"/>
                <w:szCs w:val="20"/>
                <w:color w:val="auto"/>
              </w:rPr>
            </w:pPr>
            <w:r>
              <w:rPr>
                <w:rFonts w:ascii="Arial" w:cs="Arial" w:eastAsia="Arial" w:hAnsi="Arial"/>
                <w:sz w:val="14"/>
                <w:szCs w:val="14"/>
                <w:color w:val="auto"/>
              </w:rPr>
              <w:t>% of Shares Voted</w:t>
            </w:r>
          </w:p>
        </w:tc>
        <w:tc>
          <w:tcPr>
            <w:tcW w:w="2900" w:type="dxa"/>
            <w:vAlign w:val="bottom"/>
            <w:gridSpan w:val="2"/>
          </w:tcPr>
          <w:p>
            <w:pPr>
              <w:jc w:val="right"/>
              <w:ind w:right="560"/>
              <w:spacing w:after="0"/>
              <w:rPr>
                <w:sz w:val="20"/>
                <w:szCs w:val="20"/>
                <w:color w:val="auto"/>
              </w:rPr>
            </w:pPr>
            <w:r>
              <w:rPr>
                <w:rFonts w:ascii="Arial" w:cs="Arial" w:eastAsia="Arial" w:hAnsi="Arial"/>
                <w:sz w:val="14"/>
                <w:szCs w:val="14"/>
                <w:color w:val="auto"/>
              </w:rPr>
              <w:t>82.53%</w:t>
            </w:r>
          </w:p>
        </w:tc>
        <w:tc>
          <w:tcPr>
            <w:tcW w:w="2860" w:type="dxa"/>
            <w:vAlign w:val="bottom"/>
            <w:gridSpan w:val="2"/>
          </w:tcPr>
          <w:p>
            <w:pPr>
              <w:jc w:val="right"/>
              <w:ind w:right="520"/>
              <w:spacing w:after="0"/>
              <w:rPr>
                <w:sz w:val="20"/>
                <w:szCs w:val="20"/>
                <w:color w:val="auto"/>
              </w:rPr>
            </w:pPr>
            <w:r>
              <w:rPr>
                <w:rFonts w:ascii="Arial" w:cs="Arial" w:eastAsia="Arial" w:hAnsi="Arial"/>
                <w:sz w:val="14"/>
                <w:szCs w:val="14"/>
                <w:color w:val="auto"/>
              </w:rPr>
              <w:t>17.47%</w:t>
            </w:r>
          </w:p>
        </w:tc>
        <w:tc>
          <w:tcPr>
            <w:tcW w:w="228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Proposal 2. </w:t>
      </w:r>
      <w:r>
        <w:rPr>
          <w:rFonts w:ascii="Arial" w:cs="Arial" w:eastAsia="Arial" w:hAnsi="Arial"/>
          <w:sz w:val="13"/>
          <w:szCs w:val="13"/>
          <w:color w:val="auto"/>
        </w:rPr>
        <w:t>The Company’s stockholders ratified the selection of RSM US LLP to serve as the Company’s independent registered public accounting firm for the year ending September 30, 2019.</w:t>
      </w:r>
    </w:p>
    <w:p>
      <w:pPr>
        <w:spacing w:after="0" w:line="11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voting results as of February 5, 2019, as certified by the inspector of election, are set forth below:</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380" w:type="dxa"/>
            <w:vAlign w:val="bottom"/>
          </w:tcPr>
          <w:p>
            <w:pPr>
              <w:ind w:left="1000"/>
              <w:spacing w:after="0"/>
              <w:rPr>
                <w:sz w:val="20"/>
                <w:szCs w:val="20"/>
                <w:color w:val="auto"/>
              </w:rPr>
            </w:pPr>
            <w:r>
              <w:rPr>
                <w:rFonts w:ascii="Arial" w:cs="Arial" w:eastAsia="Arial" w:hAnsi="Arial"/>
                <w:sz w:val="14"/>
                <w:szCs w:val="14"/>
                <w:color w:val="auto"/>
              </w:rPr>
              <w:t>For</w:t>
            </w: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60" w:type="dxa"/>
            <w:vAlign w:val="bottom"/>
            <w:gridSpan w:val="2"/>
          </w:tcPr>
          <w:p>
            <w:pPr>
              <w:jc w:val="right"/>
              <w:ind w:right="1540"/>
              <w:spacing w:after="0"/>
              <w:rPr>
                <w:sz w:val="20"/>
                <w:szCs w:val="20"/>
                <w:color w:val="auto"/>
              </w:rPr>
            </w:pPr>
            <w:r>
              <w:rPr>
                <w:rFonts w:ascii="Arial" w:cs="Arial" w:eastAsia="Arial" w:hAnsi="Arial"/>
                <w:sz w:val="14"/>
                <w:szCs w:val="14"/>
                <w:color w:val="auto"/>
              </w:rPr>
              <w:t>Against</w:t>
            </w:r>
          </w:p>
        </w:tc>
        <w:tc>
          <w:tcPr>
            <w:tcW w:w="2340" w:type="dxa"/>
            <w:vAlign w:val="bottom"/>
            <w:gridSpan w:val="2"/>
          </w:tcPr>
          <w:p>
            <w:pPr>
              <w:jc w:val="right"/>
              <w:ind w:right="1020"/>
              <w:spacing w:after="0"/>
              <w:rPr>
                <w:sz w:val="20"/>
                <w:szCs w:val="20"/>
                <w:color w:val="auto"/>
              </w:rPr>
            </w:pPr>
            <w:r>
              <w:rPr>
                <w:rFonts w:ascii="Arial" w:cs="Arial" w:eastAsia="Arial" w:hAnsi="Arial"/>
                <w:sz w:val="14"/>
                <w:szCs w:val="14"/>
                <w:color w:val="auto"/>
              </w:rPr>
              <w:t>Abstain</w:t>
            </w:r>
          </w:p>
        </w:tc>
      </w:tr>
      <w:tr>
        <w:trPr>
          <w:trHeight w:val="155"/>
        </w:trPr>
        <w:tc>
          <w:tcPr>
            <w:tcW w:w="3200" w:type="dxa"/>
            <w:vAlign w:val="bottom"/>
            <w:tcBorders>
              <w:top w:val="single" w:sz="8" w:color="BDD7EE"/>
            </w:tcBorders>
            <w:shd w:val="clear" w:color="auto" w:fill="BDD7EE"/>
          </w:tcPr>
          <w:p>
            <w:pPr>
              <w:spacing w:after="0" w:line="155" w:lineRule="exact"/>
              <w:rPr>
                <w:sz w:val="20"/>
                <w:szCs w:val="20"/>
                <w:color w:val="auto"/>
              </w:rPr>
            </w:pPr>
            <w:r>
              <w:rPr>
                <w:rFonts w:ascii="Arial" w:cs="Arial" w:eastAsia="Arial" w:hAnsi="Arial"/>
                <w:sz w:val="14"/>
                <w:szCs w:val="14"/>
                <w:color w:val="auto"/>
              </w:rPr>
              <w:t>Shares Voted</w:t>
            </w:r>
          </w:p>
        </w:tc>
        <w:tc>
          <w:tcPr>
            <w:tcW w:w="1380" w:type="dxa"/>
            <w:vAlign w:val="bottom"/>
            <w:tcBorders>
              <w:top w:val="single" w:sz="8" w:color="auto"/>
            </w:tcBorders>
            <w:shd w:val="clear" w:color="auto" w:fill="BDD7EE"/>
          </w:tcPr>
          <w:p>
            <w:pPr>
              <w:spacing w:after="0"/>
              <w:rPr>
                <w:sz w:val="13"/>
                <w:szCs w:val="13"/>
                <w:color w:val="auto"/>
              </w:rPr>
            </w:pPr>
          </w:p>
        </w:tc>
        <w:tc>
          <w:tcPr>
            <w:tcW w:w="82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60,316,659</w:t>
            </w:r>
          </w:p>
        </w:tc>
        <w:tc>
          <w:tcPr>
            <w:tcW w:w="640" w:type="dxa"/>
            <w:vAlign w:val="bottom"/>
            <w:tcBorders>
              <w:top w:val="single" w:sz="8" w:color="BDD7EE"/>
            </w:tcBorders>
            <w:shd w:val="clear" w:color="auto" w:fill="BDD7EE"/>
          </w:tcPr>
          <w:p>
            <w:pPr>
              <w:spacing w:after="0"/>
              <w:rPr>
                <w:sz w:val="13"/>
                <w:szCs w:val="13"/>
                <w:color w:val="auto"/>
              </w:rPr>
            </w:pPr>
          </w:p>
        </w:tc>
        <w:tc>
          <w:tcPr>
            <w:tcW w:w="222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1,766,952</w:t>
            </w:r>
          </w:p>
        </w:tc>
        <w:tc>
          <w:tcPr>
            <w:tcW w:w="640" w:type="dxa"/>
            <w:vAlign w:val="bottom"/>
            <w:tcBorders>
              <w:top w:val="single" w:sz="8" w:color="BDD7EE"/>
            </w:tcBorders>
            <w:shd w:val="clear" w:color="auto" w:fill="BDD7EE"/>
          </w:tcPr>
          <w:p>
            <w:pPr>
              <w:spacing w:after="0"/>
              <w:rPr>
                <w:sz w:val="13"/>
                <w:szCs w:val="13"/>
                <w:color w:val="auto"/>
              </w:rPr>
            </w:pPr>
          </w:p>
        </w:tc>
        <w:tc>
          <w:tcPr>
            <w:tcW w:w="220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554,771</w:t>
            </w:r>
          </w:p>
        </w:tc>
        <w:tc>
          <w:tcPr>
            <w:tcW w:w="140" w:type="dxa"/>
            <w:vAlign w:val="bottom"/>
            <w:tcBorders>
              <w:top w:val="single" w:sz="8" w:color="BDD7EE"/>
            </w:tcBorders>
            <w:shd w:val="clear" w:color="auto" w:fill="BDD7EE"/>
          </w:tcPr>
          <w:p>
            <w:pPr>
              <w:spacing w:after="0"/>
              <w:rPr>
                <w:sz w:val="13"/>
                <w:szCs w:val="13"/>
                <w:color w:val="auto"/>
              </w:rPr>
            </w:pPr>
          </w:p>
        </w:tc>
      </w:tr>
      <w:tr>
        <w:trPr>
          <w:trHeight w:val="182"/>
        </w:trPr>
        <w:tc>
          <w:tcPr>
            <w:tcW w:w="4580" w:type="dxa"/>
            <w:vAlign w:val="bottom"/>
            <w:gridSpan w:val="2"/>
          </w:tcPr>
          <w:p>
            <w:pPr>
              <w:ind w:left="380"/>
              <w:spacing w:after="0"/>
              <w:rPr>
                <w:sz w:val="20"/>
                <w:szCs w:val="20"/>
                <w:color w:val="auto"/>
              </w:rPr>
            </w:pPr>
            <w:r>
              <w:rPr>
                <w:rFonts w:ascii="Arial" w:cs="Arial" w:eastAsia="Arial" w:hAnsi="Arial"/>
                <w:sz w:val="14"/>
                <w:szCs w:val="14"/>
                <w:color w:val="auto"/>
              </w:rPr>
              <w:t>% of Shares Voted</w:t>
            </w:r>
          </w:p>
        </w:tc>
        <w:tc>
          <w:tcPr>
            <w:tcW w:w="1460" w:type="dxa"/>
            <w:vAlign w:val="bottom"/>
            <w:gridSpan w:val="2"/>
          </w:tcPr>
          <w:p>
            <w:pPr>
              <w:jc w:val="right"/>
              <w:ind w:right="520"/>
              <w:spacing w:after="0"/>
              <w:rPr>
                <w:sz w:val="20"/>
                <w:szCs w:val="20"/>
                <w:color w:val="auto"/>
              </w:rPr>
            </w:pPr>
            <w:r>
              <w:rPr>
                <w:rFonts w:ascii="Arial" w:cs="Arial" w:eastAsia="Arial" w:hAnsi="Arial"/>
                <w:sz w:val="14"/>
                <w:szCs w:val="14"/>
                <w:color w:val="auto"/>
              </w:rPr>
              <w:t>96.30%</w:t>
            </w:r>
          </w:p>
        </w:tc>
        <w:tc>
          <w:tcPr>
            <w:tcW w:w="2860" w:type="dxa"/>
            <w:vAlign w:val="bottom"/>
            <w:gridSpan w:val="2"/>
          </w:tcPr>
          <w:p>
            <w:pPr>
              <w:jc w:val="right"/>
              <w:ind w:right="520"/>
              <w:spacing w:after="0"/>
              <w:rPr>
                <w:sz w:val="20"/>
                <w:szCs w:val="20"/>
                <w:color w:val="auto"/>
              </w:rPr>
            </w:pPr>
            <w:r>
              <w:rPr>
                <w:rFonts w:ascii="Arial" w:cs="Arial" w:eastAsia="Arial" w:hAnsi="Arial"/>
                <w:sz w:val="14"/>
                <w:szCs w:val="14"/>
                <w:color w:val="auto"/>
              </w:rPr>
              <w:t>2.82%</w:t>
            </w:r>
          </w:p>
        </w:tc>
        <w:tc>
          <w:tcPr>
            <w:tcW w:w="2340" w:type="dxa"/>
            <w:vAlign w:val="bottom"/>
            <w:gridSpan w:val="2"/>
          </w:tcPr>
          <w:p>
            <w:pPr>
              <w:jc w:val="right"/>
              <w:ind w:right="20"/>
              <w:spacing w:after="0"/>
              <w:rPr>
                <w:sz w:val="20"/>
                <w:szCs w:val="20"/>
                <w:color w:val="auto"/>
              </w:rPr>
            </w:pPr>
            <w:r>
              <w:rPr>
                <w:rFonts w:ascii="Arial" w:cs="Arial" w:eastAsia="Arial" w:hAnsi="Arial"/>
                <w:sz w:val="14"/>
                <w:szCs w:val="14"/>
                <w:color w:val="auto"/>
              </w:rPr>
              <w:t>0.88%</w:t>
            </w:r>
          </w:p>
        </w:tc>
      </w:tr>
    </w:tbl>
    <w:p>
      <w:pPr>
        <w:spacing w:after="0" w:line="281" w:lineRule="exact"/>
        <w:rPr>
          <w:sz w:val="20"/>
          <w:szCs w:val="20"/>
          <w:color w:val="auto"/>
        </w:rPr>
      </w:pPr>
    </w:p>
    <w:p>
      <w:pPr>
        <w:jc w:val="both"/>
        <w:ind w:right="60"/>
        <w:spacing w:after="0"/>
        <w:rPr>
          <w:sz w:val="20"/>
          <w:szCs w:val="20"/>
          <w:color w:val="auto"/>
        </w:rPr>
      </w:pPr>
      <w:r>
        <w:rPr>
          <w:rFonts w:ascii="Arial" w:cs="Arial" w:eastAsia="Arial" w:hAnsi="Arial"/>
          <w:sz w:val="14"/>
          <w:szCs w:val="14"/>
          <w:b w:val="1"/>
          <w:bCs w:val="1"/>
          <w:color w:val="auto"/>
        </w:rPr>
        <w:t xml:space="preserve">Proposal 3. </w:t>
      </w:r>
      <w:r>
        <w:rPr>
          <w:rFonts w:ascii="Arial" w:cs="Arial" w:eastAsia="Arial" w:hAnsi="Arial"/>
          <w:sz w:val="14"/>
          <w:szCs w:val="14"/>
          <w:color w:val="auto"/>
        </w:rPr>
        <w:t>The Company’s stockholders approved of the Company immediately becoming subject to a minimum asset coverage ratio of at least 150%, permitting the Company (without giving</w:t>
      </w:r>
      <w:r>
        <w:rPr>
          <w:rFonts w:ascii="Arial" w:cs="Arial" w:eastAsia="Arial" w:hAnsi="Arial"/>
          <w:sz w:val="14"/>
          <w:szCs w:val="14"/>
          <w:b w:val="1"/>
          <w:bCs w:val="1"/>
          <w:color w:val="auto"/>
        </w:rPr>
        <w:t xml:space="preserve"> </w:t>
      </w:r>
      <w:r>
        <w:rPr>
          <w:rFonts w:ascii="Arial" w:cs="Arial" w:eastAsia="Arial" w:hAnsi="Arial"/>
          <w:sz w:val="14"/>
          <w:szCs w:val="14"/>
          <w:color w:val="auto"/>
        </w:rPr>
        <w:t>effect to any exemptive relief with respect to Small Business Administration debentures) to double its amount of debt incurrence earlier than the effective date of November 13, 2019, pursuant to the Small Business Credit Availability Act.</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The voting results as of February 5, 2019, as certified by the inspector of election, are set forth below:</w:t>
      </w:r>
    </w:p>
    <w:tbl>
      <w:tblPr>
        <w:tblLayout w:type="fixed"/>
        <w:tblInd w:w="0" w:type="dxa"/>
        <w:tblCellMar>
          <w:top w:w="0" w:type="dxa"/>
          <w:left w:w="0" w:type="dxa"/>
          <w:bottom w:w="0" w:type="dxa"/>
          <w:right w:w="0" w:type="dxa"/>
        </w:tblCellMar>
      </w:tblPr>
      <w:tr>
        <w:trPr>
          <w:trHeight w:val="169"/>
        </w:trPr>
        <w:tc>
          <w:tcPr>
            <w:tcW w:w="10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380" w:type="dxa"/>
            <w:vAlign w:val="bottom"/>
            <w:gridSpan w:val="2"/>
          </w:tcPr>
          <w:p>
            <w:pPr>
              <w:jc w:val="right"/>
              <w:ind w:right="1440"/>
              <w:spacing w:after="0"/>
              <w:rPr>
                <w:sz w:val="20"/>
                <w:szCs w:val="20"/>
                <w:color w:val="auto"/>
              </w:rPr>
            </w:pPr>
            <w:r>
              <w:rPr>
                <w:rFonts w:ascii="Arial" w:cs="Arial" w:eastAsia="Arial" w:hAnsi="Arial"/>
                <w:sz w:val="14"/>
                <w:szCs w:val="14"/>
                <w:color w:val="auto"/>
              </w:rPr>
              <w:t>For</w:t>
            </w:r>
          </w:p>
        </w:tc>
        <w:tc>
          <w:tcPr>
            <w:tcW w:w="2100" w:type="dxa"/>
            <w:vAlign w:val="bottom"/>
            <w:gridSpan w:val="2"/>
          </w:tcPr>
          <w:p>
            <w:pPr>
              <w:jc w:val="right"/>
              <w:ind w:right="1120"/>
              <w:spacing w:after="0"/>
              <w:rPr>
                <w:sz w:val="20"/>
                <w:szCs w:val="20"/>
                <w:color w:val="auto"/>
              </w:rPr>
            </w:pPr>
            <w:r>
              <w:rPr>
                <w:rFonts w:ascii="Arial" w:cs="Arial" w:eastAsia="Arial" w:hAnsi="Arial"/>
                <w:sz w:val="14"/>
                <w:szCs w:val="14"/>
                <w:color w:val="auto"/>
              </w:rPr>
              <w:t>Against</w:t>
            </w:r>
          </w:p>
        </w:tc>
        <w:tc>
          <w:tcPr>
            <w:tcW w:w="1980" w:type="dxa"/>
            <w:vAlign w:val="bottom"/>
            <w:gridSpan w:val="2"/>
          </w:tcPr>
          <w:p>
            <w:pPr>
              <w:jc w:val="right"/>
              <w:ind w:right="900"/>
              <w:spacing w:after="0"/>
              <w:rPr>
                <w:sz w:val="20"/>
                <w:szCs w:val="20"/>
                <w:color w:val="auto"/>
              </w:rPr>
            </w:pPr>
            <w:r>
              <w:rPr>
                <w:rFonts w:ascii="Arial" w:cs="Arial" w:eastAsia="Arial" w:hAnsi="Arial"/>
                <w:sz w:val="14"/>
                <w:szCs w:val="14"/>
                <w:color w:val="auto"/>
              </w:rPr>
              <w:t>Abstain</w:t>
            </w:r>
          </w:p>
        </w:tc>
        <w:tc>
          <w:tcPr>
            <w:tcW w:w="2300" w:type="dxa"/>
            <w:vAlign w:val="bottom"/>
            <w:gridSpan w:val="2"/>
          </w:tcPr>
          <w:p>
            <w:pPr>
              <w:ind w:left="560"/>
              <w:spacing w:after="0"/>
              <w:rPr>
                <w:sz w:val="20"/>
                <w:szCs w:val="20"/>
                <w:color w:val="auto"/>
              </w:rPr>
            </w:pPr>
            <w:r>
              <w:rPr>
                <w:rFonts w:ascii="Arial" w:cs="Arial" w:eastAsia="Arial" w:hAnsi="Arial"/>
                <w:sz w:val="14"/>
                <w:szCs w:val="14"/>
                <w:color w:val="auto"/>
              </w:rPr>
              <w:t>Broker NonVotes</w:t>
            </w:r>
          </w:p>
        </w:tc>
      </w:tr>
      <w:tr>
        <w:trPr>
          <w:trHeight w:val="156"/>
        </w:trPr>
        <w:tc>
          <w:tcPr>
            <w:tcW w:w="1080" w:type="dxa"/>
            <w:vAlign w:val="bottom"/>
            <w:tcBorders>
              <w:top w:val="single" w:sz="8" w:color="BDD7EE"/>
            </w:tcBorders>
            <w:shd w:val="clear" w:color="auto" w:fill="BDD7EE"/>
          </w:tcPr>
          <w:p>
            <w:pPr>
              <w:spacing w:after="0" w:line="155" w:lineRule="exact"/>
              <w:rPr>
                <w:sz w:val="20"/>
                <w:szCs w:val="20"/>
                <w:color w:val="auto"/>
              </w:rPr>
            </w:pPr>
            <w:r>
              <w:rPr>
                <w:rFonts w:ascii="Arial" w:cs="Arial" w:eastAsia="Arial" w:hAnsi="Arial"/>
                <w:sz w:val="14"/>
                <w:szCs w:val="14"/>
                <w:color w:val="auto"/>
              </w:rPr>
              <w:t>Shares Voted</w:t>
            </w:r>
          </w:p>
        </w:tc>
        <w:tc>
          <w:tcPr>
            <w:tcW w:w="1400" w:type="dxa"/>
            <w:vAlign w:val="bottom"/>
            <w:tcBorders>
              <w:top w:val="single" w:sz="8" w:color="BDD7EE"/>
            </w:tcBorders>
            <w:shd w:val="clear" w:color="auto" w:fill="BDD7EE"/>
          </w:tcPr>
          <w:p>
            <w:pPr>
              <w:spacing w:after="0"/>
              <w:rPr>
                <w:sz w:val="13"/>
                <w:szCs w:val="13"/>
                <w:color w:val="auto"/>
              </w:rPr>
            </w:pPr>
          </w:p>
        </w:tc>
        <w:tc>
          <w:tcPr>
            <w:tcW w:w="172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37,977,131</w:t>
            </w:r>
          </w:p>
        </w:tc>
        <w:tc>
          <w:tcPr>
            <w:tcW w:w="660" w:type="dxa"/>
            <w:vAlign w:val="bottom"/>
            <w:tcBorders>
              <w:top w:val="single" w:sz="8" w:color="BDD7EE"/>
            </w:tcBorders>
            <w:shd w:val="clear" w:color="auto" w:fill="BDD7EE"/>
          </w:tcPr>
          <w:p>
            <w:pPr>
              <w:spacing w:after="0"/>
              <w:rPr>
                <w:sz w:val="13"/>
                <w:szCs w:val="13"/>
                <w:color w:val="auto"/>
              </w:rPr>
            </w:pPr>
          </w:p>
        </w:tc>
        <w:tc>
          <w:tcPr>
            <w:tcW w:w="152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2,608,094</w:t>
            </w:r>
          </w:p>
        </w:tc>
        <w:tc>
          <w:tcPr>
            <w:tcW w:w="580" w:type="dxa"/>
            <w:vAlign w:val="bottom"/>
            <w:tcBorders>
              <w:top w:val="single" w:sz="8" w:color="BDD7EE"/>
            </w:tcBorders>
            <w:shd w:val="clear" w:color="auto" w:fill="BDD7EE"/>
          </w:tcPr>
          <w:p>
            <w:pPr>
              <w:spacing w:after="0"/>
              <w:rPr>
                <w:sz w:val="13"/>
                <w:szCs w:val="13"/>
                <w:color w:val="auto"/>
              </w:rPr>
            </w:pPr>
          </w:p>
        </w:tc>
        <w:tc>
          <w:tcPr>
            <w:tcW w:w="172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1,276,601</w:t>
            </w:r>
          </w:p>
        </w:tc>
        <w:tc>
          <w:tcPr>
            <w:tcW w:w="260" w:type="dxa"/>
            <w:vAlign w:val="bottom"/>
            <w:tcBorders>
              <w:top w:val="single" w:sz="8" w:color="BDD7EE"/>
            </w:tcBorders>
            <w:shd w:val="clear" w:color="auto" w:fill="BDD7EE"/>
          </w:tcPr>
          <w:p>
            <w:pPr>
              <w:spacing w:after="0"/>
              <w:rPr>
                <w:sz w:val="13"/>
                <w:szCs w:val="13"/>
                <w:color w:val="auto"/>
              </w:rPr>
            </w:pPr>
          </w:p>
        </w:tc>
        <w:tc>
          <w:tcPr>
            <w:tcW w:w="212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20,776,556</w:t>
            </w:r>
          </w:p>
        </w:tc>
        <w:tc>
          <w:tcPr>
            <w:tcW w:w="180" w:type="dxa"/>
            <w:vAlign w:val="bottom"/>
            <w:tcBorders>
              <w:top w:val="single" w:sz="8" w:color="BDD7EE"/>
            </w:tcBorders>
            <w:shd w:val="clear" w:color="auto" w:fill="BDD7EE"/>
          </w:tcPr>
          <w:p>
            <w:pPr>
              <w:spacing w:after="0"/>
              <w:rPr>
                <w:sz w:val="13"/>
                <w:szCs w:val="13"/>
                <w:color w:val="auto"/>
              </w:rPr>
            </w:pPr>
          </w:p>
        </w:tc>
      </w:tr>
      <w:tr>
        <w:trPr>
          <w:trHeight w:val="182"/>
        </w:trPr>
        <w:tc>
          <w:tcPr>
            <w:tcW w:w="2480" w:type="dxa"/>
            <w:vAlign w:val="bottom"/>
            <w:gridSpan w:val="2"/>
          </w:tcPr>
          <w:p>
            <w:pPr>
              <w:ind w:left="380"/>
              <w:spacing w:after="0"/>
              <w:rPr>
                <w:sz w:val="20"/>
                <w:szCs w:val="20"/>
                <w:color w:val="auto"/>
              </w:rPr>
            </w:pPr>
            <w:r>
              <w:rPr>
                <w:rFonts w:ascii="Arial" w:cs="Arial" w:eastAsia="Arial" w:hAnsi="Arial"/>
                <w:sz w:val="14"/>
                <w:szCs w:val="14"/>
                <w:color w:val="auto"/>
              </w:rPr>
              <w:t>% of Shares Voted</w:t>
            </w:r>
          </w:p>
        </w:tc>
        <w:tc>
          <w:tcPr>
            <w:tcW w:w="2380" w:type="dxa"/>
            <w:vAlign w:val="bottom"/>
            <w:gridSpan w:val="2"/>
          </w:tcPr>
          <w:p>
            <w:pPr>
              <w:jc w:val="right"/>
              <w:ind w:right="540"/>
              <w:spacing w:after="0"/>
              <w:rPr>
                <w:sz w:val="20"/>
                <w:szCs w:val="20"/>
                <w:color w:val="auto"/>
              </w:rPr>
            </w:pPr>
            <w:r>
              <w:rPr>
                <w:rFonts w:ascii="Arial" w:cs="Arial" w:eastAsia="Arial" w:hAnsi="Arial"/>
                <w:sz w:val="14"/>
                <w:szCs w:val="14"/>
                <w:color w:val="auto"/>
              </w:rPr>
              <w:t>90.72%</w:t>
            </w:r>
          </w:p>
        </w:tc>
        <w:tc>
          <w:tcPr>
            <w:tcW w:w="2100" w:type="dxa"/>
            <w:vAlign w:val="bottom"/>
            <w:gridSpan w:val="2"/>
          </w:tcPr>
          <w:p>
            <w:pPr>
              <w:jc w:val="right"/>
              <w:ind w:right="460"/>
              <w:spacing w:after="0"/>
              <w:rPr>
                <w:sz w:val="20"/>
                <w:szCs w:val="20"/>
                <w:color w:val="auto"/>
              </w:rPr>
            </w:pPr>
            <w:r>
              <w:rPr>
                <w:rFonts w:ascii="Arial" w:cs="Arial" w:eastAsia="Arial" w:hAnsi="Arial"/>
                <w:sz w:val="14"/>
                <w:szCs w:val="14"/>
                <w:color w:val="auto"/>
              </w:rPr>
              <w:t>6.23%</w:t>
            </w:r>
          </w:p>
        </w:tc>
        <w:tc>
          <w:tcPr>
            <w:tcW w:w="1980" w:type="dxa"/>
            <w:vAlign w:val="bottom"/>
            <w:gridSpan w:val="2"/>
          </w:tcPr>
          <w:p>
            <w:pPr>
              <w:jc w:val="right"/>
              <w:ind w:right="140"/>
              <w:spacing w:after="0"/>
              <w:rPr>
                <w:sz w:val="20"/>
                <w:szCs w:val="20"/>
                <w:color w:val="auto"/>
              </w:rPr>
            </w:pPr>
            <w:r>
              <w:rPr>
                <w:rFonts w:ascii="Arial" w:cs="Arial" w:eastAsia="Arial" w:hAnsi="Arial"/>
                <w:sz w:val="14"/>
                <w:szCs w:val="14"/>
                <w:color w:val="auto"/>
              </w:rPr>
              <w:t>3.05%</w:t>
            </w:r>
          </w:p>
        </w:tc>
        <w:tc>
          <w:tcPr>
            <w:tcW w:w="2300" w:type="dxa"/>
            <w:vAlign w:val="bottom"/>
            <w:gridSpan w:val="2"/>
          </w:tcPr>
          <w:p>
            <w:pPr>
              <w:jc w:val="right"/>
              <w:ind w:right="180"/>
              <w:spacing w:after="0"/>
              <w:rPr>
                <w:sz w:val="20"/>
                <w:szCs w:val="20"/>
                <w:color w:val="auto"/>
              </w:rPr>
            </w:pPr>
            <w:r>
              <w:rPr>
                <w:rFonts w:ascii="Arial" w:cs="Arial" w:eastAsia="Arial" w:hAnsi="Arial"/>
                <w:sz w:val="14"/>
                <w:szCs w:val="14"/>
                <w:color w:val="auto"/>
              </w:rPr>
              <w:t>N/A</w:t>
            </w:r>
          </w:p>
        </w:tc>
      </w:tr>
      <w:tr>
        <w:trPr>
          <w:trHeight w:val="481"/>
        </w:trPr>
        <w:tc>
          <w:tcPr>
            <w:tcW w:w="1080" w:type="dxa"/>
            <w:vAlign w:val="bottom"/>
          </w:tcPr>
          <w:p>
            <w:pPr>
              <w:spacing w:after="0"/>
              <w:rPr>
                <w:sz w:val="20"/>
                <w:szCs w:val="20"/>
                <w:color w:val="auto"/>
              </w:rPr>
            </w:pPr>
            <w:r>
              <w:rPr>
                <w:rFonts w:ascii="Arial" w:cs="Arial" w:eastAsia="Arial" w:hAnsi="Arial"/>
                <w:sz w:val="14"/>
                <w:szCs w:val="14"/>
                <w:b w:val="1"/>
                <w:bCs w:val="1"/>
                <w:color w:val="auto"/>
              </w:rPr>
              <w:t>Item 8.01</w:t>
            </w:r>
          </w:p>
        </w:tc>
        <w:tc>
          <w:tcPr>
            <w:tcW w:w="1400" w:type="dxa"/>
            <w:vAlign w:val="bottom"/>
          </w:tcPr>
          <w:p>
            <w:pPr>
              <w:ind w:left="340"/>
              <w:spacing w:after="0"/>
              <w:rPr>
                <w:sz w:val="20"/>
                <w:szCs w:val="20"/>
                <w:color w:val="auto"/>
              </w:rPr>
            </w:pPr>
            <w:r>
              <w:rPr>
                <w:rFonts w:ascii="Arial" w:cs="Arial" w:eastAsia="Arial" w:hAnsi="Arial"/>
                <w:sz w:val="14"/>
                <w:szCs w:val="14"/>
                <w:b w:val="1"/>
                <w:bCs w:val="1"/>
                <w:color w:val="auto"/>
              </w:rPr>
              <w:t>Other Events</w:t>
            </w:r>
          </w:p>
        </w:tc>
        <w:tc>
          <w:tcPr>
            <w:tcW w:w="1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101" w:lineRule="exact"/>
        <w:rPr>
          <w:sz w:val="20"/>
          <w:szCs w:val="20"/>
          <w:color w:val="auto"/>
        </w:rPr>
      </w:pPr>
    </w:p>
    <w:p>
      <w:pPr>
        <w:ind w:right="1560"/>
        <w:spacing w:after="0" w:line="255" w:lineRule="auto"/>
        <w:rPr>
          <w:sz w:val="20"/>
          <w:szCs w:val="20"/>
          <w:color w:val="auto"/>
        </w:rPr>
      </w:pPr>
      <w:r>
        <w:rPr>
          <w:rFonts w:ascii="Arial" w:cs="Arial" w:eastAsia="Arial" w:hAnsi="Arial"/>
          <w:sz w:val="13"/>
          <w:szCs w:val="13"/>
          <w:color w:val="auto"/>
        </w:rPr>
        <w:t>The Company previously announced that its board of directors, including a “required majority” (as defined in Section 57(o) of the Investment Company Act of 1940, as amended (the “1940 Act”)), approved the application to the Company of the 150% minimum asset coverage ratio set forth in Section 61(a)(2) of the 1940 Act, which would have become effective November 13, 2019. However, as a result of the Company’s stockholder approval at the Annual Meeting, effective February 6, 2019, the asset coverage ratio under the 1940 Act applicable to the Company has been decreased from 200% to 150%, permitting the Company to incur additional leverage.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114300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t>SIGNATURE</w:t>
      </w:r>
    </w:p>
    <w:p>
      <w:pPr>
        <w:spacing w:after="0" w:line="154" w:lineRule="exact"/>
        <w:rPr>
          <w:sz w:val="20"/>
          <w:szCs w:val="20"/>
          <w:color w:val="auto"/>
        </w:rPr>
      </w:pPr>
    </w:p>
    <w:p>
      <w:pPr>
        <w:ind w:firstLine="481"/>
        <w:spacing w:after="0" w:line="253" w:lineRule="auto"/>
        <w:rPr>
          <w:sz w:val="20"/>
          <w:szCs w:val="20"/>
          <w:color w:val="auto"/>
        </w:rPr>
      </w:pPr>
      <w:r>
        <w:rPr>
          <w:rFonts w:ascii="Arial" w:cs="Arial" w:eastAsia="Arial" w:hAnsi="Arial"/>
          <w:sz w:val="14"/>
          <w:szCs w:val="14"/>
          <w:color w:val="auto"/>
        </w:rPr>
        <w:t>Pursuant to the requirements of the Securities Exchange Act of 1934, as amended, the Registrant has duly caused this report to be signed on its behalf by the undersigned hereunto duly authorized.</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4"/>
              </w:rPr>
              <w:t>PennantPark Investment Corporation</w:t>
            </w:r>
          </w:p>
        </w:tc>
        <w:tc>
          <w:tcPr>
            <w:tcW w:w="0" w:type="dxa"/>
            <w:vAlign w:val="bottom"/>
          </w:tcPr>
          <w:p>
            <w:pPr>
              <w:spacing w:after="0"/>
              <w:rPr>
                <w:sz w:val="1"/>
                <w:szCs w:val="1"/>
                <w:color w:val="auto"/>
              </w:rPr>
            </w:pPr>
          </w:p>
        </w:tc>
      </w:tr>
      <w:tr>
        <w:trPr>
          <w:trHeight w:val="297"/>
        </w:trPr>
        <w:tc>
          <w:tcPr>
            <w:tcW w:w="5280" w:type="dxa"/>
            <w:vAlign w:val="bottom"/>
          </w:tcPr>
          <w:p>
            <w:pPr>
              <w:spacing w:after="0"/>
              <w:rPr>
                <w:sz w:val="20"/>
                <w:szCs w:val="20"/>
                <w:color w:val="auto"/>
              </w:rPr>
            </w:pPr>
            <w:r>
              <w:rPr>
                <w:rFonts w:ascii="Arial" w:cs="Arial" w:eastAsia="Arial" w:hAnsi="Arial"/>
                <w:sz w:val="14"/>
                <w:szCs w:val="14"/>
                <w:color w:val="auto"/>
              </w:rPr>
              <w:t>Date: February 8, 2019</w:t>
            </w:r>
          </w:p>
        </w:tc>
        <w:tc>
          <w:tcPr>
            <w:tcW w:w="4460" w:type="dxa"/>
            <w:vAlign w:val="bottom"/>
            <w:vMerge w:val="restart"/>
          </w:tcPr>
          <w:p>
            <w:pPr>
              <w:jc w:val="center"/>
              <w:spacing w:after="0"/>
              <w:rPr>
                <w:sz w:val="20"/>
                <w:szCs w:val="20"/>
                <w:color w:val="auto"/>
              </w:rPr>
            </w:pPr>
            <w:r>
              <w:rPr>
                <w:rFonts w:ascii="Arial" w:cs="Arial" w:eastAsia="Arial" w:hAnsi="Arial"/>
                <w:sz w:val="14"/>
                <w:szCs w:val="14"/>
                <w:color w:val="auto"/>
                <w:w w:val="97"/>
              </w:rPr>
              <w:t>/s/ AVIV EFRAT</w:t>
            </w:r>
          </w:p>
        </w:tc>
        <w:tc>
          <w:tcPr>
            <w:tcW w:w="0" w:type="dxa"/>
            <w:vAlign w:val="bottom"/>
          </w:tcPr>
          <w:p>
            <w:pPr>
              <w:spacing w:after="0"/>
              <w:rPr>
                <w:sz w:val="1"/>
                <w:szCs w:val="1"/>
                <w:color w:val="auto"/>
              </w:rPr>
            </w:pPr>
          </w:p>
        </w:tc>
      </w:tr>
      <w:tr>
        <w:trPr>
          <w:trHeight w:val="58"/>
        </w:trPr>
        <w:tc>
          <w:tcPr>
            <w:tcW w:w="5280" w:type="dxa"/>
            <w:vAlign w:val="bottom"/>
          </w:tcPr>
          <w:p>
            <w:pPr>
              <w:spacing w:after="0"/>
              <w:rPr>
                <w:sz w:val="4"/>
                <w:szCs w:val="4"/>
                <w:color w:val="auto"/>
              </w:rPr>
            </w:pPr>
          </w:p>
        </w:tc>
        <w:tc>
          <w:tcPr>
            <w:tcW w:w="44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5280" w:type="dxa"/>
            <w:vAlign w:val="bottom"/>
          </w:tcPr>
          <w:p>
            <w:pPr>
              <w:spacing w:after="0"/>
              <w:rPr>
                <w:sz w:val="18"/>
                <w:szCs w:val="18"/>
                <w:color w:val="auto"/>
              </w:rPr>
            </w:pPr>
          </w:p>
        </w:tc>
        <w:tc>
          <w:tcPr>
            <w:tcW w:w="4460" w:type="dxa"/>
            <w:vAlign w:val="bottom"/>
          </w:tcPr>
          <w:p>
            <w:pPr>
              <w:jc w:val="center"/>
              <w:spacing w:after="0"/>
              <w:rPr>
                <w:sz w:val="20"/>
                <w:szCs w:val="20"/>
                <w:color w:val="auto"/>
              </w:rPr>
            </w:pPr>
            <w:r>
              <w:rPr>
                <w:rFonts w:ascii="Arial" w:cs="Arial" w:eastAsia="Arial" w:hAnsi="Arial"/>
                <w:sz w:val="14"/>
                <w:szCs w:val="14"/>
                <w:color w:val="auto"/>
              </w:rPr>
              <w:t>Aviv Efrat</w:t>
            </w:r>
          </w:p>
        </w:tc>
        <w:tc>
          <w:tcPr>
            <w:tcW w:w="0" w:type="dxa"/>
            <w:vAlign w:val="bottom"/>
          </w:tcPr>
          <w:p>
            <w:pPr>
              <w:spacing w:after="0"/>
              <w:rPr>
                <w:sz w:val="1"/>
                <w:szCs w:val="1"/>
                <w:color w:val="auto"/>
              </w:rPr>
            </w:pPr>
          </w:p>
        </w:tc>
      </w:tr>
      <w:tr>
        <w:trPr>
          <w:trHeight w:val="182"/>
        </w:trPr>
        <w:tc>
          <w:tcPr>
            <w:tcW w:w="5280" w:type="dxa"/>
            <w:vAlign w:val="bottom"/>
          </w:tcPr>
          <w:p>
            <w:pPr>
              <w:spacing w:after="0"/>
              <w:rPr>
                <w:sz w:val="15"/>
                <w:szCs w:val="15"/>
                <w:color w:val="auto"/>
              </w:rPr>
            </w:pPr>
          </w:p>
        </w:tc>
        <w:tc>
          <w:tcPr>
            <w:tcW w:w="4460" w:type="dxa"/>
            <w:vAlign w:val="bottom"/>
          </w:tcPr>
          <w:p>
            <w:pPr>
              <w:jc w:val="center"/>
              <w:spacing w:after="0"/>
              <w:rPr>
                <w:sz w:val="20"/>
                <w:szCs w:val="20"/>
                <w:color w:val="auto"/>
              </w:rPr>
            </w:pPr>
            <w:r>
              <w:rPr>
                <w:rFonts w:ascii="Arial" w:cs="Arial" w:eastAsia="Arial" w:hAnsi="Arial"/>
                <w:sz w:val="14"/>
                <w:szCs w:val="14"/>
                <w:color w:val="auto"/>
                <w:w w:val="95"/>
              </w:rPr>
              <w:t>Chief Financial Officer &amp; Treasurer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60"/>
      </w:cols>
      <w:pgMar w:left="320" w:top="22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2020-05-05T15:17:56Z</dcterms:created>
  <dcterms:modified xsi:type="dcterms:W3CDTF">2020-05-05T15:17:56Z</dcterms:modified>
</cp:coreProperties>
</file>