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08,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
        <w:spacing w:after="0" w:line="250" w:lineRule="auto"/>
        <w:rPr>
          <w:sz w:val="20"/>
          <w:szCs w:val="20"/>
          <w:color w:val="auto"/>
        </w:rPr>
      </w:pPr>
      <w:r>
        <w:rPr>
          <w:rFonts w:ascii="Arial" w:cs="Arial" w:eastAsia="Arial" w:hAnsi="Arial"/>
          <w:sz w:val="22"/>
          <w:szCs w:val="22"/>
          <w:color w:val="auto"/>
        </w:rPr>
        <w:t>On September 8, 2008, PennantPark Investment Corporation issued a press release announcing the declaration of its fourth fiscal quarter distribution. A copy of the press release is furnished as Exhibit 99.1 to this form 8-K.</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200" w:lineRule="exact"/>
        <w:rPr>
          <w:sz w:val="24"/>
          <w:szCs w:val="24"/>
          <w:color w:val="auto"/>
        </w:rPr>
      </w:pPr>
    </w:p>
    <w:p>
      <w:pPr>
        <w:spacing w:after="0" w:line="23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08,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144145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640" w:type="dxa"/>
            <w:vAlign w:val="bottom"/>
          </w:tcPr>
          <w:p>
            <w:pPr>
              <w:spacing w:after="0"/>
              <w:rPr>
                <w:sz w:val="20"/>
                <w:szCs w:val="20"/>
                <w:color w:val="auto"/>
              </w:rPr>
            </w:pPr>
            <w:r>
              <w:rPr>
                <w:rFonts w:ascii="Arial" w:cs="Arial" w:eastAsia="Arial" w:hAnsi="Arial"/>
                <w:sz w:val="22"/>
                <w:szCs w:val="22"/>
                <w:color w:val="auto"/>
              </w:rPr>
              <w:t>Dated: September 08, 2008</w:t>
            </w:r>
          </w:p>
        </w:tc>
        <w:tc>
          <w:tcPr>
            <w:tcW w:w="6080" w:type="dxa"/>
            <w:vAlign w:val="bottom"/>
            <w:gridSpan w:val="3"/>
          </w:tcPr>
          <w:p>
            <w:pPr>
              <w:ind w:left="12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640" w:type="dxa"/>
            <w:vAlign w:val="bottom"/>
          </w:tcPr>
          <w:p>
            <w:pPr>
              <w:spacing w:after="0"/>
              <w:rPr>
                <w:sz w:val="24"/>
                <w:szCs w:val="24"/>
                <w:color w:val="auto"/>
              </w:rPr>
            </w:pPr>
          </w:p>
        </w:tc>
        <w:tc>
          <w:tcPr>
            <w:tcW w:w="6080" w:type="dxa"/>
            <w:vAlign w:val="bottom"/>
            <w:gridSpan w:val="3"/>
          </w:tcPr>
          <w:p>
            <w:pPr>
              <w:ind w:left="1260"/>
              <w:spacing w:after="0"/>
              <w:rPr>
                <w:sz w:val="20"/>
                <w:szCs w:val="20"/>
                <w:color w:val="auto"/>
              </w:rPr>
            </w:pPr>
            <w:r>
              <w:rPr>
                <w:rFonts w:ascii="Arial" w:cs="Arial" w:eastAsia="Arial" w:hAnsi="Arial"/>
                <w:sz w:val="22"/>
                <w:szCs w:val="22"/>
                <w:color w:val="auto"/>
              </w:rPr>
              <w:t>By: /s/ Aviv Efrat</w:t>
            </w:r>
          </w:p>
        </w:tc>
      </w:tr>
      <w:tr>
        <w:trPr>
          <w:trHeight w:val="20"/>
        </w:trPr>
        <w:tc>
          <w:tcPr>
            <w:tcW w:w="3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640" w:type="dxa"/>
            <w:vAlign w:val="bottom"/>
          </w:tcPr>
          <w:p>
            <w:pPr>
              <w:spacing w:after="0"/>
              <w:rPr>
                <w:sz w:val="21"/>
                <w:szCs w:val="21"/>
                <w:color w:val="auto"/>
              </w:rPr>
            </w:pPr>
          </w:p>
        </w:tc>
        <w:tc>
          <w:tcPr>
            <w:tcW w:w="6080" w:type="dxa"/>
            <w:vAlign w:val="bottom"/>
            <w:gridSpan w:val="3"/>
          </w:tcPr>
          <w:p>
            <w:pPr>
              <w:ind w:left="15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640" w:type="dxa"/>
            <w:vAlign w:val="bottom"/>
          </w:tcPr>
          <w:p>
            <w:pPr>
              <w:spacing w:after="0"/>
              <w:rPr>
                <w:sz w:val="23"/>
                <w:szCs w:val="23"/>
                <w:color w:val="auto"/>
              </w:rPr>
            </w:pPr>
          </w:p>
        </w:tc>
        <w:tc>
          <w:tcPr>
            <w:tcW w:w="6080" w:type="dxa"/>
            <w:vAlign w:val="bottom"/>
            <w:gridSpan w:val="3"/>
          </w:tcPr>
          <w:p>
            <w:pPr>
              <w:ind w:left="15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September 08, 2008</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39" w:right="559" w:bottom="1440" w:gutter="0" w:footer="0" w:header="0"/>
        </w:sectPr>
      </w:pPr>
    </w:p>
    <w:bookmarkStart w:id="2" w:name="page3"/>
    <w:bookmarkEnd w:id="2"/>
    <w:p>
      <w:pPr>
        <w:jc w:val="center"/>
        <w:spacing w:after="0" w:line="399" w:lineRule="auto"/>
        <w:rPr>
          <w:sz w:val="20"/>
          <w:szCs w:val="20"/>
          <w:color w:val="auto"/>
        </w:rPr>
      </w:pPr>
      <w:r>
        <w:rPr>
          <w:rFonts w:ascii="Arial" w:cs="Arial" w:eastAsia="Arial" w:hAnsi="Arial"/>
          <w:sz w:val="19"/>
          <w:szCs w:val="19"/>
          <w:b w:val="1"/>
          <w:bCs w:val="1"/>
          <w:color w:val="auto"/>
        </w:rPr>
        <w:t xml:space="preserve">PennantPark Investment Corporation Announces an Increase of Its Quarterly Distribution to $0.24 per Share </w:t>
      </w:r>
      <w:r>
        <w:rPr>
          <w:rFonts w:ascii="Arial" w:cs="Arial" w:eastAsia="Arial" w:hAnsi="Arial"/>
          <w:sz w:val="19"/>
          <w:szCs w:val="19"/>
          <w:color w:val="auto"/>
        </w:rPr>
        <w:t>NEW YORK, NY -- 09/08/2008 -- PennantPark Investment Corporation (the "Company") (NASDAQ: PNNT) declares an</w:t>
      </w:r>
    </w:p>
    <w:p>
      <w:pPr>
        <w:jc w:val="center"/>
        <w:ind w:left="360"/>
        <w:spacing w:after="0" w:line="233" w:lineRule="auto"/>
        <w:rPr>
          <w:sz w:val="20"/>
          <w:szCs w:val="20"/>
          <w:color w:val="auto"/>
        </w:rPr>
      </w:pPr>
      <w:r>
        <w:rPr>
          <w:rFonts w:ascii="Arial" w:cs="Arial" w:eastAsia="Arial" w:hAnsi="Arial"/>
          <w:sz w:val="22"/>
          <w:szCs w:val="22"/>
          <w:color w:val="auto"/>
        </w:rPr>
        <w:t>increase of its fourth fiscal quarter 2008 distribution to $0.24 per share, payable on October 1, 2008 to stockholders of record as of September 24, 2008. Distributions may be paid from taxable earnings and from other sources, including return of capital, whose specific tax characteristics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For More Information 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spacing w:after="0" w:line="237" w:lineRule="auto"/>
        <w:rPr>
          <w:sz w:val="20"/>
          <w:szCs w:val="20"/>
          <w:color w:val="auto"/>
        </w:rPr>
      </w:pPr>
      <w:r>
        <w:rPr>
          <w:rFonts w:ascii="Courier New" w:cs="Courier New" w:eastAsia="Courier New" w:hAnsi="Courier New"/>
          <w:sz w:val="18"/>
          <w:szCs w:val="18"/>
          <w:color w:val="auto"/>
        </w:rPr>
        <w:t>Or visit us on the web at: www.pennantpark.com</w:t>
      </w:r>
    </w:p>
    <w:sectPr>
      <w:pgSz w:w="11900" w:h="16838" w:orient="portrait"/>
      <w:cols w:equalWidth="0" w:num="1">
        <w:col w:w="11200"/>
      </w:cols>
      <w:pgMar w:left="34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2020-05-05T15:06:44Z</dcterms:created>
  <dcterms:modified xsi:type="dcterms:W3CDTF">2020-05-05T15:06:44Z</dcterms:modified>
</cp:coreProperties>
</file>