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December 02, 2014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900"/>
        <w:spacing w:after="0" w:line="250" w:lineRule="auto"/>
        <w:rPr>
          <w:sz w:val="20"/>
          <w:szCs w:val="20"/>
          <w:color w:val="auto"/>
        </w:rPr>
      </w:pPr>
      <w:r>
        <w:rPr>
          <w:rFonts w:ascii="Arial" w:cs="Arial" w:eastAsia="Arial" w:hAnsi="Arial"/>
          <w:sz w:val="22"/>
          <w:szCs w:val="22"/>
          <w:color w:val="auto"/>
        </w:rPr>
        <w:t>On December 2, 2014, PennantPark Investment Corporation issued a press release announcing first fiscal quarter 2015 distribution. A copy of the press release is furnished as Exhibit 99.1 to this Form 8-K.</w:t>
      </w:r>
    </w:p>
    <w:p>
      <w:pPr>
        <w:spacing w:after="0" w:line="202" w:lineRule="exact"/>
        <w:rPr>
          <w:sz w:val="24"/>
          <w:szCs w:val="24"/>
          <w:color w:val="auto"/>
        </w:rPr>
      </w:pPr>
    </w:p>
    <w:p>
      <w:pPr>
        <w:ind w:left="40"/>
        <w:spacing w:after="0"/>
        <w:rPr>
          <w:sz w:val="20"/>
          <w:szCs w:val="20"/>
          <w:color w:val="auto"/>
        </w:rPr>
      </w:pPr>
      <w:r>
        <w:rPr>
          <w:rFonts w:ascii="Arial" w:cs="Arial" w:eastAsia="Arial" w:hAnsi="Arial"/>
          <w:sz w:val="19"/>
          <w:szCs w:val="19"/>
          <w:color w:val="auto"/>
        </w:rPr>
        <w:t>The information in this Current Report on Form 8-K, including Exhibit 99.1 furnished herewith, is being furnished and shall not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9"/>
          <w:szCs w:val="19"/>
          <w:color w:val="auto"/>
        </w:rPr>
        <w:t>be deemed "filed" for purposes of Section 18 of the Securities Exchange Act of 1934, as amended (the "Exchange Act"), or</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9"/>
          <w:szCs w:val="19"/>
          <w:color w:val="auto"/>
        </w:rPr>
        <w:t>otherwise subject to the liabilities of such section. The information in this Current Report on Form 8-K shall not be deemed</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9"/>
          <w:szCs w:val="19"/>
          <w:color w:val="auto"/>
        </w:rPr>
        <w:t>incorporated by reference in any filing under the Securities Act of 1933, as amended, or the Exchange Act except as shall be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expressly set forth by specific reference in such filing.</w:t>
      </w:r>
    </w:p>
    <w:p>
      <w:pPr>
        <w:ind w:left="40"/>
        <w:spacing w:after="0"/>
        <w:rPr>
          <w:sz w:val="20"/>
          <w:szCs w:val="20"/>
          <w:color w:val="auto"/>
        </w:rPr>
      </w:pPr>
      <w:r>
        <w:rPr>
          <w:rFonts w:ascii="Arial" w:cs="Arial" w:eastAsia="Arial" w:hAnsi="Arial"/>
          <w:sz w:val="22"/>
          <w:szCs w:val="22"/>
          <w:color w:val="auto"/>
        </w:rPr>
        <w:t>Forward-Looking Statements</w:t>
      </w:r>
    </w:p>
    <w:p>
      <w:pPr>
        <w:spacing w:after="0" w:line="215" w:lineRule="exact"/>
        <w:rPr>
          <w:sz w:val="24"/>
          <w:szCs w:val="24"/>
          <w:color w:val="auto"/>
        </w:rPr>
      </w:pPr>
    </w:p>
    <w:p>
      <w:pPr>
        <w:ind w:left="40" w:right="6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All forward-looking statements speak only as of the date of this Current Report on Form 8-K.</w:t>
      </w:r>
    </w:p>
    <w:p>
      <w:pPr>
        <w:sectPr>
          <w:pgSz w:w="11900" w:h="16838" w:orient="portrait"/>
          <w:cols w:equalWidth="0" w:num="1">
            <w:col w:w="11200"/>
          </w:cols>
          <w:pgMar w:left="320" w:top="828" w:right="379" w:bottom="188" w:gutter="0" w:footer="0" w:header="0"/>
        </w:sectPr>
      </w:pPr>
    </w:p>
    <w:p>
      <w:pPr>
        <w:spacing w:after="0" w:line="389" w:lineRule="exact"/>
        <w:rPr>
          <w:sz w:val="24"/>
          <w:szCs w:val="24"/>
          <w:color w:val="auto"/>
        </w:rPr>
      </w:pPr>
    </w:p>
    <w:p>
      <w:pPr>
        <w:ind w:left="40"/>
        <w:spacing w:after="0"/>
        <w:rPr>
          <w:sz w:val="20"/>
          <w:szCs w:val="20"/>
          <w:color w:val="auto"/>
        </w:rPr>
      </w:pPr>
      <w:r>
        <w:rPr>
          <w:rFonts w:ascii="Arial" w:cs="Arial" w:eastAsia="Arial" w:hAnsi="Arial"/>
          <w:sz w:val="19"/>
          <w:szCs w:val="19"/>
          <w:b w:val="1"/>
          <w:bCs w:val="1"/>
          <w:color w:val="auto"/>
        </w:rPr>
        <w:t>Item 9.01. Financial Statements and Exhibits</w:t>
      </w:r>
    </w:p>
    <w:p>
      <w:pPr>
        <w:sectPr>
          <w:pgSz w:w="11900" w:h="16838" w:orient="portrait"/>
          <w:cols w:equalWidth="0" w:num="1">
            <w:col w:w="11200"/>
          </w:cols>
          <w:pgMar w:left="320" w:top="828" w:right="379" w:bottom="188" w:gutter="0" w:footer="0" w:header="0"/>
          <w:type w:val="continuous"/>
        </w:sectPr>
      </w:pPr>
    </w:p>
    <w:bookmarkStart w:id="1" w:name="page2"/>
    <w:bookmarkEnd w:id="1"/>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December 02,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80" w:type="dxa"/>
            <w:vAlign w:val="bottom"/>
          </w:tcPr>
          <w:p>
            <w:pPr>
              <w:spacing w:after="0"/>
              <w:rPr>
                <w:sz w:val="20"/>
                <w:szCs w:val="20"/>
                <w:color w:val="auto"/>
              </w:rPr>
            </w:pPr>
            <w:r>
              <w:rPr>
                <w:rFonts w:ascii="Arial" w:cs="Arial" w:eastAsia="Arial" w:hAnsi="Arial"/>
                <w:sz w:val="22"/>
                <w:szCs w:val="22"/>
                <w:color w:val="auto"/>
              </w:rPr>
              <w:t>Dated: December 02, 2014</w:t>
            </w:r>
          </w:p>
        </w:tc>
        <w:tc>
          <w:tcPr>
            <w:tcW w:w="6460" w:type="dxa"/>
            <w:vAlign w:val="bottom"/>
            <w:gridSpan w:val="3"/>
          </w:tcPr>
          <w:p>
            <w:pPr>
              <w:ind w:left="164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980" w:type="dxa"/>
            <w:vAlign w:val="bottom"/>
          </w:tcPr>
          <w:p>
            <w:pPr>
              <w:spacing w:after="0"/>
              <w:rPr>
                <w:sz w:val="24"/>
                <w:szCs w:val="24"/>
                <w:color w:val="auto"/>
              </w:rPr>
            </w:pPr>
          </w:p>
        </w:tc>
        <w:tc>
          <w:tcPr>
            <w:tcW w:w="6460" w:type="dxa"/>
            <w:vAlign w:val="bottom"/>
            <w:gridSpan w:val="3"/>
          </w:tcPr>
          <w:p>
            <w:pPr>
              <w:ind w:left="1640"/>
              <w:spacing w:after="0"/>
              <w:rPr>
                <w:sz w:val="20"/>
                <w:szCs w:val="20"/>
                <w:color w:val="auto"/>
              </w:rPr>
            </w:pPr>
            <w:r>
              <w:rPr>
                <w:rFonts w:ascii="Arial" w:cs="Arial" w:eastAsia="Arial" w:hAnsi="Arial"/>
                <w:sz w:val="22"/>
                <w:szCs w:val="22"/>
                <w:color w:val="auto"/>
              </w:rPr>
              <w:t>By: /s/ Aviv Efrat</w:t>
            </w:r>
          </w:p>
        </w:tc>
      </w:tr>
      <w:tr>
        <w:trPr>
          <w:trHeight w:val="20"/>
        </w:trPr>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980" w:type="dxa"/>
            <w:vAlign w:val="bottom"/>
          </w:tcPr>
          <w:p>
            <w:pPr>
              <w:spacing w:after="0"/>
              <w:rPr>
                <w:sz w:val="21"/>
                <w:szCs w:val="21"/>
                <w:color w:val="auto"/>
              </w:rPr>
            </w:pPr>
          </w:p>
        </w:tc>
        <w:tc>
          <w:tcPr>
            <w:tcW w:w="6460" w:type="dxa"/>
            <w:vAlign w:val="bottom"/>
            <w:gridSpan w:val="3"/>
          </w:tcPr>
          <w:p>
            <w:pPr>
              <w:ind w:left="18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80" w:type="dxa"/>
            <w:vAlign w:val="bottom"/>
          </w:tcPr>
          <w:p>
            <w:pPr>
              <w:spacing w:after="0"/>
              <w:rPr>
                <w:sz w:val="23"/>
                <w:szCs w:val="23"/>
                <w:color w:val="auto"/>
              </w:rPr>
            </w:pPr>
          </w:p>
        </w:tc>
        <w:tc>
          <w:tcPr>
            <w:tcW w:w="6460" w:type="dxa"/>
            <w:vAlign w:val="bottom"/>
            <w:gridSpan w:val="3"/>
          </w:tcPr>
          <w:p>
            <w:pPr>
              <w:ind w:left="190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87"/>
              </w:rPr>
              <w:t>December 02,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Announces Quarterly Distribution of $0.28 per Share</w:t>
      </w:r>
    </w:p>
    <w:p>
      <w:pPr>
        <w:spacing w:after="0" w:line="21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NEW YORK, NY -- (Marketwired - December 02, 2014) - PennantPark Investment Corporation (the "Company") (NASDAQ: PNNT) declares first fiscal quarter 2015 distribution of $0.28 per share, payable on January 2, 2015 to stockholders of record as of December 19, 2014. Distributions are paid from taxable earnings and may include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2020-05-05T15:07:14Z</dcterms:created>
  <dcterms:modified xsi:type="dcterms:W3CDTF">2020-05-05T15:07:14Z</dcterms:modified>
</cp:coreProperties>
</file>