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PennantPark Investment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708062104 (CUSIP Number)</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November 30, 2008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3899" w:firstLine="8"/>
        <w:spacing w:after="0" w:line="237"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0" w:lineRule="exact"/>
        <w:rPr>
          <w:sz w:val="24"/>
          <w:szCs w:val="24"/>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 and I.R.S. Identification No.</w:t>
      </w:r>
    </w:p>
    <w:p>
      <w:pPr>
        <w:spacing w:after="0" w:line="207" w:lineRule="exact"/>
        <w:rPr>
          <w:sz w:val="24"/>
          <w:szCs w:val="24"/>
          <w:color w:val="auto"/>
        </w:rPr>
      </w:pPr>
    </w:p>
    <w:p>
      <w:pPr>
        <w:ind w:right="4419"/>
        <w:spacing w:after="0" w:line="290" w:lineRule="auto"/>
        <w:rPr>
          <w:sz w:val="20"/>
          <w:szCs w:val="20"/>
          <w:color w:val="auto"/>
        </w:rPr>
      </w:pPr>
      <w:r>
        <w:rPr>
          <w:rFonts w:ascii="Courier New" w:cs="Courier New" w:eastAsia="Courier New" w:hAnsi="Courier New"/>
          <w:sz w:val="16"/>
          <w:szCs w:val="16"/>
          <w:color w:val="auto"/>
        </w:rPr>
        <w:t>UBS AG (for the benefit and on behalf of the UBS Global Asset Management division of UBS AG (see Item 7)</w:t>
      </w:r>
    </w:p>
    <w:p>
      <w:pPr>
        <w:spacing w:after="0" w:line="16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Check the Appropriate Box if a Member of a Group</w:t>
      </w:r>
    </w:p>
    <w:p>
      <w:pPr>
        <w:spacing w:after="0" w:line="202"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See Item 8 of attached schedule</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Switzerland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rPr>
              <w:t>739,561</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1,054,946</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 Aggregate Amount Beneficially Owned by Each Reporting Person:</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1,054,946 Shares*</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55" w:orient="portrait"/>
          <w:cols w:equalWidth="0" w:num="1">
            <w:col w:w="10219"/>
          </w:cols>
          <w:pgMar w:left="240" w:top="244" w:right="1440" w:bottom="0" w:gutter="0" w:footer="0" w:header="0"/>
        </w:sectPr>
      </w:pPr>
    </w:p>
    <w:bookmarkStart w:id="1" w:name="page2"/>
    <w:bookmarkEnd w:id="1"/>
    <w:p>
      <w:pPr>
        <w:ind w:right="399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 HC</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4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UBS AG disclaims beneficial ownership of such securities pursuant to Rule 13d-4 under the Securities Exchange Act of 1934. In accordance with SEC Release No. 34-39538 (January 12, 1998), this filing reflects the securities beneficially owned by the UBS Global Asset Management division of UBS AG and its subsidiaries and affiliates on behalf of its clients. This filing does not reflect securities, if any, beneficially owned by any other division of UBS AG.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Names of Reporting Persons and I.R.S. Identification No.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Americas Inc.</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See Item 8 of attached schedule</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rPr>
              <w:t>732,861</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1,048,246</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 Aggregate Amount Beneficially Owned by Each Reporting Person: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1,048,246 shares*</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if the Aggregate Amount in Row 9 Excludes Certain Shares / /</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UBS Americas disclaims beneficial ownership of such securities pursuant to Rule 13d-4 under the Securities Exchange Act</w:t>
      </w:r>
    </w:p>
    <w:p>
      <w:pPr>
        <w:ind w:right="4419"/>
        <w:spacing w:after="0" w:line="268" w:lineRule="auto"/>
        <w:rPr>
          <w:sz w:val="20"/>
          <w:szCs w:val="20"/>
          <w:color w:val="auto"/>
        </w:rPr>
      </w:pPr>
      <w:r>
        <w:rPr>
          <w:rFonts w:ascii="Courier New" w:cs="Courier New" w:eastAsia="Courier New" w:hAnsi="Courier New"/>
          <w:sz w:val="16"/>
          <w:szCs w:val="16"/>
          <w:color w:val="auto"/>
        </w:rPr>
        <w:t>of 1934. In accordance with SEC Release No. 34-395-538 (January 12, 1998), this filing reflects the securities beneficially owned by the UBS Global Asset Management business group of UBS AG and its subsidiaries and affiliates on behalf of its clients (collectively, UBS). This filing does not reflect securities, if any, beneficially owned by any other division</w:t>
      </w:r>
    </w:p>
    <w:p>
      <w:pPr>
        <w:spacing w:after="0" w:line="234" w:lineRule="auto"/>
        <w:rPr>
          <w:sz w:val="20"/>
          <w:szCs w:val="20"/>
          <w:color w:val="auto"/>
        </w:rPr>
      </w:pPr>
      <w:r>
        <w:rPr>
          <w:rFonts w:ascii="Courier New" w:cs="Courier New" w:eastAsia="Courier New" w:hAnsi="Courier New"/>
          <w:sz w:val="18"/>
          <w:szCs w:val="18"/>
          <w:color w:val="auto"/>
        </w:rPr>
        <w:t>or business group of UBS.</w:t>
      </w:r>
    </w:p>
    <w:p>
      <w:pPr>
        <w:sectPr>
          <w:pgSz w:w="11900" w:h="16838" w:orient="portrait"/>
          <w:cols w:equalWidth="0" w:num="1">
            <w:col w:w="10219"/>
          </w:cols>
          <w:pgMar w:left="240" w:top="344" w:right="1440" w:bottom="336"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Global Asset Management (Americas) Inc.</w:t>
      </w:r>
    </w:p>
    <w:p>
      <w:pPr>
        <w:spacing w:after="0" w:line="238" w:lineRule="auto"/>
        <w:rPr>
          <w:sz w:val="20"/>
          <w:szCs w:val="20"/>
          <w:color w:val="auto"/>
        </w:rPr>
      </w:pPr>
      <w:r>
        <w:rPr>
          <w:rFonts w:ascii="Courier New" w:cs="Courier New" w:eastAsia="Courier New" w:hAnsi="Courier New"/>
          <w:sz w:val="18"/>
          <w:szCs w:val="18"/>
          <w:color w:val="auto"/>
        </w:rPr>
        <w:t>36-3664388</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pacing w:after="0" w:line="4" w:lineRule="exact"/>
        <w:rPr>
          <w:rFonts w:ascii="Courier New" w:cs="Courier New" w:eastAsia="Courier New" w:hAnsi="Courier New"/>
          <w:sz w:val="16"/>
          <w:szCs w:val="16"/>
          <w:color w:val="auto"/>
        </w:rPr>
      </w:pPr>
    </w:p>
    <w:p>
      <w:pPr>
        <w:ind w:right="46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 See Item 8 of attached schedule.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 - Delaware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rPr>
              <w:t>697,661</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1,013,046</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1,013,046 Shares*</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p>
    <w:p>
      <w:pPr>
        <w:spacing w:after="0" w:line="4" w:lineRule="exact"/>
        <w:rPr>
          <w:rFonts w:ascii="Courier New" w:cs="Courier New" w:eastAsia="Courier New" w:hAnsi="Courier New"/>
          <w:sz w:val="16"/>
          <w:szCs w:val="16"/>
          <w:color w:val="auto"/>
        </w:rPr>
      </w:pPr>
    </w:p>
    <w:p>
      <w:pPr>
        <w:ind w:right="4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4619"/>
        <w:spacing w:after="0" w:line="268" w:lineRule="auto"/>
        <w:rPr>
          <w:sz w:val="20"/>
          <w:szCs w:val="20"/>
          <w:color w:val="auto"/>
        </w:rPr>
      </w:pPr>
      <w:r>
        <w:rPr>
          <w:rFonts w:ascii="Courier New" w:cs="Courier New" w:eastAsia="Courier New" w:hAnsi="Courier New"/>
          <w:sz w:val="16"/>
          <w:szCs w:val="16"/>
          <w:color w:val="auto"/>
        </w:rPr>
        <w:t>UBS Global Asset Management (Americas) Inc. disclaims beneficial ownership of such securities pursuant to Rule 13d-4 under the Securities Exchange Act</w:t>
      </w:r>
    </w:p>
    <w:p>
      <w:pPr>
        <w:spacing w:after="0" w:line="1"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of 1934. In accordance with SEC Release No. 34-395-538 (January 12, 1998), this filing reflects the securities beneficially owned by the UBS Global Asset Management business group of UBS AG and its subsidiaries and affiliates on behalf of its clients (collectively, UBS). This filing does not reflect securities, if any, beneficially owned by any other division</w:t>
      </w:r>
    </w:p>
    <w:p>
      <w:pPr>
        <w:spacing w:after="0" w:line="234" w:lineRule="auto"/>
        <w:rPr>
          <w:sz w:val="20"/>
          <w:szCs w:val="20"/>
          <w:color w:val="auto"/>
        </w:rPr>
      </w:pPr>
      <w:r>
        <w:rPr>
          <w:rFonts w:ascii="Courier New" w:cs="Courier New" w:eastAsia="Courier New" w:hAnsi="Courier New"/>
          <w:sz w:val="18"/>
          <w:szCs w:val="18"/>
          <w:color w:val="auto"/>
        </w:rPr>
        <w:t>or business group of UBS.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708062104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445 PARK AVENUE</w:t>
      </w:r>
    </w:p>
    <w:p>
      <w:pPr>
        <w:spacing w:after="0"/>
        <w:rPr>
          <w:sz w:val="20"/>
          <w:szCs w:val="20"/>
          <w:color w:val="auto"/>
        </w:rPr>
      </w:pPr>
      <w:r>
        <w:rPr>
          <w:rFonts w:ascii="Courier New" w:cs="Courier New" w:eastAsia="Courier New" w:hAnsi="Courier New"/>
          <w:sz w:val="18"/>
          <w:szCs w:val="18"/>
          <w:color w:val="auto"/>
        </w:rPr>
        <w:t>10TH FLOOR</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10022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UBS AG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w:t>
      </w:r>
    </w:p>
    <w:p>
      <w:pPr>
        <w:spacing w:after="0" w:line="238" w:lineRule="auto"/>
        <w:rPr>
          <w:sz w:val="20"/>
          <w:szCs w:val="20"/>
          <w:color w:val="auto"/>
        </w:rPr>
      </w:pPr>
      <w:r>
        <w:rPr>
          <w:rFonts w:ascii="Courier New" w:cs="Courier New" w:eastAsia="Courier New" w:hAnsi="Courier New"/>
          <w:sz w:val="18"/>
          <w:szCs w:val="18"/>
          <w:color w:val="auto"/>
        </w:rPr>
        <w:t>Residence:</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UBS AG's principal business office is:</w:t>
      </w:r>
    </w:p>
    <w:p>
      <w:pPr>
        <w:spacing w:after="0" w:line="238" w:lineRule="auto"/>
        <w:rPr>
          <w:sz w:val="20"/>
          <w:szCs w:val="20"/>
          <w:color w:val="auto"/>
        </w:rPr>
      </w:pPr>
      <w:r>
        <w:rPr>
          <w:rFonts w:ascii="Courier New" w:cs="Courier New" w:eastAsia="Courier New" w:hAnsi="Courier New"/>
          <w:sz w:val="18"/>
          <w:szCs w:val="18"/>
          <w:color w:val="auto"/>
        </w:rPr>
        <w:t>Bahnhofstrasse 45</w:t>
      </w:r>
    </w:p>
    <w:p>
      <w:pPr>
        <w:spacing w:after="0"/>
        <w:rPr>
          <w:sz w:val="20"/>
          <w:szCs w:val="20"/>
          <w:color w:val="auto"/>
        </w:rPr>
      </w:pPr>
      <w:r>
        <w:rPr>
          <w:rFonts w:ascii="Courier New" w:cs="Courier New" w:eastAsia="Courier New" w:hAnsi="Courier New"/>
          <w:sz w:val="18"/>
          <w:szCs w:val="18"/>
          <w:color w:val="auto"/>
        </w:rPr>
        <w:t>PO Box CH-8021</w:t>
      </w:r>
    </w:p>
    <w:p>
      <w:pPr>
        <w:spacing w:after="0" w:line="237" w:lineRule="auto"/>
        <w:rPr>
          <w:sz w:val="20"/>
          <w:szCs w:val="20"/>
          <w:color w:val="auto"/>
        </w:rPr>
      </w:pPr>
      <w:r>
        <w:rPr>
          <w:rFonts w:ascii="Courier New" w:cs="Courier New" w:eastAsia="Courier New" w:hAnsi="Courier New"/>
          <w:sz w:val="18"/>
          <w:szCs w:val="18"/>
          <w:color w:val="auto"/>
        </w:rPr>
        <w:t>Zurich, Switzerland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38" w:lineRule="auto"/>
        <w:rPr>
          <w:sz w:val="20"/>
          <w:szCs w:val="20"/>
          <w:color w:val="auto"/>
        </w:rPr>
      </w:pPr>
      <w:r>
        <w:rPr>
          <w:rFonts w:ascii="Courier New" w:cs="Courier New" w:eastAsia="Courier New" w:hAnsi="Courier New"/>
          <w:sz w:val="18"/>
          <w:szCs w:val="18"/>
          <w:color w:val="auto"/>
        </w:rPr>
        <w:t>Incorporated by reference to Item 4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 (the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38" w:lineRule="auto"/>
        <w:rPr>
          <w:sz w:val="20"/>
          <w:szCs w:val="20"/>
          <w:color w:val="auto"/>
        </w:rPr>
      </w:pPr>
      <w:r>
        <w:rPr>
          <w:rFonts w:ascii="Courier New" w:cs="Courier New" w:eastAsia="Courier New" w:hAnsi="Courier New"/>
          <w:sz w:val="18"/>
          <w:szCs w:val="18"/>
          <w:color w:val="auto"/>
        </w:rPr>
        <w:t>708062104</w:t>
      </w:r>
    </w:p>
    <w:p>
      <w:pPr>
        <w:ind w:left="220" w:hanging="212"/>
        <w:spacing w:after="0"/>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3.  Type of Person Filing:</w:t>
      </w:r>
    </w:p>
    <w:p>
      <w:pPr>
        <w:spacing w:after="0" w:line="207"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UBS AG is classified as a Bank as defined in section 3(a)(6) of the Act pursuant to no action relief granted by the staff of the Securities and Exchange Commission.</w:t>
      </w:r>
    </w:p>
    <w:p>
      <w:pPr>
        <w:spacing w:after="0" w:line="1"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(a)-(c)(iv).  Ownership: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Items 5-11 of the cover pages.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708062104</w:t>
      </w:r>
    </w:p>
    <w:p>
      <w:pPr>
        <w:ind w:left="220" w:hanging="212"/>
        <w:spacing w:after="0" w:line="238"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ind w:left="220" w:hanging="212"/>
        <w:spacing w:after="0"/>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999"/>
        <w:spacing w:after="0" w:line="268" w:lineRule="auto"/>
        <w:rPr>
          <w:sz w:val="20"/>
          <w:szCs w:val="20"/>
          <w:color w:val="auto"/>
        </w:rPr>
      </w:pPr>
      <w:r>
        <w:rPr>
          <w:rFonts w:ascii="Courier New" w:cs="Courier New" w:eastAsia="Courier New" w:hAnsi="Courier New"/>
          <w:sz w:val="16"/>
          <w:szCs w:val="16"/>
          <w:color w:val="auto"/>
        </w:rPr>
        <w:t>Accounts managed on a discretionary basis by the UBS Global Asset Management division of UBS AG (UBS Global AM)</w:t>
      </w:r>
    </w:p>
    <w:p>
      <w:pPr>
        <w:ind w:right="3899"/>
        <w:spacing w:after="0" w:line="268" w:lineRule="auto"/>
        <w:rPr>
          <w:sz w:val="20"/>
          <w:szCs w:val="20"/>
          <w:color w:val="auto"/>
        </w:rPr>
      </w:pPr>
      <w:r>
        <w:rPr>
          <w:rFonts w:ascii="Courier New" w:cs="Courier New" w:eastAsia="Courier New" w:hAnsi="Courier New"/>
          <w:sz w:val="16"/>
          <w:szCs w:val="16"/>
          <w:color w:val="auto"/>
        </w:rPr>
        <w:t>have the right to receive or the power to direct the receipt of dividends from, or the proceeds from the sale of, the Common Stock. To the best of our knowledge, no account holds more than 5 percent of the outstanding Common Stock.</w:t>
      </w:r>
    </w:p>
    <w:p>
      <w:pPr>
        <w:ind w:left="220" w:hanging="212"/>
        <w:spacing w:after="0" w:line="234" w:lineRule="auto"/>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8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Identification:</w:t>
      </w:r>
      <w:r>
        <w:rPr>
          <w:sz w:val="20"/>
          <w:szCs w:val="20"/>
          <w:color w:val="auto"/>
        </w:rPr>
        <w:tab/>
      </w:r>
      <w:r>
        <w:rPr>
          <w:rFonts w:ascii="Courier New" w:cs="Courier New" w:eastAsia="Courier New" w:hAnsi="Courier New"/>
          <w:sz w:val="16"/>
          <w:szCs w:val="16"/>
          <w:color w:val="auto"/>
        </w:rPr>
        <w:t>UBS Global Asset Management (Americas) Inc.</w:t>
      </w:r>
    </w:p>
    <w:p>
      <w:pPr>
        <w:spacing w:after="0"/>
        <w:tabs>
          <w:tab w:leader="none" w:pos="1780" w:val="left"/>
        </w:tabs>
        <w:rPr>
          <w:sz w:val="20"/>
          <w:szCs w:val="20"/>
          <w:color w:val="auto"/>
        </w:rPr>
      </w:pPr>
      <w:r>
        <w:rPr>
          <w:rFonts w:ascii="Courier New" w:cs="Courier New" w:eastAsia="Courier New" w:hAnsi="Courier New"/>
          <w:sz w:val="18"/>
          <w:szCs w:val="18"/>
          <w:color w:val="auto"/>
        </w:rPr>
        <w:t>Classification:</w:t>
      </w:r>
      <w:r>
        <w:rPr>
          <w:sz w:val="20"/>
          <w:szCs w:val="20"/>
          <w:color w:val="auto"/>
        </w:rPr>
        <w:tab/>
      </w:r>
      <w:r>
        <w:rPr>
          <w:rFonts w:ascii="Courier New" w:cs="Courier New" w:eastAsia="Courier New" w:hAnsi="Courier New"/>
          <w:sz w:val="16"/>
          <w:szCs w:val="16"/>
          <w:color w:val="auto"/>
        </w:rPr>
        <w:t>IA</w:t>
      </w:r>
    </w:p>
    <w:p>
      <w:pPr>
        <w:spacing w:after="0" w:line="207" w:lineRule="exact"/>
        <w:rPr>
          <w:sz w:val="20"/>
          <w:szCs w:val="20"/>
          <w:color w:val="auto"/>
        </w:rPr>
      </w:pPr>
    </w:p>
    <w:p>
      <w:pPr>
        <w:ind w:right="4519"/>
        <w:spacing w:after="0" w:line="268" w:lineRule="auto"/>
        <w:rPr>
          <w:sz w:val="20"/>
          <w:szCs w:val="20"/>
          <w:color w:val="auto"/>
        </w:rPr>
      </w:pPr>
      <w:r>
        <w:rPr>
          <w:rFonts w:ascii="Courier New" w:cs="Courier New" w:eastAsia="Courier New" w:hAnsi="Courier New"/>
          <w:sz w:val="16"/>
          <w:szCs w:val="16"/>
          <w:color w:val="auto"/>
        </w:rPr>
        <w:t>In addition to UBS AG, the following UBS Global AM affiliates and subsidiaries are part of the UBS Global Asset Management division included in this filing:</w:t>
      </w:r>
    </w:p>
    <w:p>
      <w:pPr>
        <w:spacing w:after="0" w:line="1"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UBS Global Asset Management (Americas) Inc., UBS Global Asset Management Trust Company, UBS Global Asset Management (Canada) Co., UBS Global Asset Management (Australia) Ltd., UBS Global Asset Management</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(Hong Kong) Limited, UBS (Trust &amp; Banking) Limited, UBS Global Asset Management (Japan) Ltd., UBS Global Asset Management (Singapore) Ltd., UBS Global Asset Management (Taiwan) Ltd., UBS Global Asset Management (France) SA, UBS Global Asset Management (Deutschland) GmbH, UBS Global Asset Management (Italia) SIM SpA,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Espana S.A., UBS Global Asset management (UK) Ltd.</w:t>
      </w:r>
    </w:p>
    <w:p>
      <w:pPr>
        <w:spacing w:after="0" w:line="238" w:lineRule="auto"/>
        <w:rPr>
          <w:sz w:val="20"/>
          <w:szCs w:val="20"/>
          <w:color w:val="auto"/>
        </w:rPr>
      </w:pPr>
      <w:r>
        <w:rPr>
          <w:rFonts w:ascii="Courier New" w:cs="Courier New" w:eastAsia="Courier New" w:hAnsi="Courier New"/>
          <w:sz w:val="18"/>
          <w:szCs w:val="18"/>
          <w:color w:val="auto"/>
        </w:rPr>
        <w:t>and UBS Global Asset Management Life Limited.</w:t>
      </w:r>
    </w:p>
    <w:p>
      <w:pPr>
        <w:ind w:left="220" w:hanging="212"/>
        <w:spacing w:after="0"/>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w:t>
      </w:r>
    </w:p>
    <w:p>
      <w:pPr>
        <w:spacing w:after="0" w:line="207"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UBS Global AM is composed of wholly-owned subsidiaries and branches of UBS AG. UBS AG is reporting direct and indirect beneficial ownership of holdings. None of the reporting persons affirm the existence of a group within the meaning of Rule 13d-5(b)(1).</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39" w:right="1440" w:bottom="0" w:gutter="0" w:footer="0" w:header="0"/>
        </w:sectPr>
      </w:pPr>
    </w:p>
    <w:bookmarkStart w:id="4" w:name="page5"/>
    <w:bookmarkEnd w:id="4"/>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708062104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6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Notice of Dissolution of Group: Not Applicable</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10 Certification:</w:t>
      </w:r>
    </w:p>
    <w:p>
      <w:pPr>
        <w:spacing w:after="0" w:line="4" w:lineRule="exact"/>
        <w:rPr>
          <w:rFonts w:ascii="Courier New" w:cs="Courier New" w:eastAsia="Courier New" w:hAnsi="Courier New"/>
          <w:sz w:val="16"/>
          <w:szCs w:val="16"/>
          <w:color w:val="auto"/>
        </w:rPr>
      </w:pPr>
    </w:p>
    <w:p>
      <w:pPr>
        <w:ind w:right="3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3, 2008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Mark F. Kemper</w:t>
      </w:r>
    </w:p>
    <w:p>
      <w:pPr>
        <w:ind w:left="860"/>
        <w:spacing w:after="0" w:line="238" w:lineRule="auto"/>
        <w:rPr>
          <w:sz w:val="20"/>
          <w:szCs w:val="20"/>
          <w:color w:val="auto"/>
        </w:rPr>
      </w:pPr>
      <w:r>
        <w:rPr>
          <w:rFonts w:ascii="Courier New" w:cs="Courier New" w:eastAsia="Courier New" w:hAnsi="Courier New"/>
          <w:sz w:val="18"/>
          <w:szCs w:val="18"/>
          <w:color w:val="auto"/>
        </w:rPr>
        <w:t>Mark F. Kemper</w:t>
      </w:r>
    </w:p>
    <w:p>
      <w:pPr>
        <w:ind w:left="860"/>
        <w:spacing w:after="0"/>
        <w:rPr>
          <w:sz w:val="20"/>
          <w:szCs w:val="20"/>
          <w:color w:val="auto"/>
        </w:rPr>
      </w:pPr>
      <w:r>
        <w:rPr>
          <w:rFonts w:ascii="Courier New" w:cs="Courier New" w:eastAsia="Courier New" w:hAnsi="Courier New"/>
          <w:sz w:val="18"/>
          <w:szCs w:val="18"/>
          <w:color w:val="auto"/>
        </w:rPr>
        <w:t>Attorney-in-Fact</w:t>
      </w:r>
    </w:p>
    <w:p>
      <w:pPr>
        <w:spacing w:after="0" w:line="3" w:lineRule="exact"/>
        <w:rPr>
          <w:sz w:val="20"/>
          <w:szCs w:val="20"/>
          <w:color w:val="auto"/>
        </w:rPr>
      </w:pPr>
    </w:p>
    <w:p>
      <w:pPr>
        <w:ind w:left="860" w:right="3679"/>
        <w:spacing w:after="0" w:line="290" w:lineRule="auto"/>
        <w:rPr>
          <w:sz w:val="20"/>
          <w:szCs w:val="20"/>
          <w:color w:val="auto"/>
        </w:rPr>
      </w:pPr>
      <w:r>
        <w:rPr>
          <w:rFonts w:ascii="Courier New" w:cs="Courier New" w:eastAsia="Courier New" w:hAnsi="Courier New"/>
          <w:sz w:val="16"/>
          <w:szCs w:val="16"/>
          <w:color w:val="auto"/>
        </w:rPr>
        <w:t>pursuant to Power of Attorney, attached as Exhibit 1, for the UBS Global Asset Management division of UBS AG</w:t>
      </w:r>
    </w:p>
    <w:p>
      <w:pPr>
        <w:spacing w:after="0" w:line="36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Michael J. Calhoun</w:t>
      </w:r>
    </w:p>
    <w:p>
      <w:pPr>
        <w:ind w:left="860"/>
        <w:spacing w:after="0" w:line="238" w:lineRule="auto"/>
        <w:rPr>
          <w:sz w:val="20"/>
          <w:szCs w:val="20"/>
          <w:color w:val="auto"/>
        </w:rPr>
      </w:pPr>
      <w:r>
        <w:rPr>
          <w:rFonts w:ascii="Courier New" w:cs="Courier New" w:eastAsia="Courier New" w:hAnsi="Courier New"/>
          <w:sz w:val="18"/>
          <w:szCs w:val="18"/>
          <w:color w:val="auto"/>
        </w:rPr>
        <w:t>Michael J. Calhoun</w:t>
      </w:r>
    </w:p>
    <w:p>
      <w:pPr>
        <w:ind w:left="860"/>
        <w:spacing w:after="0"/>
        <w:rPr>
          <w:sz w:val="20"/>
          <w:szCs w:val="20"/>
          <w:color w:val="auto"/>
        </w:rPr>
      </w:pPr>
      <w:r>
        <w:rPr>
          <w:rFonts w:ascii="Courier New" w:cs="Courier New" w:eastAsia="Courier New" w:hAnsi="Courier New"/>
          <w:sz w:val="18"/>
          <w:szCs w:val="18"/>
          <w:color w:val="auto"/>
        </w:rPr>
        <w:t>Attorney-in-Fact</w:t>
      </w:r>
    </w:p>
    <w:p>
      <w:pPr>
        <w:spacing w:after="0" w:line="3" w:lineRule="exact"/>
        <w:rPr>
          <w:sz w:val="20"/>
          <w:szCs w:val="20"/>
          <w:color w:val="auto"/>
        </w:rPr>
      </w:pPr>
    </w:p>
    <w:p>
      <w:pPr>
        <w:ind w:left="860" w:right="3679"/>
        <w:spacing w:after="0" w:line="290" w:lineRule="auto"/>
        <w:rPr>
          <w:sz w:val="20"/>
          <w:szCs w:val="20"/>
          <w:color w:val="auto"/>
        </w:rPr>
      </w:pPr>
      <w:r>
        <w:rPr>
          <w:rFonts w:ascii="Courier New" w:cs="Courier New" w:eastAsia="Courier New" w:hAnsi="Courier New"/>
          <w:sz w:val="16"/>
          <w:szCs w:val="16"/>
          <w:color w:val="auto"/>
        </w:rPr>
        <w:t>pursuant to Power of Attorney, attached as Exhibit 1, for the UBS Global Asset Management division of UBS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344"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Description</w:t>
      </w:r>
    </w:p>
    <w:p>
      <w:pPr>
        <w:spacing w:after="0" w:line="200" w:lineRule="exact"/>
        <w:rPr>
          <w:sz w:val="20"/>
          <w:szCs w:val="20"/>
          <w:color w:val="auto"/>
        </w:rPr>
      </w:pPr>
    </w:p>
    <w:p>
      <w:pPr>
        <w:sectPr>
          <w:pgSz w:w="11900" w:h="16838" w:orient="portrait"/>
          <w:cols w:equalWidth="0" w:num="2">
            <w:col w:w="1820" w:space="720"/>
            <w:col w:w="7679"/>
          </w:cols>
          <w:pgMar w:left="240" w:top="344"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as of October 28, 2008</w:t>
      </w:r>
    </w:p>
    <w:p>
      <w:pPr>
        <w:spacing w:after="0" w:line="200" w:lineRule="exact"/>
        <w:rPr>
          <w:sz w:val="20"/>
          <w:szCs w:val="20"/>
          <w:color w:val="auto"/>
        </w:rPr>
      </w:pPr>
    </w:p>
    <w:p>
      <w:pPr>
        <w:sectPr>
          <w:pgSz w:w="11900" w:h="16838" w:orient="portrait"/>
          <w:cols w:equalWidth="0" w:num="2">
            <w:col w:w="1820" w:space="720"/>
            <w:col w:w="7679"/>
          </w:cols>
          <w:pgMar w:left="240" w:top="344" w:right="1440"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1">
            <w:col w:w="10219"/>
          </w:cols>
          <w:pgMar w:left="240" w:top="344" w:right="1440" w:bottom="0" w:gutter="0" w:footer="0" w:header="0"/>
          <w:type w:val="continuous"/>
        </w:sectPr>
      </w:pPr>
    </w:p>
    <w:p>
      <w:pPr>
        <w:spacing w:after="0" w:line="224"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Each of the following employees of UBS Global Asset Management (Americas) Inc. is hereby appointed as agent and attorney-in-fact with power and authority to</w:t>
      </w:r>
    </w:p>
    <w:p>
      <w:pPr>
        <w:spacing w:after="0" w:line="1" w:lineRule="exact"/>
        <w:rPr>
          <w:sz w:val="20"/>
          <w:szCs w:val="20"/>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sign US Regulatory Filings on behalf of UBS AG, required as a result of the operations of the UBS Global Asset Management division: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F. Kemper</w:t>
      </w:r>
    </w:p>
    <w:p>
      <w:pPr>
        <w:spacing w:after="0" w:line="238" w:lineRule="auto"/>
        <w:rPr>
          <w:sz w:val="20"/>
          <w:szCs w:val="20"/>
          <w:color w:val="auto"/>
        </w:rPr>
      </w:pPr>
      <w:r>
        <w:rPr>
          <w:rFonts w:ascii="Courier New" w:cs="Courier New" w:eastAsia="Courier New" w:hAnsi="Courier New"/>
          <w:sz w:val="18"/>
          <w:szCs w:val="18"/>
          <w:color w:val="auto"/>
        </w:rPr>
        <w:t>Joseph McGill</w:t>
      </w:r>
    </w:p>
    <w:p>
      <w:pPr>
        <w:spacing w:after="0"/>
        <w:rPr>
          <w:sz w:val="20"/>
          <w:szCs w:val="20"/>
          <w:color w:val="auto"/>
        </w:rPr>
      </w:pPr>
      <w:r>
        <w:rPr>
          <w:rFonts w:ascii="Courier New" w:cs="Courier New" w:eastAsia="Courier New" w:hAnsi="Courier New"/>
          <w:sz w:val="18"/>
          <w:szCs w:val="18"/>
          <w:color w:val="auto"/>
        </w:rPr>
        <w:t>John Moore</w:t>
      </w:r>
    </w:p>
    <w:p>
      <w:pPr>
        <w:spacing w:after="0" w:line="237" w:lineRule="auto"/>
        <w:rPr>
          <w:sz w:val="20"/>
          <w:szCs w:val="20"/>
          <w:color w:val="auto"/>
        </w:rPr>
      </w:pPr>
      <w:r>
        <w:rPr>
          <w:rFonts w:ascii="Courier New" w:cs="Courier New" w:eastAsia="Courier New" w:hAnsi="Courier New"/>
          <w:sz w:val="18"/>
          <w:szCs w:val="18"/>
          <w:color w:val="auto"/>
        </w:rPr>
        <w:t>Michael J. Calhoun</w:t>
      </w:r>
    </w:p>
    <w:p>
      <w:pPr>
        <w:spacing w:after="0" w:line="238" w:lineRule="auto"/>
        <w:rPr>
          <w:sz w:val="20"/>
          <w:szCs w:val="20"/>
          <w:color w:val="auto"/>
        </w:rPr>
      </w:pPr>
      <w:r>
        <w:rPr>
          <w:rFonts w:ascii="Courier New" w:cs="Courier New" w:eastAsia="Courier New" w:hAnsi="Courier New"/>
          <w:sz w:val="18"/>
          <w:szCs w:val="18"/>
          <w:color w:val="auto"/>
        </w:rPr>
        <w:t>Mary T. Capasso</w:t>
      </w:r>
    </w:p>
    <w:p>
      <w:pPr>
        <w:spacing w:after="0"/>
        <w:rPr>
          <w:sz w:val="20"/>
          <w:szCs w:val="20"/>
          <w:color w:val="auto"/>
        </w:rPr>
      </w:pPr>
      <w:r>
        <w:rPr>
          <w:rFonts w:ascii="Courier New" w:cs="Courier New" w:eastAsia="Courier New" w:hAnsi="Courier New"/>
          <w:sz w:val="18"/>
          <w:szCs w:val="18"/>
          <w:color w:val="auto"/>
        </w:rPr>
        <w:t>Trevor Chambers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This Power of</w:t>
            </w:r>
          </w:p>
        </w:tc>
        <w:tc>
          <w:tcPr>
            <w:tcW w:w="12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5"/>
              </w:rPr>
              <w:t>Attorney is</w:t>
            </w:r>
          </w:p>
        </w:tc>
        <w:tc>
          <w:tcPr>
            <w:tcW w:w="1220" w:type="dxa"/>
            <w:vAlign w:val="bottom"/>
          </w:tcPr>
          <w:p>
            <w:pPr>
              <w:ind w:left="100"/>
              <w:spacing w:after="0"/>
              <w:rPr>
                <w:sz w:val="20"/>
                <w:szCs w:val="20"/>
                <w:color w:val="auto"/>
              </w:rPr>
            </w:pPr>
            <w:r>
              <w:rPr>
                <w:rFonts w:ascii="Courier New" w:cs="Courier New" w:eastAsia="Courier New" w:hAnsi="Courier New"/>
                <w:sz w:val="18"/>
                <w:szCs w:val="18"/>
                <w:color w:val="auto"/>
              </w:rPr>
              <w:t>limited to</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1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circumstances</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set forth herein</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may</w:t>
            </w: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be revoked,</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in whole or</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part,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at any time.</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If</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a person</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identified</w:t>
            </w:r>
          </w:p>
        </w:tc>
        <w:tc>
          <w:tcPr>
            <w:tcW w:w="216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w w:val="98"/>
              </w:rPr>
              <w:t>above ceases to</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perform services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UBS</w:t>
            </w:r>
          </w:p>
        </w:tc>
        <w:tc>
          <w:tcPr>
            <w:tcW w:w="2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Global Asset Management</w:t>
            </w:r>
          </w:p>
        </w:tc>
        <w:tc>
          <w:tcPr>
            <w:tcW w:w="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any reason, this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Power of</w:t>
            </w:r>
          </w:p>
        </w:tc>
        <w:tc>
          <w:tcPr>
            <w:tcW w:w="1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Attorney shall</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w:t>
            </w:r>
          </w:p>
        </w:tc>
        <w:tc>
          <w:tcPr>
            <w:tcW w:w="90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automatically</w:t>
            </w:r>
          </w:p>
        </w:tc>
        <w:tc>
          <w:tcPr>
            <w:tcW w:w="4580" w:type="dxa"/>
            <w:vAlign w:val="bottom"/>
            <w:gridSpan w:val="6"/>
          </w:tcPr>
          <w:p>
            <w:pPr>
              <w:ind w:left="40"/>
              <w:spacing w:after="0" w:line="203" w:lineRule="exact"/>
              <w:rPr>
                <w:sz w:val="20"/>
                <w:szCs w:val="20"/>
                <w:color w:val="auto"/>
              </w:rPr>
            </w:pPr>
            <w:r>
              <w:rPr>
                <w:rFonts w:ascii="Courier New" w:cs="Courier New" w:eastAsia="Courier New" w:hAnsi="Courier New"/>
                <w:sz w:val="18"/>
                <w:szCs w:val="18"/>
                <w:color w:val="auto"/>
              </w:rPr>
              <w:t>revoked with respect to that person.</w:t>
            </w:r>
          </w:p>
        </w:tc>
      </w:tr>
      <w:tr>
        <w:trPr>
          <w:trHeight w:val="203"/>
        </w:trPr>
        <w:tc>
          <w:tcPr>
            <w:tcW w:w="2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Nothing in this Power of</w:t>
            </w:r>
          </w:p>
        </w:tc>
        <w:tc>
          <w:tcPr>
            <w:tcW w:w="2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Attorney is intended to</w:t>
            </w:r>
          </w:p>
        </w:tc>
        <w:tc>
          <w:tcPr>
            <w:tcW w:w="900" w:type="dxa"/>
            <w:vAlign w:val="bottom"/>
          </w:tcPr>
          <w:p>
            <w:pPr>
              <w:spacing w:after="0"/>
              <w:rPr>
                <w:sz w:val="17"/>
                <w:szCs w:val="17"/>
                <w:color w:val="auto"/>
              </w:rPr>
            </w:pPr>
          </w:p>
        </w:tc>
      </w:tr>
      <w:tr>
        <w:trPr>
          <w:trHeight w:val="203"/>
        </w:trPr>
        <w:tc>
          <w:tcPr>
            <w:tcW w:w="42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limit the authority of any other persons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sign</w:t>
            </w:r>
          </w:p>
        </w:tc>
        <w:tc>
          <w:tcPr>
            <w:tcW w:w="900" w:type="dxa"/>
            <w:vAlign w:val="bottom"/>
          </w:tcPr>
          <w:p>
            <w:pPr>
              <w:spacing w:after="0"/>
              <w:rPr>
                <w:sz w:val="17"/>
                <w:szCs w:val="17"/>
                <w:color w:val="auto"/>
              </w:rPr>
            </w:pPr>
          </w:p>
        </w:tc>
      </w:tr>
    </w:tbl>
    <w:p>
      <w:pPr>
        <w:sectPr>
          <w:pgSz w:w="11900" w:h="16838" w:orient="portrait"/>
          <w:cols w:equalWidth="0" w:num="1">
            <w:col w:w="10219"/>
          </w:cols>
          <w:pgMar w:left="240" w:top="344"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documents relating to the subject matter hereof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extent permitted by UBS Group Policy or otherwise.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APPROVED:</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As of October 28, 2008</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Mario Cueni</w:t>
      </w:r>
    </w:p>
    <w:p>
      <w:pPr>
        <w:spacing w:after="0" w:line="238" w:lineRule="auto"/>
        <w:rPr>
          <w:sz w:val="20"/>
          <w:szCs w:val="20"/>
          <w:color w:val="auto"/>
        </w:rPr>
      </w:pPr>
      <w:r>
        <w:rPr>
          <w:rFonts w:ascii="Courier New" w:cs="Courier New" w:eastAsia="Courier New" w:hAnsi="Courier New"/>
          <w:sz w:val="18"/>
          <w:szCs w:val="18"/>
          <w:color w:val="auto"/>
        </w:rPr>
        <w:t>Mario Cueni</w:t>
      </w:r>
    </w:p>
    <w:p>
      <w:pPr>
        <w:spacing w:after="0"/>
        <w:rPr>
          <w:sz w:val="20"/>
          <w:szCs w:val="20"/>
          <w:color w:val="auto"/>
        </w:rPr>
      </w:pPr>
      <w:r>
        <w:rPr>
          <w:rFonts w:ascii="Courier New" w:cs="Courier New" w:eastAsia="Courier New" w:hAnsi="Courier New"/>
          <w:sz w:val="18"/>
          <w:szCs w:val="18"/>
          <w:color w:val="auto"/>
        </w:rPr>
        <w:t>UBS Global Asset Management</w:t>
      </w:r>
    </w:p>
    <w:p>
      <w:pPr>
        <w:spacing w:after="0" w:line="237" w:lineRule="auto"/>
        <w:rPr>
          <w:sz w:val="20"/>
          <w:szCs w:val="20"/>
          <w:color w:val="auto"/>
        </w:rPr>
      </w:pPr>
      <w:r>
        <w:rPr>
          <w:rFonts w:ascii="Courier New" w:cs="Courier New" w:eastAsia="Courier New" w:hAnsi="Courier New"/>
          <w:sz w:val="18"/>
          <w:szCs w:val="18"/>
          <w:color w:val="auto"/>
        </w:rPr>
        <w:t>General Counsel &amp; Chief Risk Officer</w:t>
      </w:r>
    </w:p>
    <w:p>
      <w:pPr>
        <w:spacing w:after="0" w:line="238" w:lineRule="auto"/>
        <w:rPr>
          <w:sz w:val="20"/>
          <w:szCs w:val="20"/>
          <w:color w:val="auto"/>
        </w:rPr>
      </w:pPr>
      <w:r>
        <w:rPr>
          <w:rFonts w:ascii="Courier New" w:cs="Courier New" w:eastAsia="Courier New" w:hAnsi="Courier New"/>
          <w:sz w:val="18"/>
          <w:szCs w:val="18"/>
          <w:color w:val="auto"/>
        </w:rPr>
        <w:t>Member of the Group Managing Board</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Kai R. Sotorp</w:t>
      </w:r>
    </w:p>
    <w:p>
      <w:pPr>
        <w:spacing w:after="0" w:line="238" w:lineRule="auto"/>
        <w:rPr>
          <w:sz w:val="20"/>
          <w:szCs w:val="20"/>
          <w:color w:val="auto"/>
        </w:rPr>
      </w:pPr>
      <w:r>
        <w:rPr>
          <w:rFonts w:ascii="Courier New" w:cs="Courier New" w:eastAsia="Courier New" w:hAnsi="Courier New"/>
          <w:sz w:val="18"/>
          <w:szCs w:val="18"/>
          <w:color w:val="auto"/>
        </w:rPr>
        <w:t>Kai R. Sotorp</w:t>
      </w:r>
    </w:p>
    <w:p>
      <w:pPr>
        <w:spacing w:after="0"/>
        <w:rPr>
          <w:sz w:val="20"/>
          <w:szCs w:val="20"/>
          <w:color w:val="auto"/>
        </w:rPr>
      </w:pPr>
      <w:r>
        <w:rPr>
          <w:rFonts w:ascii="Courier New" w:cs="Courier New" w:eastAsia="Courier New" w:hAnsi="Courier New"/>
          <w:sz w:val="18"/>
          <w:szCs w:val="18"/>
          <w:color w:val="auto"/>
        </w:rPr>
        <w:t>UBS Global Asset Management</w:t>
      </w:r>
    </w:p>
    <w:p>
      <w:pPr>
        <w:spacing w:after="0" w:line="237" w:lineRule="auto"/>
        <w:rPr>
          <w:sz w:val="20"/>
          <w:szCs w:val="20"/>
          <w:color w:val="auto"/>
        </w:rPr>
      </w:pPr>
      <w:r>
        <w:rPr>
          <w:rFonts w:ascii="Courier New" w:cs="Courier New" w:eastAsia="Courier New" w:hAnsi="Courier New"/>
          <w:sz w:val="18"/>
          <w:szCs w:val="18"/>
          <w:color w:val="auto"/>
        </w:rPr>
        <w:t>Head of Americas Member of the Group Managing Board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a"/>
      <w:numFmt w:val="bullet"/>
      <w:start w:val="1"/>
    </w:lvl>
  </w:abstractNum>
  <w:abstractNum w:abstractNumId="5">
    <w:nsid w:val="25E45D32"/>
    <w:multiLevelType w:val="hybridMultilevel"/>
    <w:lvl w:ilvl="0">
      <w:lvlJc w:val="left"/>
      <w:lvlText w:val="b"/>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0"/>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a"/>
      <w:numFmt w:val="bullet"/>
      <w:start w:val="1"/>
    </w:lvl>
  </w:abstractNum>
  <w:abstractNum w:abstractNumId="13">
    <w:nsid w:val="628C895D"/>
    <w:multiLevelType w:val="hybridMultilevel"/>
    <w:lvl w:ilvl="0">
      <w:lvlJc w:val="left"/>
      <w:lvlText w:val="b"/>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2019-12-15T15:55:48Z</dcterms:created>
  <dcterms:modified xsi:type="dcterms:W3CDTF">2019-12-15T15:55:48Z</dcterms:modified>
</cp:coreProperties>
</file>