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497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333-192782</w:t>
      </w:r>
    </w:p>
    <w:p>
      <w:pPr>
        <w:spacing w:after="0" w:line="1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January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83185</wp:posOffset>
            </wp:positionV>
            <wp:extent cx="176657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657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$250,000,000</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4.50% Notes due 2019</w:t>
      </w:r>
    </w:p>
    <w:p>
      <w:pPr>
        <w:spacing w:after="0" w:line="111" w:lineRule="exact"/>
        <w:rPr>
          <w:sz w:val="24"/>
          <w:szCs w:val="24"/>
          <w:color w:val="auto"/>
        </w:rPr>
      </w:pPr>
    </w:p>
    <w:p>
      <w:pPr>
        <w:ind w:right="80" w:firstLine="456"/>
        <w:spacing w:after="0" w:line="293" w:lineRule="auto"/>
        <w:rPr>
          <w:sz w:val="20"/>
          <w:szCs w:val="20"/>
          <w:color w:val="auto"/>
        </w:rPr>
      </w:pPr>
      <w:r>
        <w:rPr>
          <w:rFonts w:ascii="Arial" w:cs="Arial" w:eastAsia="Arial" w:hAnsi="Arial"/>
          <w:sz w:val="16"/>
          <w:szCs w:val="16"/>
          <w:color w:val="auto"/>
        </w:rPr>
        <w:t>We are offering for sale $250,000,000 in aggregate principal amount of 4.50% notes due 2019, which we refer to as the Notes. The Notes will mature on October 1, 2019. We will pay interest on the Notes on April 1 and October 1 of each year, beginning on April 1, 2015. We may redeem the Notes in whole or in part at any time or from time to time, at the redemption price set forth under the caption “Description of the Notes—Optional Redemption” in this prospectus supplement. In addition, holders of the Notes can require us to repurchase some or all of the Notes at a purchase price equal to 100% of their principal amount, plus accrued and unpaid interest to, but not including, the repurchase date upon the occurrence of a “Change of Control Repurchase Event” (as defined herein). The Notes will be issued in minimum denominations of $2,000 and integral multiples of $1,000 in excess thereof.</w:t>
      </w:r>
    </w:p>
    <w:p>
      <w:pPr>
        <w:spacing w:after="0" w:line="57" w:lineRule="exact"/>
        <w:rPr>
          <w:sz w:val="24"/>
          <w:szCs w:val="24"/>
          <w:color w:val="auto"/>
        </w:rPr>
      </w:pPr>
    </w:p>
    <w:p>
      <w:pPr>
        <w:ind w:right="120" w:firstLine="456"/>
        <w:spacing w:after="0" w:line="308" w:lineRule="auto"/>
        <w:rPr>
          <w:sz w:val="20"/>
          <w:szCs w:val="20"/>
          <w:color w:val="auto"/>
        </w:rPr>
      </w:pPr>
      <w:r>
        <w:rPr>
          <w:rFonts w:ascii="Arial" w:cs="Arial" w:eastAsia="Arial" w:hAnsi="Arial"/>
          <w:sz w:val="17"/>
          <w:szCs w:val="17"/>
          <w:color w:val="auto"/>
        </w:rPr>
        <w:t xml:space="preserve">The Notes will be our direct unsecured obligations and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our existing and future unsecured indebtedness but will rank senior to our future indebtedness that is expressly subordinated in right of payment to the Notes issued by PennantPark Investment Corporation.</w:t>
      </w:r>
    </w:p>
    <w:p>
      <w:pPr>
        <w:spacing w:after="0" w:line="38" w:lineRule="exact"/>
        <w:rPr>
          <w:sz w:val="24"/>
          <w:szCs w:val="24"/>
          <w:color w:val="auto"/>
        </w:rPr>
      </w:pPr>
    </w:p>
    <w:p>
      <w:pPr>
        <w:ind w:right="60" w:firstLine="456"/>
        <w:spacing w:after="0" w:line="276" w:lineRule="auto"/>
        <w:rPr>
          <w:sz w:val="20"/>
          <w:szCs w:val="20"/>
          <w:color w:val="auto"/>
        </w:rPr>
      </w:pPr>
      <w:r>
        <w:rPr>
          <w:rFonts w:ascii="Arial" w:cs="Arial" w:eastAsia="Arial" w:hAnsi="Arial"/>
          <w:sz w:val="17"/>
          <w:szCs w:val="17"/>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through debt and equity investments primarily in U.S. middle-market private companies in the form of senior secured loans, mezzanine debt and equity investments. We are externally managed by PennantPark Investment Advisers, LLC. PennantPark Investment Administration, LLC provides the administrative services necessary for us to operate.</w:t>
      </w:r>
    </w:p>
    <w:p>
      <w:pPr>
        <w:spacing w:after="0" w:line="64" w:lineRule="exact"/>
        <w:rPr>
          <w:sz w:val="24"/>
          <w:szCs w:val="24"/>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This prospectus supplement and the accompanying prospectus contain important information you should know before investing in our securities. Please read them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The information on our website is not incorporated by reference into this prospectus supplement or the accompanying prospectus.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 also maintains a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such information free of charge.</w:t>
      </w:r>
    </w:p>
    <w:p>
      <w:pPr>
        <w:spacing w:after="0" w:line="66" w:lineRule="exact"/>
        <w:rPr>
          <w:sz w:val="24"/>
          <w:szCs w:val="24"/>
          <w:color w:val="auto"/>
        </w:rPr>
      </w:pPr>
    </w:p>
    <w:p>
      <w:pPr>
        <w:ind w:right="300" w:firstLine="456"/>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including the risk of leverage. Before buying any of our Notes, you should read the discussion of the material risks of investing in us in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beginning on page S-12 of the this prospectus supplement and page 8 of the accompanying prospectus.</w:t>
      </w:r>
    </w:p>
    <w:p>
      <w:pPr>
        <w:spacing w:after="0" w:line="68" w:lineRule="exact"/>
        <w:rPr>
          <w:sz w:val="24"/>
          <w:szCs w:val="24"/>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92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 Note</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4"/>
                <w:szCs w:val="14"/>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99.905%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249,762,500</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Underwriting discounts and commissions (sales load)</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3,750,000</w:t>
            </w: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Proceeds to PennantPark Investment Corporation (before estimated expenses of $500,000)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98.405%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246,012,500</w:t>
            </w:r>
          </w:p>
        </w:tc>
        <w:tc>
          <w:tcPr>
            <w:tcW w:w="100" w:type="dxa"/>
            <w:vAlign w:val="bottom"/>
            <w:shd w:val="clear" w:color="auto" w:fill="CCEEFF"/>
          </w:tcPr>
          <w:p>
            <w:pPr>
              <w:spacing w:after="0"/>
              <w:rPr>
                <w:sz w:val="18"/>
                <w:szCs w:val="18"/>
                <w:color w:val="auto"/>
              </w:rPr>
            </w:pPr>
          </w:p>
        </w:tc>
      </w:tr>
    </w:tbl>
    <w:p>
      <w:pPr>
        <w:spacing w:after="0" w:line="94" w:lineRule="exact"/>
        <w:rPr>
          <w:sz w:val="24"/>
          <w:szCs w:val="24"/>
          <w:color w:val="auto"/>
        </w:rPr>
      </w:pPr>
    </w:p>
    <w:p>
      <w:pPr>
        <w:ind w:left="460"/>
        <w:spacing w:after="0"/>
        <w:rPr>
          <w:sz w:val="20"/>
          <w:szCs w:val="20"/>
          <w:color w:val="auto"/>
        </w:rPr>
      </w:pPr>
      <w:r>
        <w:rPr>
          <w:rFonts w:ascii="Arial" w:cs="Arial" w:eastAsia="Arial" w:hAnsi="Arial"/>
          <w:sz w:val="17"/>
          <w:szCs w:val="17"/>
          <w:color w:val="auto"/>
        </w:rPr>
        <w:t>The public offering price set forth above does not include accrued interest, if any. Interest on the Notes will accrue from September 23,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0" w:lineRule="exact"/>
        <w:rPr>
          <w:sz w:val="24"/>
          <w:szCs w:val="24"/>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THE NOTES ARE NOT DEPOSITS OR OTHER OBLIGATIONS OF A BANK AND ARE NOT INSURED BY THE FEDERAL DEPOSIT INSURANCE CORPORATION OR ANY OTHER GOVERNMENT AGENCY.</w:t>
      </w:r>
    </w:p>
    <w:p>
      <w:pPr>
        <w:spacing w:after="0" w:line="5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Delivery of the Notes in book-entry form through The Depository Trust Company, or DTC, will be made on or about September 23, 2014.</w:t>
      </w:r>
    </w:p>
    <w:p>
      <w:pPr>
        <w:sectPr>
          <w:pgSz w:w="11900" w:h="16838" w:orient="portrait"/>
          <w:cols w:equalWidth="0" w:num="1">
            <w:col w:w="11420"/>
          </w:cols>
          <w:pgMar w:left="240" w:top="230" w:right="239" w:bottom="1440" w:gutter="0" w:footer="0" w:header="0"/>
        </w:sectPr>
      </w:pPr>
    </w:p>
    <w:p>
      <w:pPr>
        <w:spacing w:after="0" w:line="127" w:lineRule="exact"/>
        <w:rPr>
          <w:sz w:val="24"/>
          <w:szCs w:val="24"/>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J.P. Morgan</w:t>
      </w:r>
      <w:r>
        <w:rPr>
          <w:sz w:val="20"/>
          <w:szCs w:val="20"/>
          <w:color w:val="auto"/>
        </w:rPr>
        <w:tab/>
      </w:r>
      <w:r>
        <w:rPr>
          <w:rFonts w:ascii="Arial" w:cs="Arial" w:eastAsia="Arial" w:hAnsi="Arial"/>
          <w:sz w:val="16"/>
          <w:szCs w:val="16"/>
          <w:b w:val="1"/>
          <w:bCs w:val="1"/>
          <w:color w:val="auto"/>
        </w:rPr>
        <w:t>Goldman, Sachs &amp; Co.</w:t>
      </w:r>
    </w:p>
    <w:p>
      <w:pPr>
        <w:spacing w:after="0" w:line="27"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Keefe, Bruyette &amp; Woods</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Morgan Stanley</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SunTrust Robinson Humphrey</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7"/>
          <w:szCs w:val="17"/>
          <w:b w:val="1"/>
          <w:bCs w:val="1"/>
          <w:color w:val="auto"/>
        </w:rPr>
        <w:t>RBC Capital Markets</w:t>
      </w:r>
    </w:p>
    <w:p>
      <w:pPr>
        <w:spacing w:after="0" w:line="34" w:lineRule="exact"/>
        <w:rPr>
          <w:sz w:val="24"/>
          <w:szCs w:val="24"/>
          <w:color w:val="auto"/>
        </w:rPr>
      </w:pPr>
    </w:p>
    <w:p>
      <w:pPr>
        <w:sectPr>
          <w:pgSz w:w="11900" w:h="16838" w:orient="portrait"/>
          <w:cols w:equalWidth="0" w:num="3">
            <w:col w:w="4560" w:space="720"/>
            <w:col w:w="1900" w:space="720"/>
            <w:col w:w="3520"/>
          </w:cols>
          <w:pgMar w:left="240" w:top="230" w:right="239" w:bottom="1440" w:gutter="0" w:footer="0" w:header="0"/>
          <w:type w:val="continuous"/>
        </w:sectPr>
      </w:pPr>
    </w:p>
    <w:p>
      <w:pPr>
        <w:ind w:left="1680"/>
        <w:spacing w:after="0"/>
        <w:rPr>
          <w:sz w:val="20"/>
          <w:szCs w:val="20"/>
          <w:color w:val="auto"/>
        </w:rPr>
      </w:pPr>
      <w:r>
        <w:rPr>
          <w:rFonts w:ascii="Arial" w:cs="Arial" w:eastAsia="Arial" w:hAnsi="Arial"/>
          <w:sz w:val="9"/>
          <w:szCs w:val="9"/>
          <w:b w:val="1"/>
          <w:bCs w:val="1"/>
          <w:i w:val="1"/>
          <w:iCs w:val="1"/>
          <w:color w:val="auto"/>
        </w:rPr>
        <w:t>A Stifel Company</w:t>
      </w:r>
    </w:p>
    <w:p>
      <w:pPr>
        <w:sectPr>
          <w:pgSz w:w="11900" w:h="16838" w:orient="portrait"/>
          <w:cols w:equalWidth="0" w:num="1">
            <w:col w:w="11420"/>
          </w:cols>
          <w:pgMar w:left="240" w:top="230" w:right="239" w:bottom="1440" w:gutter="0" w:footer="0" w:header="0"/>
          <w:type w:val="continuous"/>
        </w:sectPr>
      </w:pPr>
    </w:p>
    <w:p>
      <w:pPr>
        <w:spacing w:after="0" w:line="94" w:lineRule="exact"/>
        <w:rPr>
          <w:sz w:val="24"/>
          <w:szCs w:val="24"/>
          <w:color w:val="auto"/>
        </w:rPr>
      </w:pPr>
    </w:p>
    <w:p>
      <w:pPr>
        <w:ind w:left="500"/>
        <w:spacing w:after="0"/>
        <w:rPr>
          <w:sz w:val="20"/>
          <w:szCs w:val="20"/>
          <w:color w:val="auto"/>
        </w:rPr>
      </w:pPr>
      <w:r>
        <w:rPr>
          <w:rFonts w:ascii="Arial" w:cs="Arial" w:eastAsia="Arial" w:hAnsi="Arial"/>
          <w:sz w:val="16"/>
          <w:szCs w:val="16"/>
          <w:b w:val="1"/>
          <w:bCs w:val="1"/>
          <w:color w:val="auto"/>
        </w:rPr>
        <w:t>Comerica Securities</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ING</w:t>
      </w:r>
    </w:p>
    <w:p>
      <w:pPr>
        <w:spacing w:after="0" w:line="121" w:lineRule="exact"/>
        <w:rPr>
          <w:sz w:val="24"/>
          <w:szCs w:val="24"/>
          <w:color w:val="auto"/>
        </w:rPr>
      </w:pPr>
    </w:p>
    <w:p>
      <w:pPr>
        <w:sectPr>
          <w:pgSz w:w="11900" w:h="16838" w:orient="portrait"/>
          <w:cols w:equalWidth="0" w:num="2">
            <w:col w:w="9460" w:space="720"/>
            <w:col w:w="124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The date of this prospectus supplement is September 16, 2014.</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supplement and the accompanying prospectus when considering whether to purchase any securities offered by this prospectus supplement.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80" w:type="dxa"/>
            <w:vAlign w:val="bottom"/>
            <w:gridSpan w:val="5"/>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gridSpan w:val="5"/>
          </w:tcPr>
          <w:p>
            <w:pPr>
              <w:jc w:val="center"/>
              <w:ind w:right="3240"/>
              <w:spacing w:after="0"/>
              <w:rPr>
                <w:sz w:val="20"/>
                <w:szCs w:val="20"/>
                <w:color w:val="auto"/>
              </w:rPr>
            </w:pPr>
            <w:r>
              <w:rPr>
                <w:rFonts w:ascii="Arial" w:cs="Arial" w:eastAsia="Arial" w:hAnsi="Arial"/>
                <w:sz w:val="18"/>
                <w:szCs w:val="18"/>
                <w:b w:val="1"/>
                <w:bCs w:val="1"/>
                <w:color w:val="auto"/>
                <w:w w:val="97"/>
              </w:rPr>
              <w:t>PROSPECTUS SUPPLEMENT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920" w:type="dxa"/>
            <w:vAlign w:val="bottom"/>
            <w:gridSpan w:val="25"/>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SUPPLEMENTAL PROSPECTUS SUMMARY</w:t>
              </w:r>
            </w:hyperlink>
          </w:p>
        </w:tc>
        <w:tc>
          <w:tcPr>
            <w:tcW w:w="4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20" w:type="dxa"/>
            <w:vAlign w:val="bottom"/>
            <w:gridSpan w:val="25"/>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680" w:type="dxa"/>
            <w:vAlign w:val="bottom"/>
            <w:tcBorders>
              <w:top w:val="single" w:sz="8" w:color="0000EE"/>
              <w:bottom w:val="single" w:sz="8" w:color="0000EE"/>
            </w:tcBorders>
            <w:gridSpan w:val="14"/>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SUMMARY OF THE OFFERING</w:t>
              </w:r>
            </w:hyperlink>
          </w:p>
        </w:tc>
        <w:tc>
          <w:tcPr>
            <w:tcW w:w="1020" w:type="dxa"/>
            <w:vAlign w:val="bottom"/>
            <w:tcBorders>
              <w:top w:val="single" w:sz="8" w:color="0000EE"/>
            </w:tcBorders>
            <w:gridSpan w:val="4"/>
          </w:tcPr>
          <w:p>
            <w:pPr>
              <w:spacing w:after="0"/>
              <w:rPr>
                <w:sz w:val="18"/>
                <w:szCs w:val="18"/>
                <w:color w:val="auto"/>
              </w:rPr>
            </w:pPr>
          </w:p>
        </w:tc>
        <w:tc>
          <w:tcPr>
            <w:tcW w:w="7220" w:type="dxa"/>
            <w:vAlign w:val="bottom"/>
            <w:gridSpan w:val="7"/>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r>
        <w:trPr>
          <w:trHeight w:val="196"/>
        </w:trPr>
        <w:tc>
          <w:tcPr>
            <w:tcW w:w="10920" w:type="dxa"/>
            <w:vAlign w:val="bottom"/>
            <w:gridSpan w:val="25"/>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FORWARD-LOOKING STATEMENTS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15">
              <w:r>
                <w:rPr>
                  <w:rFonts w:ascii="Arial" w:cs="Arial" w:eastAsia="Arial" w:hAnsi="Arial"/>
                  <w:sz w:val="18"/>
                  <w:szCs w:val="18"/>
                  <w:b w:val="1"/>
                  <w:bCs w:val="1"/>
                  <w:color w:val="0000EE"/>
                  <w:w w:val="97"/>
                </w:rPr>
                <w:t>RISK FACTORS</w:t>
              </w:r>
            </w:hyperlink>
          </w:p>
        </w:tc>
        <w:tc>
          <w:tcPr>
            <w:tcW w:w="1780" w:type="dxa"/>
            <w:vAlign w:val="bottom"/>
            <w:tcBorders>
              <w:top w:val="single" w:sz="8" w:color="0000EE"/>
            </w:tcBorders>
            <w:gridSpan w:val="13"/>
          </w:tcPr>
          <w:p>
            <w:pPr>
              <w:spacing w:after="0"/>
              <w:rPr>
                <w:sz w:val="17"/>
                <w:szCs w:val="17"/>
                <w:color w:val="auto"/>
              </w:rPr>
            </w:pPr>
          </w:p>
        </w:tc>
        <w:tc>
          <w:tcPr>
            <w:tcW w:w="7800" w:type="dxa"/>
            <w:vAlign w:val="bottom"/>
            <w:gridSpan w:val="1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S-12</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5"/>
              </w:rPr>
            </w:pPr>
            <w:hyperlink w:anchor="page19">
              <w:r>
                <w:rPr>
                  <w:rFonts w:ascii="Arial" w:cs="Arial" w:eastAsia="Arial" w:hAnsi="Arial"/>
                  <w:sz w:val="18"/>
                  <w:szCs w:val="18"/>
                  <w:b w:val="1"/>
                  <w:bCs w:val="1"/>
                  <w:color w:val="0000EE"/>
                  <w:w w:val="95"/>
                </w:rPr>
                <w:t>USE OF PROCEEDS</w:t>
              </w:r>
            </w:hyperlink>
          </w:p>
        </w:tc>
        <w:tc>
          <w:tcPr>
            <w:tcW w:w="9240" w:type="dxa"/>
            <w:vAlign w:val="bottom"/>
            <w:gridSpan w:val="1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CAPITALIZATION</w:t>
              </w:r>
            </w:hyperlink>
          </w:p>
        </w:tc>
        <w:tc>
          <w:tcPr>
            <w:tcW w:w="9340" w:type="dxa"/>
            <w:vAlign w:val="bottom"/>
            <w:gridSpan w:val="1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RATIO OF EARNINGS TO FIXED CHARGES</w:t>
              </w:r>
            </w:hyperlink>
          </w:p>
        </w:tc>
        <w:tc>
          <w:tcPr>
            <w:tcW w:w="720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S-18</w:t>
            </w:r>
          </w:p>
        </w:tc>
        <w:tc>
          <w:tcPr>
            <w:tcW w:w="0" w:type="dxa"/>
            <w:vAlign w:val="bottom"/>
          </w:tcPr>
          <w:p>
            <w:pPr>
              <w:spacing w:after="0"/>
              <w:rPr>
                <w:sz w:val="1"/>
                <w:szCs w:val="1"/>
                <w:color w:val="auto"/>
              </w:rPr>
            </w:pPr>
          </w:p>
        </w:tc>
      </w:tr>
      <w:tr>
        <w:trPr>
          <w:trHeight w:val="196"/>
        </w:trPr>
        <w:tc>
          <w:tcPr>
            <w:tcW w:w="10920" w:type="dxa"/>
            <w:vAlign w:val="bottom"/>
            <w:gridSpan w:val="25"/>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SELECTED FINANCIAL DATA</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2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9"/>
              </w:rPr>
            </w:pPr>
            <w:hyperlink w:anchor="page24">
              <w:r>
                <w:rPr>
                  <w:rFonts w:ascii="Arial" w:cs="Arial" w:eastAsia="Arial" w:hAnsi="Arial"/>
                  <w:sz w:val="18"/>
                  <w:szCs w:val="18"/>
                  <w:b w:val="1"/>
                  <w:bCs w:val="1"/>
                  <w:color w:val="0000EE"/>
                  <w:w w:val="99"/>
                </w:rPr>
                <w:t>MANAGEMENT’S DISCUSSION AND ANALYSIS OF FINANCIAL CONDITION AND RESULTS OF OPERATIONS</w:t>
              </w:r>
            </w:hyperlink>
          </w:p>
        </w:tc>
        <w:tc>
          <w:tcPr>
            <w:tcW w:w="160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S-21</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DESCRIPTION OF THE NOTES</w:t>
              </w:r>
            </w:hyperlink>
          </w:p>
        </w:tc>
        <w:tc>
          <w:tcPr>
            <w:tcW w:w="828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S-35</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9"/>
              </w:rPr>
            </w:pPr>
            <w:hyperlink w:anchor="page49">
              <w:r>
                <w:rPr>
                  <w:rFonts w:ascii="Arial" w:cs="Arial" w:eastAsia="Arial" w:hAnsi="Arial"/>
                  <w:sz w:val="18"/>
                  <w:szCs w:val="18"/>
                  <w:b w:val="1"/>
                  <w:bCs w:val="1"/>
                  <w:color w:val="0000EE"/>
                  <w:w w:val="99"/>
                </w:rPr>
                <w:t>SENIOR SECURITIES</w:t>
              </w:r>
            </w:hyperlink>
          </w:p>
        </w:tc>
        <w:tc>
          <w:tcPr>
            <w:tcW w:w="908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S-46</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0000EE"/>
            </w:tcBorders>
            <w:gridSpan w:val="23"/>
          </w:tcPr>
          <w:p>
            <w:pPr>
              <w:spacing w:after="0" w:line="196" w:lineRule="exact"/>
              <w:rPr>
                <w:rFonts w:ascii="Arial" w:cs="Arial" w:eastAsia="Arial" w:hAnsi="Arial"/>
                <w:sz w:val="18"/>
                <w:szCs w:val="18"/>
                <w:b w:val="1"/>
                <w:bCs w:val="1"/>
                <w:color w:val="0000EE"/>
                <w:w w:val="99"/>
              </w:rPr>
            </w:pPr>
            <w:hyperlink w:anchor="page50">
              <w:r>
                <w:rPr>
                  <w:rFonts w:ascii="Arial" w:cs="Arial" w:eastAsia="Arial" w:hAnsi="Arial"/>
                  <w:sz w:val="18"/>
                  <w:szCs w:val="18"/>
                  <w:b w:val="1"/>
                  <w:bCs w:val="1"/>
                  <w:color w:val="0000EE"/>
                  <w:w w:val="99"/>
                </w:rPr>
                <w:t>CERTAIN U.S. FEDERAL INCOME TAX CONSIDERATIONS</w:t>
              </w:r>
            </w:hyperlink>
          </w:p>
        </w:tc>
        <w:tc>
          <w:tcPr>
            <w:tcW w:w="594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S-47</w:t>
            </w:r>
          </w:p>
        </w:tc>
        <w:tc>
          <w:tcPr>
            <w:tcW w:w="0" w:type="dxa"/>
            <w:vAlign w:val="bottom"/>
          </w:tcPr>
          <w:p>
            <w:pPr>
              <w:spacing w:after="0"/>
              <w:rPr>
                <w:sz w:val="1"/>
                <w:szCs w:val="1"/>
                <w:color w:val="auto"/>
              </w:rPr>
            </w:pPr>
          </w:p>
        </w:tc>
      </w:tr>
      <w:tr>
        <w:trPr>
          <w:trHeight w:val="196"/>
        </w:trPr>
        <w:tc>
          <w:tcPr>
            <w:tcW w:w="10920" w:type="dxa"/>
            <w:vAlign w:val="bottom"/>
            <w:gridSpan w:val="25"/>
          </w:tcPr>
          <w:p>
            <w:pPr>
              <w:spacing w:after="0" w:line="19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UNDERWRITING</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S-50</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LEGAL MATTERS</w:t>
              </w:r>
            </w:hyperlink>
          </w:p>
        </w:tc>
        <w:tc>
          <w:tcPr>
            <w:tcW w:w="9360" w:type="dxa"/>
            <w:vAlign w:val="bottom"/>
            <w:gridSpan w:val="2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S-54</w:t>
            </w:r>
          </w:p>
        </w:tc>
        <w:tc>
          <w:tcPr>
            <w:tcW w:w="0" w:type="dxa"/>
            <w:vAlign w:val="bottom"/>
          </w:tcPr>
          <w:p>
            <w:pPr>
              <w:spacing w:after="0"/>
              <w:rPr>
                <w:sz w:val="1"/>
                <w:szCs w:val="1"/>
                <w:color w:val="auto"/>
              </w:rPr>
            </w:pPr>
          </w:p>
        </w:tc>
      </w:tr>
      <w:tr>
        <w:trPr>
          <w:trHeight w:val="196"/>
        </w:trPr>
        <w:tc>
          <w:tcPr>
            <w:tcW w:w="10920" w:type="dxa"/>
            <w:vAlign w:val="bottom"/>
            <w:gridSpan w:val="25"/>
          </w:tcPr>
          <w:p>
            <w:pPr>
              <w:spacing w:after="0" w:line="19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INDEX TO FINANCIAL STATEMENTS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S-55</w:t>
            </w:r>
          </w:p>
        </w:tc>
        <w:tc>
          <w:tcPr>
            <w:tcW w:w="0" w:type="dxa"/>
            <w:vAlign w:val="bottom"/>
          </w:tcPr>
          <w:p>
            <w:pPr>
              <w:spacing w:after="0"/>
              <w:rPr>
                <w:sz w:val="1"/>
                <w:szCs w:val="1"/>
                <w:color w:val="auto"/>
              </w:rPr>
            </w:pPr>
          </w:p>
        </w:tc>
      </w:tr>
      <w:tr>
        <w:trPr>
          <w:trHeight w:val="561"/>
        </w:trPr>
        <w:tc>
          <w:tcPr>
            <w:tcW w:w="8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gridSpan w:val="2"/>
          </w:tcPr>
          <w:p>
            <w:pPr>
              <w:jc w:val="center"/>
              <w:ind w:right="4480"/>
              <w:spacing w:after="0"/>
              <w:rPr>
                <w:sz w:val="20"/>
                <w:szCs w:val="20"/>
                <w:color w:val="auto"/>
              </w:rPr>
            </w:pPr>
            <w:r>
              <w:rPr>
                <w:rFonts w:ascii="Arial" w:cs="Arial" w:eastAsia="Arial" w:hAnsi="Arial"/>
                <w:sz w:val="18"/>
                <w:szCs w:val="18"/>
                <w:b w:val="1"/>
                <w:bCs w:val="1"/>
                <w:color w:val="auto"/>
                <w:w w:val="95"/>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00" w:type="dxa"/>
            <w:vAlign w:val="bottom"/>
            <w:gridSpan w:val="10"/>
            <w:vMerge w:val="restart"/>
          </w:tcPr>
          <w:p>
            <w:pPr>
              <w:spacing w:after="0"/>
              <w:rPr>
                <w:rFonts w:ascii="Arial" w:cs="Arial" w:eastAsia="Arial" w:hAnsi="Arial"/>
                <w:sz w:val="18"/>
                <w:szCs w:val="18"/>
                <w:b w:val="1"/>
                <w:bCs w:val="1"/>
                <w:color w:val="0000EE"/>
                <w:w w:val="98"/>
              </w:rPr>
            </w:pPr>
            <w:hyperlink w:anchor="page94">
              <w:r>
                <w:rPr>
                  <w:rFonts w:ascii="Arial" w:cs="Arial" w:eastAsia="Arial" w:hAnsi="Arial"/>
                  <w:sz w:val="18"/>
                  <w:szCs w:val="18"/>
                  <w:b w:val="1"/>
                  <w:bCs w:val="1"/>
                  <w:color w:val="0000EE"/>
                  <w:w w:val="98"/>
                </w:rPr>
                <w:t>PROSPECTUS SUMMARY</w:t>
              </w:r>
            </w:hyperlink>
          </w:p>
        </w:tc>
        <w:tc>
          <w:tcPr>
            <w:tcW w:w="8720" w:type="dxa"/>
            <w:vAlign w:val="bottom"/>
            <w:gridSpan w:val="15"/>
            <w:vMerge w:val="restart"/>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2200" w:type="dxa"/>
            <w:vAlign w:val="bottom"/>
            <w:tcBorders>
              <w:bottom w:val="single" w:sz="8" w:color="0000EE"/>
            </w:tcBorders>
            <w:gridSpan w:val="10"/>
            <w:vMerge w:val="continue"/>
          </w:tcPr>
          <w:p>
            <w:pPr>
              <w:spacing w:after="0"/>
              <w:rPr>
                <w:sz w:val="13"/>
                <w:szCs w:val="13"/>
                <w:color w:val="auto"/>
              </w:rPr>
            </w:pPr>
          </w:p>
        </w:tc>
        <w:tc>
          <w:tcPr>
            <w:tcW w:w="8720" w:type="dxa"/>
            <w:vAlign w:val="bottom"/>
            <w:gridSpan w:val="15"/>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920" w:type="dxa"/>
            <w:vAlign w:val="bottom"/>
            <w:gridSpan w:val="25"/>
          </w:tcPr>
          <w:p>
            <w:pPr>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FEES AND EXPENSES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101">
              <w:r>
                <w:rPr>
                  <w:rFonts w:ascii="Arial" w:cs="Arial" w:eastAsia="Arial" w:hAnsi="Arial"/>
                  <w:sz w:val="18"/>
                  <w:szCs w:val="18"/>
                  <w:b w:val="1"/>
                  <w:bCs w:val="1"/>
                  <w:color w:val="0000EE"/>
                  <w:w w:val="97"/>
                </w:rPr>
                <w:t>RISK FACTORS</w:t>
              </w:r>
            </w:hyperlink>
          </w:p>
        </w:tc>
        <w:tc>
          <w:tcPr>
            <w:tcW w:w="520" w:type="dxa"/>
            <w:vAlign w:val="bottom"/>
            <w:tcBorders>
              <w:top w:val="single" w:sz="8" w:color="0000EE"/>
            </w:tcBorders>
            <w:gridSpan w:val="7"/>
          </w:tcPr>
          <w:p>
            <w:pPr>
              <w:spacing w:after="0"/>
              <w:rPr>
                <w:sz w:val="17"/>
                <w:szCs w:val="17"/>
                <w:color w:val="auto"/>
              </w:rPr>
            </w:pPr>
          </w:p>
        </w:tc>
        <w:tc>
          <w:tcPr>
            <w:tcW w:w="906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920" w:type="dxa"/>
            <w:vAlign w:val="bottom"/>
            <w:gridSpan w:val="25"/>
          </w:tcPr>
          <w:p>
            <w:pPr>
              <w:spacing w:after="0" w:line="196" w:lineRule="exact"/>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FORWARD-LOOKING STATEMENTS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95"/>
              </w:rPr>
            </w:pPr>
            <w:hyperlink w:anchor="page130">
              <w:r>
                <w:rPr>
                  <w:rFonts w:ascii="Arial" w:cs="Arial" w:eastAsia="Arial" w:hAnsi="Arial"/>
                  <w:sz w:val="18"/>
                  <w:szCs w:val="18"/>
                  <w:b w:val="1"/>
                  <w:bCs w:val="1"/>
                  <w:color w:val="0000EE"/>
                  <w:w w:val="95"/>
                </w:rPr>
                <w:t>USE OF PROCEEDS</w:t>
              </w:r>
            </w:hyperlink>
          </w:p>
        </w:tc>
        <w:tc>
          <w:tcPr>
            <w:tcW w:w="1440" w:type="dxa"/>
            <w:vAlign w:val="bottom"/>
            <w:tcBorders>
              <w:top w:val="single" w:sz="8" w:color="0000EE"/>
            </w:tcBorders>
            <w:gridSpan w:val="8"/>
          </w:tcPr>
          <w:p>
            <w:pPr>
              <w:spacing w:after="0"/>
              <w:rPr>
                <w:sz w:val="17"/>
                <w:szCs w:val="17"/>
                <w:color w:val="auto"/>
              </w:rPr>
            </w:pPr>
          </w:p>
        </w:tc>
        <w:tc>
          <w:tcPr>
            <w:tcW w:w="7800" w:type="dxa"/>
            <w:vAlign w:val="bottom"/>
            <w:gridSpan w:val="10"/>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20" w:type="dxa"/>
            <w:vAlign w:val="bottom"/>
            <w:gridSpan w:val="25"/>
          </w:tcPr>
          <w:p>
            <w:pPr>
              <w:spacing w:after="0" w:line="196" w:lineRule="exact"/>
              <w:rPr>
                <w:rFonts w:ascii="Arial" w:cs="Arial" w:eastAsia="Arial" w:hAnsi="Arial"/>
                <w:sz w:val="18"/>
                <w:szCs w:val="18"/>
                <w:b w:val="1"/>
                <w:bCs w:val="1"/>
                <w:color w:val="0000EE"/>
              </w:rPr>
            </w:pPr>
            <w:hyperlink w:anchor="page131">
              <w:r>
                <w:rPr>
                  <w:rFonts w:ascii="Arial" w:cs="Arial" w:eastAsia="Arial" w:hAnsi="Arial"/>
                  <w:sz w:val="18"/>
                  <w:szCs w:val="18"/>
                  <w:b w:val="1"/>
                  <w:bCs w:val="1"/>
                  <w:color w:val="0000EE"/>
                </w:rPr>
                <w:t>SELECTED FINANCIAL DATA</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2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9"/>
              </w:rPr>
            </w:pPr>
            <w:hyperlink w:anchor="page133">
              <w:r>
                <w:rPr>
                  <w:rFonts w:ascii="Arial" w:cs="Arial" w:eastAsia="Arial" w:hAnsi="Arial"/>
                  <w:sz w:val="18"/>
                  <w:szCs w:val="18"/>
                  <w:b w:val="1"/>
                  <w:bCs w:val="1"/>
                  <w:color w:val="0000EE"/>
                  <w:w w:val="99"/>
                </w:rPr>
                <w:t>MANAGEMENT’S DISCUSSION AND ANALYSIS OF FINANCIAL CONDITION AND RESULTS OF OPERATIONS</w:t>
              </w:r>
            </w:hyperlink>
          </w:p>
        </w:tc>
        <w:tc>
          <w:tcPr>
            <w:tcW w:w="160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9"/>
              </w:rPr>
            </w:pPr>
            <w:hyperlink w:anchor="page147">
              <w:r>
                <w:rPr>
                  <w:rFonts w:ascii="Arial" w:cs="Arial" w:eastAsia="Arial" w:hAnsi="Arial"/>
                  <w:sz w:val="18"/>
                  <w:szCs w:val="18"/>
                  <w:b w:val="1"/>
                  <w:bCs w:val="1"/>
                  <w:color w:val="0000EE"/>
                  <w:w w:val="99"/>
                </w:rPr>
                <w:t>SENIOR SECURITIES</w:t>
              </w:r>
            </w:hyperlink>
          </w:p>
        </w:tc>
        <w:tc>
          <w:tcPr>
            <w:tcW w:w="9080" w:type="dxa"/>
            <w:vAlign w:val="bottom"/>
            <w:gridSpan w:val="17"/>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rPr>
            </w:pPr>
            <w:hyperlink w:anchor="page148">
              <w:r>
                <w:rPr>
                  <w:rFonts w:ascii="Arial" w:cs="Arial" w:eastAsia="Arial" w:hAnsi="Arial"/>
                  <w:sz w:val="18"/>
                  <w:szCs w:val="18"/>
                  <w:b w:val="1"/>
                  <w:bCs w:val="1"/>
                  <w:color w:val="0000EE"/>
                </w:rPr>
                <w:t>RATIO OF EARNINGS TO FIXED CHARGES</w:t>
              </w:r>
            </w:hyperlink>
          </w:p>
        </w:tc>
        <w:tc>
          <w:tcPr>
            <w:tcW w:w="7200" w:type="dxa"/>
            <w:vAlign w:val="bottom"/>
            <w:gridSpan w:val="6"/>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rPr>
            </w:pPr>
            <w:hyperlink w:anchor="page149">
              <w:r>
                <w:rPr>
                  <w:rFonts w:ascii="Arial" w:cs="Arial" w:eastAsia="Arial" w:hAnsi="Arial"/>
                  <w:sz w:val="18"/>
                  <w:szCs w:val="18"/>
                  <w:b w:val="1"/>
                  <w:bCs w:val="1"/>
                  <w:color w:val="0000EE"/>
                </w:rPr>
                <w:t>PRICE RANGE OF COMMON STOCK</w:t>
              </w:r>
            </w:hyperlink>
          </w:p>
        </w:tc>
        <w:tc>
          <w:tcPr>
            <w:tcW w:w="7760" w:type="dxa"/>
            <w:vAlign w:val="bottom"/>
            <w:gridSpan w:val="9"/>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w w:val="98"/>
              </w:rPr>
            </w:pPr>
            <w:hyperlink w:anchor="page150">
              <w:r>
                <w:rPr>
                  <w:rFonts w:ascii="Arial" w:cs="Arial" w:eastAsia="Arial" w:hAnsi="Arial"/>
                  <w:sz w:val="18"/>
                  <w:szCs w:val="18"/>
                  <w:b w:val="1"/>
                  <w:bCs w:val="1"/>
                  <w:color w:val="0000EE"/>
                  <w:w w:val="98"/>
                </w:rPr>
                <w:t>SALES OF COMMON STOCK BELOW NET ASSET VALUE</w:t>
              </w:r>
            </w:hyperlink>
          </w:p>
        </w:tc>
        <w:tc>
          <w:tcPr>
            <w:tcW w:w="6040" w:type="dxa"/>
            <w:vAlign w:val="bottom"/>
            <w:gridSpan w:val="3"/>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156">
              <w:r>
                <w:rPr>
                  <w:rFonts w:ascii="Arial" w:cs="Arial" w:eastAsia="Arial" w:hAnsi="Arial"/>
                  <w:sz w:val="18"/>
                  <w:szCs w:val="18"/>
                  <w:b w:val="1"/>
                  <w:bCs w:val="1"/>
                  <w:color w:val="0000EE"/>
                </w:rPr>
                <w:t>DISTRIBUTIONS</w:t>
              </w:r>
            </w:hyperlink>
          </w:p>
        </w:tc>
        <w:tc>
          <w:tcPr>
            <w:tcW w:w="9440" w:type="dxa"/>
            <w:vAlign w:val="bottom"/>
            <w:gridSpan w:val="21"/>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tcPr>
          <w:p>
            <w:pPr>
              <w:spacing w:after="0" w:line="196" w:lineRule="exact"/>
              <w:rPr>
                <w:rFonts w:ascii="Arial" w:cs="Arial" w:eastAsia="Arial" w:hAnsi="Arial"/>
                <w:sz w:val="18"/>
                <w:szCs w:val="18"/>
                <w:b w:val="1"/>
                <w:bCs w:val="1"/>
                <w:color w:val="0000EE"/>
                <w:w w:val="93"/>
              </w:rPr>
            </w:pPr>
            <w:hyperlink w:anchor="page158">
              <w:r>
                <w:rPr>
                  <w:rFonts w:ascii="Arial" w:cs="Arial" w:eastAsia="Arial" w:hAnsi="Arial"/>
                  <w:sz w:val="18"/>
                  <w:szCs w:val="18"/>
                  <w:b w:val="1"/>
                  <w:bCs w:val="1"/>
                  <w:color w:val="0000EE"/>
                  <w:w w:val="93"/>
                </w:rPr>
                <w:t>BUSINESS</w:t>
              </w:r>
            </w:hyperlink>
          </w:p>
        </w:tc>
        <w:tc>
          <w:tcPr>
            <w:tcW w:w="10040" w:type="dxa"/>
            <w:vAlign w:val="bottom"/>
            <w:gridSpan w:val="24"/>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20" w:type="dxa"/>
            <w:vAlign w:val="bottom"/>
            <w:gridSpan w:val="25"/>
          </w:tcPr>
          <w:p>
            <w:pPr>
              <w:spacing w:after="0" w:line="196" w:lineRule="exact"/>
              <w:rPr>
                <w:rFonts w:ascii="Arial" w:cs="Arial" w:eastAsia="Arial" w:hAnsi="Arial"/>
                <w:sz w:val="18"/>
                <w:szCs w:val="18"/>
                <w:b w:val="1"/>
                <w:bCs w:val="1"/>
                <w:color w:val="0000EE"/>
              </w:rPr>
            </w:pPr>
            <w:hyperlink w:anchor="page163">
              <w:r>
                <w:rPr>
                  <w:rFonts w:ascii="Arial" w:cs="Arial" w:eastAsia="Arial" w:hAnsi="Arial"/>
                  <w:sz w:val="18"/>
                  <w:szCs w:val="18"/>
                  <w:b w:val="1"/>
                  <w:bCs w:val="1"/>
                  <w:color w:val="0000EE"/>
                </w:rPr>
                <w:t>INVESTMENT OBJECTIVES AND POLICIES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b w:val="1"/>
                <w:bCs w:val="1"/>
                <w:color w:val="0000EE"/>
              </w:rPr>
            </w:pPr>
            <w:hyperlink w:anchor="page169">
              <w:r>
                <w:rPr>
                  <w:rFonts w:ascii="Arial" w:cs="Arial" w:eastAsia="Arial" w:hAnsi="Arial"/>
                  <w:sz w:val="18"/>
                  <w:szCs w:val="18"/>
                  <w:b w:val="1"/>
                  <w:bCs w:val="1"/>
                  <w:color w:val="0000EE"/>
                </w:rPr>
                <w:t>PORTFOLIO COMPANIES</w:t>
              </w:r>
            </w:hyperlink>
          </w:p>
        </w:tc>
        <w:tc>
          <w:tcPr>
            <w:tcW w:w="1520" w:type="dxa"/>
            <w:vAlign w:val="bottom"/>
            <w:tcBorders>
              <w:top w:val="single" w:sz="8" w:color="0000EE"/>
            </w:tcBorders>
            <w:gridSpan w:val="9"/>
          </w:tcPr>
          <w:p>
            <w:pPr>
              <w:spacing w:after="0"/>
              <w:rPr>
                <w:sz w:val="17"/>
                <w:szCs w:val="17"/>
                <w:color w:val="auto"/>
              </w:rPr>
            </w:pPr>
          </w:p>
        </w:tc>
        <w:tc>
          <w:tcPr>
            <w:tcW w:w="7180" w:type="dxa"/>
            <w:vAlign w:val="bottom"/>
            <w:gridSpan w:val="5"/>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20" w:type="dxa"/>
            <w:vAlign w:val="bottom"/>
            <w:gridSpan w:val="25"/>
          </w:tcPr>
          <w:p>
            <w:pPr>
              <w:spacing w:after="0" w:line="196" w:lineRule="exact"/>
              <w:rPr>
                <w:rFonts w:ascii="Arial" w:cs="Arial" w:eastAsia="Arial" w:hAnsi="Arial"/>
                <w:sz w:val="18"/>
                <w:szCs w:val="18"/>
                <w:b w:val="1"/>
                <w:bCs w:val="1"/>
                <w:color w:val="0000EE"/>
              </w:rPr>
            </w:pPr>
            <w:hyperlink w:anchor="page174">
              <w:r>
                <w:rPr>
                  <w:rFonts w:ascii="Arial" w:cs="Arial" w:eastAsia="Arial" w:hAnsi="Arial"/>
                  <w:sz w:val="18"/>
                  <w:szCs w:val="18"/>
                  <w:b w:val="1"/>
                  <w:bCs w:val="1"/>
                  <w:color w:val="0000EE"/>
                </w:rPr>
                <w:t>MANAGEMENT</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3"/>
            <w:shd w:val="clear" w:color="auto" w:fill="0000EE"/>
          </w:tcPr>
          <w:p>
            <w:pPr>
              <w:spacing w:after="0" w:line="20" w:lineRule="exact"/>
              <w:rPr>
                <w:sz w:val="1"/>
                <w:szCs w:val="1"/>
                <w:color w:val="auto"/>
              </w:rPr>
            </w:pPr>
          </w:p>
        </w:tc>
        <w:tc>
          <w:tcPr>
            <w:tcW w:w="3460" w:type="dxa"/>
            <w:vAlign w:val="bottom"/>
            <w:gridSpan w:val="18"/>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9"/>
              </w:rPr>
            </w:pPr>
            <w:hyperlink w:anchor="page181">
              <w:r>
                <w:rPr>
                  <w:rFonts w:ascii="Arial" w:cs="Arial" w:eastAsia="Arial" w:hAnsi="Arial"/>
                  <w:sz w:val="18"/>
                  <w:szCs w:val="18"/>
                  <w:b w:val="1"/>
                  <w:bCs w:val="1"/>
                  <w:color w:val="0000EE"/>
                  <w:w w:val="99"/>
                </w:rPr>
                <w:t>CONTROL PERSONS AND PRINCIPAL STOCKHOLDERS</w:t>
              </w:r>
            </w:hyperlink>
          </w:p>
        </w:tc>
        <w:tc>
          <w:tcPr>
            <w:tcW w:w="6100" w:type="dxa"/>
            <w:vAlign w:val="bottom"/>
            <w:gridSpan w:val="4"/>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0" w:type="dxa"/>
            <w:vAlign w:val="bottom"/>
            <w:gridSpan w:val="18"/>
            <w:vMerge w:val="restart"/>
          </w:tcPr>
          <w:p>
            <w:pPr>
              <w:spacing w:after="0"/>
              <w:rPr>
                <w:rFonts w:ascii="Arial" w:cs="Arial" w:eastAsia="Arial" w:hAnsi="Arial"/>
                <w:sz w:val="18"/>
                <w:szCs w:val="18"/>
                <w:b w:val="1"/>
                <w:bCs w:val="1"/>
                <w:color w:val="0000EE"/>
              </w:rPr>
            </w:pPr>
            <w:hyperlink w:anchor="page183">
              <w:r>
                <w:rPr>
                  <w:rFonts w:ascii="Arial" w:cs="Arial" w:eastAsia="Arial" w:hAnsi="Arial"/>
                  <w:sz w:val="18"/>
                  <w:szCs w:val="18"/>
                  <w:b w:val="1"/>
                  <w:bCs w:val="1"/>
                  <w:color w:val="0000EE"/>
                </w:rPr>
                <w:t>CERTAIN RELATIONSHIPS AND TRANSACTIONS</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1000" w:type="dxa"/>
            <w:vAlign w:val="bottom"/>
            <w:gridSpan w:val="18"/>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0"/>
        </w:trPr>
        <w:tc>
          <w:tcPr>
            <w:tcW w:w="356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rPr>
            </w:pPr>
            <w:hyperlink w:anchor="page189">
              <w:r>
                <w:rPr>
                  <w:rFonts w:ascii="Arial" w:cs="Arial" w:eastAsia="Arial" w:hAnsi="Arial"/>
                  <w:sz w:val="18"/>
                  <w:szCs w:val="18"/>
                  <w:b w:val="1"/>
                  <w:bCs w:val="1"/>
                  <w:color w:val="0000EE"/>
                </w:rPr>
                <w:t>DETERMINATION OF NET ASSET VALUE</w:t>
              </w:r>
            </w:hyperlink>
          </w:p>
        </w:tc>
        <w:tc>
          <w:tcPr>
            <w:tcW w:w="680" w:type="dxa"/>
            <w:vAlign w:val="bottom"/>
            <w:tcBorders>
              <w:top w:val="single" w:sz="8" w:color="0000EE"/>
            </w:tcBorders>
            <w:gridSpan w:val="4"/>
          </w:tcPr>
          <w:p>
            <w:pPr>
              <w:spacing w:after="0"/>
              <w:rPr>
                <w:sz w:val="18"/>
                <w:szCs w:val="18"/>
                <w:color w:val="auto"/>
              </w:rPr>
            </w:pPr>
          </w:p>
        </w:tc>
        <w:tc>
          <w:tcPr>
            <w:tcW w:w="6760" w:type="dxa"/>
            <w:vAlign w:val="bottom"/>
            <w:gridSpan w:val="5"/>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rPr>
            </w:pPr>
            <w:hyperlink w:anchor="page192">
              <w:r>
                <w:rPr>
                  <w:rFonts w:ascii="Arial" w:cs="Arial" w:eastAsia="Arial" w:hAnsi="Arial"/>
                  <w:sz w:val="18"/>
                  <w:szCs w:val="18"/>
                  <w:b w:val="1"/>
                  <w:bCs w:val="1"/>
                  <w:color w:val="0000EE"/>
                </w:rPr>
                <w:t>DIVIDEND REINVESTMENT PLAN</w:t>
              </w:r>
            </w:hyperlink>
          </w:p>
        </w:tc>
        <w:tc>
          <w:tcPr>
            <w:tcW w:w="804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rPr>
            </w:pPr>
            <w:hyperlink w:anchor="page194">
              <w:r>
                <w:rPr>
                  <w:rFonts w:ascii="Arial" w:cs="Arial" w:eastAsia="Arial" w:hAnsi="Arial"/>
                  <w:sz w:val="18"/>
                  <w:szCs w:val="18"/>
                  <w:b w:val="1"/>
                  <w:bCs w:val="1"/>
                  <w:color w:val="0000EE"/>
                </w:rPr>
                <w:t>DESCRIPTION OF OUR CAPITAL STOCK</w:t>
              </w:r>
            </w:hyperlink>
          </w:p>
        </w:tc>
        <w:tc>
          <w:tcPr>
            <w:tcW w:w="748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9"/>
              </w:rPr>
            </w:pPr>
            <w:hyperlink w:anchor="page200">
              <w:r>
                <w:rPr>
                  <w:rFonts w:ascii="Arial" w:cs="Arial" w:eastAsia="Arial" w:hAnsi="Arial"/>
                  <w:sz w:val="18"/>
                  <w:szCs w:val="18"/>
                  <w:b w:val="1"/>
                  <w:bCs w:val="1"/>
                  <w:color w:val="0000EE"/>
                  <w:w w:val="99"/>
                </w:rPr>
                <w:t>DESCRIPTION OF OUR PREFERRED STOCK</w:t>
              </w:r>
            </w:hyperlink>
          </w:p>
        </w:tc>
        <w:tc>
          <w:tcPr>
            <w:tcW w:w="718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9"/>
              </w:rPr>
            </w:pPr>
            <w:hyperlink w:anchor="page201">
              <w:r>
                <w:rPr>
                  <w:rFonts w:ascii="Arial" w:cs="Arial" w:eastAsia="Arial" w:hAnsi="Arial"/>
                  <w:sz w:val="18"/>
                  <w:szCs w:val="18"/>
                  <w:b w:val="1"/>
                  <w:bCs w:val="1"/>
                  <w:color w:val="0000EE"/>
                  <w:w w:val="99"/>
                </w:rPr>
                <w:t>DESCRIPTION OF OUR WARRANTS</w:t>
              </w:r>
            </w:hyperlink>
          </w:p>
        </w:tc>
        <w:tc>
          <w:tcPr>
            <w:tcW w:w="792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99"/>
              </w:rPr>
            </w:pPr>
            <w:hyperlink w:anchor="page203">
              <w:r>
                <w:rPr>
                  <w:rFonts w:ascii="Arial" w:cs="Arial" w:eastAsia="Arial" w:hAnsi="Arial"/>
                  <w:sz w:val="18"/>
                  <w:szCs w:val="18"/>
                  <w:b w:val="1"/>
                  <w:bCs w:val="1"/>
                  <w:color w:val="0000EE"/>
                  <w:w w:val="99"/>
                </w:rPr>
                <w:t>DESCRIPTION OF OUR SUBSCRIPTION RIGHTS</w:t>
              </w:r>
            </w:hyperlink>
          </w:p>
        </w:tc>
        <w:tc>
          <w:tcPr>
            <w:tcW w:w="686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196"/>
        </w:trPr>
        <w:tc>
          <w:tcPr>
            <w:tcW w:w="11000" w:type="dxa"/>
            <w:vAlign w:val="bottom"/>
            <w:gridSpan w:val="18"/>
          </w:tcPr>
          <w:p>
            <w:pPr>
              <w:spacing w:after="0" w:line="196" w:lineRule="exact"/>
              <w:rPr>
                <w:rFonts w:ascii="Arial" w:cs="Arial" w:eastAsia="Arial" w:hAnsi="Arial"/>
                <w:sz w:val="18"/>
                <w:szCs w:val="18"/>
                <w:b w:val="1"/>
                <w:bCs w:val="1"/>
                <w:color w:val="0000EE"/>
              </w:rPr>
            </w:pPr>
            <w:hyperlink w:anchor="page205">
              <w:r>
                <w:rPr>
                  <w:rFonts w:ascii="Arial" w:cs="Arial" w:eastAsia="Arial" w:hAnsi="Arial"/>
                  <w:sz w:val="18"/>
                  <w:szCs w:val="18"/>
                  <w:b w:val="1"/>
                  <w:bCs w:val="1"/>
                  <w:color w:val="0000EE"/>
                </w:rPr>
                <w:t>DESCRIPTION OF OUR DEBT SECURITIES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rPr>
            </w:pPr>
            <w:hyperlink w:anchor="page218">
              <w:r>
                <w:rPr>
                  <w:rFonts w:ascii="Arial" w:cs="Arial" w:eastAsia="Arial" w:hAnsi="Arial"/>
                  <w:sz w:val="18"/>
                  <w:szCs w:val="18"/>
                  <w:b w:val="1"/>
                  <w:bCs w:val="1"/>
                  <w:color w:val="0000EE"/>
                </w:rPr>
                <w:t>DESCRIPTION OF OUR UNITS</w:t>
              </w:r>
            </w:hyperlink>
          </w:p>
        </w:tc>
        <w:tc>
          <w:tcPr>
            <w:tcW w:w="1060" w:type="dxa"/>
            <w:vAlign w:val="bottom"/>
            <w:tcBorders>
              <w:top w:val="single" w:sz="8" w:color="0000EE"/>
            </w:tcBorders>
            <w:gridSpan w:val="6"/>
          </w:tcPr>
          <w:p>
            <w:pPr>
              <w:spacing w:after="0"/>
              <w:rPr>
                <w:sz w:val="17"/>
                <w:szCs w:val="17"/>
                <w:color w:val="auto"/>
              </w:rPr>
            </w:pPr>
          </w:p>
        </w:tc>
        <w:tc>
          <w:tcPr>
            <w:tcW w:w="734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11000" w:type="dxa"/>
            <w:vAlign w:val="bottom"/>
            <w:gridSpan w:val="18"/>
          </w:tcPr>
          <w:p>
            <w:pPr>
              <w:spacing w:after="0" w:line="196" w:lineRule="exact"/>
              <w:rPr>
                <w:rFonts w:ascii="Arial" w:cs="Arial" w:eastAsia="Arial" w:hAnsi="Arial"/>
                <w:sz w:val="18"/>
                <w:szCs w:val="18"/>
                <w:b w:val="1"/>
                <w:bCs w:val="1"/>
                <w:color w:val="0000EE"/>
              </w:rPr>
            </w:pPr>
            <w:hyperlink w:anchor="page219">
              <w:r>
                <w:rPr>
                  <w:rFonts w:ascii="Arial" w:cs="Arial" w:eastAsia="Arial" w:hAnsi="Arial"/>
                  <w:sz w:val="18"/>
                  <w:szCs w:val="18"/>
                  <w:b w:val="1"/>
                  <w:bCs w:val="1"/>
                  <w:color w:val="0000EE"/>
                </w:rPr>
                <w:t>REGULATION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rPr>
            </w:pPr>
            <w:hyperlink w:anchor="page225">
              <w:r>
                <w:rPr>
                  <w:rFonts w:ascii="Arial" w:cs="Arial" w:eastAsia="Arial" w:hAnsi="Arial"/>
                  <w:sz w:val="18"/>
                  <w:szCs w:val="18"/>
                  <w:b w:val="1"/>
                  <w:bCs w:val="1"/>
                  <w:color w:val="0000EE"/>
                </w:rPr>
                <w:t>BROKERAGE ALLOCATIONS AND OTHER PRACTICES</w:t>
              </w:r>
            </w:hyperlink>
          </w:p>
        </w:tc>
        <w:tc>
          <w:tcPr>
            <w:tcW w:w="62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6"/>
        </w:trPr>
        <w:tc>
          <w:tcPr>
            <w:tcW w:w="11000" w:type="dxa"/>
            <w:vAlign w:val="bottom"/>
            <w:gridSpan w:val="18"/>
          </w:tcPr>
          <w:p>
            <w:pPr>
              <w:spacing w:after="0" w:line="196" w:lineRule="exact"/>
              <w:rPr>
                <w:rFonts w:ascii="Arial" w:cs="Arial" w:eastAsia="Arial" w:hAnsi="Arial"/>
                <w:sz w:val="18"/>
                <w:szCs w:val="18"/>
                <w:b w:val="1"/>
                <w:bCs w:val="1"/>
                <w:color w:val="0000EE"/>
              </w:rPr>
            </w:pPr>
            <w:hyperlink w:anchor="page226">
              <w:r>
                <w:rPr>
                  <w:rFonts w:ascii="Arial" w:cs="Arial" w:eastAsia="Arial" w:hAnsi="Arial"/>
                  <w:sz w:val="18"/>
                  <w:szCs w:val="18"/>
                  <w:b w:val="1"/>
                  <w:bCs w:val="1"/>
                  <w:color w:val="0000EE"/>
                </w:rPr>
                <w:t>MATERIAL U.S. FEDERAL INCOME TAX CONSIDERATIONS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5140" w:type="dxa"/>
            <w:vAlign w:val="bottom"/>
            <w:tcBorders>
              <w:top w:val="single" w:sz="8" w:color="0000EE"/>
            </w:tcBorders>
            <w:gridSpan w:val="16"/>
          </w:tcPr>
          <w:p>
            <w:pPr>
              <w:spacing w:after="0" w:line="196" w:lineRule="exact"/>
              <w:rPr>
                <w:rFonts w:ascii="Arial" w:cs="Arial" w:eastAsia="Arial" w:hAnsi="Arial"/>
                <w:sz w:val="18"/>
                <w:szCs w:val="18"/>
                <w:b w:val="1"/>
                <w:bCs w:val="1"/>
                <w:color w:val="0000EE"/>
              </w:rPr>
            </w:pPr>
            <w:hyperlink w:anchor="page232">
              <w:r>
                <w:rPr>
                  <w:rFonts w:ascii="Arial" w:cs="Arial" w:eastAsia="Arial" w:hAnsi="Arial"/>
                  <w:sz w:val="18"/>
                  <w:szCs w:val="18"/>
                  <w:b w:val="1"/>
                  <w:bCs w:val="1"/>
                  <w:color w:val="0000EE"/>
                </w:rPr>
                <w:t>PLAN OF DISTRIBUTION</w:t>
              </w:r>
            </w:hyperlink>
          </w:p>
        </w:tc>
        <w:tc>
          <w:tcPr>
            <w:tcW w:w="586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18"/>
          </w:tcPr>
          <w:p>
            <w:pPr>
              <w:spacing w:after="0" w:line="196" w:lineRule="exact"/>
              <w:rPr>
                <w:rFonts w:ascii="Arial" w:cs="Arial" w:eastAsia="Arial" w:hAnsi="Arial"/>
                <w:sz w:val="18"/>
                <w:szCs w:val="18"/>
                <w:b w:val="1"/>
                <w:bCs w:val="1"/>
                <w:color w:val="0000EE"/>
              </w:rPr>
            </w:pPr>
            <w:hyperlink w:anchor="page233">
              <w:r>
                <w:rPr>
                  <w:rFonts w:ascii="Arial" w:cs="Arial" w:eastAsia="Arial" w:hAnsi="Arial"/>
                  <w:sz w:val="18"/>
                  <w:szCs w:val="18"/>
                  <w:b w:val="1"/>
                  <w:bCs w:val="1"/>
                  <w:color w:val="0000EE"/>
                </w:rPr>
                <w:t>SUB-ADMINISTRATOR, CUSTODIAN, TRANSFER AGENT AND TRUSTEE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rPr>
            </w:pPr>
            <w:hyperlink w:anchor="page233">
              <w:r>
                <w:rPr>
                  <w:rFonts w:ascii="Arial" w:cs="Arial" w:eastAsia="Arial" w:hAnsi="Arial"/>
                  <w:sz w:val="18"/>
                  <w:szCs w:val="18"/>
                  <w:b w:val="1"/>
                  <w:bCs w:val="1"/>
                  <w:color w:val="0000EE"/>
                </w:rPr>
                <w:t>LEGAL MATTERS</w:t>
              </w:r>
            </w:hyperlink>
          </w:p>
        </w:tc>
        <w:tc>
          <w:tcPr>
            <w:tcW w:w="4640" w:type="dxa"/>
            <w:vAlign w:val="bottom"/>
            <w:tcBorders>
              <w:top w:val="single" w:sz="8" w:color="0000EE"/>
            </w:tcBorders>
            <w:gridSpan w:val="15"/>
          </w:tcPr>
          <w:p>
            <w:pPr>
              <w:spacing w:after="0"/>
              <w:rPr>
                <w:sz w:val="17"/>
                <w:szCs w:val="17"/>
                <w:color w:val="auto"/>
              </w:rPr>
            </w:pPr>
          </w:p>
        </w:tc>
        <w:tc>
          <w:tcPr>
            <w:tcW w:w="48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196"/>
        </w:trPr>
        <w:tc>
          <w:tcPr>
            <w:tcW w:w="11000" w:type="dxa"/>
            <w:vAlign w:val="bottom"/>
            <w:gridSpan w:val="18"/>
          </w:tcPr>
          <w:p>
            <w:pPr>
              <w:spacing w:after="0" w:line="196" w:lineRule="exact"/>
              <w:rPr>
                <w:rFonts w:ascii="Arial" w:cs="Arial" w:eastAsia="Arial" w:hAnsi="Arial"/>
                <w:sz w:val="18"/>
                <w:szCs w:val="18"/>
                <w:b w:val="1"/>
                <w:bCs w:val="1"/>
                <w:color w:val="0000EE"/>
              </w:rPr>
            </w:pPr>
            <w:hyperlink w:anchor="page233">
              <w:r>
                <w:rPr>
                  <w:rFonts w:ascii="Arial" w:cs="Arial" w:eastAsia="Arial" w:hAnsi="Arial"/>
                  <w:sz w:val="18"/>
                  <w:szCs w:val="18"/>
                  <w:b w:val="1"/>
                  <w:bCs w:val="1"/>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196"/>
        </w:trPr>
        <w:tc>
          <w:tcPr>
            <w:tcW w:w="5080" w:type="dxa"/>
            <w:vAlign w:val="bottom"/>
            <w:tcBorders>
              <w:top w:val="single" w:sz="8" w:color="0000EE"/>
            </w:tcBorders>
            <w:gridSpan w:val="15"/>
          </w:tcPr>
          <w:p>
            <w:pPr>
              <w:spacing w:after="0" w:line="196" w:lineRule="exact"/>
              <w:rPr>
                <w:rFonts w:ascii="Arial" w:cs="Arial" w:eastAsia="Arial" w:hAnsi="Arial"/>
                <w:sz w:val="18"/>
                <w:szCs w:val="18"/>
                <w:b w:val="1"/>
                <w:bCs w:val="1"/>
                <w:color w:val="0000EE"/>
              </w:rPr>
            </w:pPr>
            <w:hyperlink w:anchor="page234">
              <w:r>
                <w:rPr>
                  <w:rFonts w:ascii="Arial" w:cs="Arial" w:eastAsia="Arial" w:hAnsi="Arial"/>
                  <w:sz w:val="18"/>
                  <w:szCs w:val="18"/>
                  <w:b w:val="1"/>
                  <w:bCs w:val="1"/>
                  <w:color w:val="0000EE"/>
                </w:rPr>
                <w:t>INDEX TO FINANCIAL STATEMENTS</w:t>
              </w:r>
            </w:hyperlink>
          </w:p>
        </w:tc>
        <w:tc>
          <w:tcPr>
            <w:tcW w:w="592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SUPPLEMENTAL PROSPECTUS SUMMARY</w:t>
      </w:r>
    </w:p>
    <w:p>
      <w:pPr>
        <w:spacing w:after="0" w:line="229" w:lineRule="exact"/>
        <w:rPr>
          <w:sz w:val="20"/>
          <w:szCs w:val="20"/>
          <w:color w:val="auto"/>
        </w:rPr>
      </w:pPr>
    </w:p>
    <w:p>
      <w:pPr>
        <w:ind w:left="200" w:firstLine="443"/>
        <w:spacing w:after="0" w:line="285"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Some of the statements in this prospectus supplement and accompanying prospectus constitute forward-looking statements, which apply to both us and our consolidated Small Business Investment Company, or SBIC,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 In this prospectus supplement and the accompanying prospectus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and “PennantPark Investment Administration” or “Administrator” refers to PennantPark Investment Administration, LLC; “SBA” refers to the U.S. Small Business Administration; “Credit Facility” refers to our multi-currency, senior secured revolving credit facility; “2025 Notes” refers to our 6.25% senior notes due 2025; “1940 Act” refers to the Investment Company Act of 1940, as amended; “Code” refers to the Internal Revenue Code of 1986, as amended; “RIC” refers to a regulated investment company under the Code; and “BDC” refers to a business development company under the 1940 Act.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ind w:left="200" w:right="340" w:firstLine="443"/>
        <w:spacing w:after="0" w:line="34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24" w:lineRule="exact"/>
        <w:rPr>
          <w:sz w:val="20"/>
          <w:szCs w:val="20"/>
          <w:color w:val="auto"/>
        </w:rPr>
      </w:pPr>
    </w:p>
    <w:p>
      <w:pPr>
        <w:ind w:left="200" w:right="60" w:firstLine="443"/>
        <w:spacing w:after="0" w:line="271" w:lineRule="auto"/>
        <w:rPr>
          <w:sz w:val="20"/>
          <w:szCs w:val="20"/>
          <w:color w:val="auto"/>
        </w:rPr>
      </w:pPr>
      <w:r>
        <w:rPr>
          <w:rFonts w:ascii="Arial" w:cs="Arial" w:eastAsia="Arial" w:hAnsi="Arial"/>
          <w:sz w:val="17"/>
          <w:szCs w:val="17"/>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 regions.</w:t>
      </w:r>
    </w:p>
    <w:p>
      <w:pPr>
        <w:spacing w:after="0" w:line="179"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or any future credit facility, SBA debentures, proceeds from the rotation of our portfolio and proceeds from public and private offerings of securities to finance our investment objectives.</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32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7327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PennantPark Investment Corporation was organized under the Maryland General Corporation Law in January 2007. We are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200" w:right="100" w:firstLine="443"/>
        <w:spacing w:after="0" w:line="257"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200" w:right="20" w:firstLine="443"/>
        <w:spacing w:after="0" w:line="270"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$1.9 billion in debt and equity capital and has invested approximately $3.8 billion in over 300 companies with 140 different financial sponsors through its managed funds.</w:t>
      </w:r>
    </w:p>
    <w:p>
      <w:pPr>
        <w:spacing w:after="0" w:line="182"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in the accompanying prospectus for more information.</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280" w:firstLine="443"/>
        <w:spacing w:after="0" w:line="277"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1060" w:right="40" w:hanging="431"/>
        <w:spacing w:after="0" w:line="261"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may be more difficult from time to time to the extent institutional investors seek to invest in larger, more liquid offerings. We believe this has periodically made it harder for middle-market companies to raise funds by issuing high-yield debt securities.</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928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6092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60" w:right="140" w:hanging="431"/>
        <w:spacing w:after="0" w:line="266"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hedge funds and collateralized loan obligation, or CLO, funds have, and may again, withdrawn capital from the middle-market, resulting in opportunities for alternative funding sources.</w:t>
      </w:r>
    </w:p>
    <w:p>
      <w:pPr>
        <w:spacing w:after="0" w:line="81" w:lineRule="exact"/>
        <w:rPr>
          <w:rFonts w:ascii="Arial" w:cs="Arial" w:eastAsia="Arial" w:hAnsi="Arial"/>
          <w:sz w:val="18"/>
          <w:szCs w:val="18"/>
          <w:color w:val="auto"/>
        </w:rPr>
      </w:pPr>
    </w:p>
    <w:p>
      <w:pPr>
        <w:ind w:left="1060" w:hanging="431"/>
        <w:spacing w:after="0" w:line="289"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that credit market dislocation for middle-market companies improves the risk-adjusted returns on our investments. </w:t>
      </w:r>
      <w:r>
        <w:rPr>
          <w:rFonts w:ascii="Arial" w:cs="Arial" w:eastAsia="Arial" w:hAnsi="Arial"/>
          <w:sz w:val="17"/>
          <w:szCs w:val="17"/>
          <w:color w:val="auto"/>
        </w:rPr>
        <w:t>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market participants have reduced lending to middle-market and non-investment grade borrowers. As a result, there is less competition in our market, more conservative capital structures, higher yields and stronger covenants.</w:t>
      </w:r>
    </w:p>
    <w:p>
      <w:pPr>
        <w:spacing w:after="0" w:line="63" w:lineRule="exact"/>
        <w:rPr>
          <w:rFonts w:ascii="Arial" w:cs="Arial" w:eastAsia="Arial" w:hAnsi="Arial"/>
          <w:sz w:val="17"/>
          <w:szCs w:val="17"/>
          <w:color w:val="auto"/>
        </w:rPr>
      </w:pPr>
    </w:p>
    <w:p>
      <w:pPr>
        <w:ind w:left="1060" w:hanging="431"/>
        <w:spacing w:after="0" w:line="298"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9" w:lineRule="exact"/>
        <w:rPr>
          <w:rFonts w:ascii="Arial" w:cs="Arial" w:eastAsia="Arial" w:hAnsi="Arial"/>
          <w:sz w:val="16"/>
          <w:szCs w:val="16"/>
          <w:color w:val="auto"/>
        </w:rPr>
      </w:pPr>
    </w:p>
    <w:p>
      <w:pPr>
        <w:ind w:left="1060" w:right="60" w:hanging="431"/>
        <w:spacing w:after="0" w:line="256"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maturing loans that seek refinancing. </w:t>
      </w:r>
      <w:r>
        <w:rPr>
          <w:rFonts w:ascii="Arial" w:cs="Arial" w:eastAsia="Arial" w:hAnsi="Arial"/>
          <w:sz w:val="18"/>
          <w:szCs w:val="18"/>
          <w:color w:val="auto"/>
        </w:rPr>
        <w:t>A high volume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117"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The senior professionals of our Investment Adviser have worked together for many years and average over 25 years of experience in mezzanine lending, leveraged finance, distressed debt and private equity businesses. These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87"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Lending to middle-market companies requires deep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117" w:lineRule="exact"/>
        <w:rPr>
          <w:sz w:val="20"/>
          <w:szCs w:val="20"/>
          <w:color w:val="auto"/>
        </w:rPr>
      </w:pPr>
    </w:p>
    <w:p>
      <w:pPr>
        <w:ind w:left="200" w:right="60" w:firstLine="443"/>
        <w:spacing w:after="0" w:line="257"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72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972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in the accompanying prospectus for more information.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31" w:lineRule="exact"/>
        <w:rPr>
          <w:sz w:val="20"/>
          <w:szCs w:val="20"/>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333"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7"/>
          <w:szCs w:val="17"/>
          <w:b w:val="1"/>
          <w:bCs w:val="1"/>
          <w:i w:val="1"/>
          <w:iCs w:val="1"/>
          <w:color w:val="auto"/>
        </w:rPr>
        <w:t>c. Ability to Source and Evaluate Transactions through our Investment Adviser’s Research Capability and Established Network</w:t>
      </w:r>
    </w:p>
    <w:p>
      <w:pPr>
        <w:spacing w:after="0" w:line="12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6"/>
          <w:szCs w:val="16"/>
          <w:color w:val="auto"/>
        </w:rPr>
        <w:t>The management team of the Investment Adviser has long-term relationships with financial sponsors, management consultants and management</w:t>
      </w:r>
    </w:p>
    <w:p>
      <w:pPr>
        <w:spacing w:after="0" w:line="46"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117"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81" w:lineRule="exact"/>
        <w:rPr>
          <w:sz w:val="20"/>
          <w:szCs w:val="20"/>
          <w:color w:val="auto"/>
        </w:rPr>
      </w:pPr>
    </w:p>
    <w:p>
      <w:pPr>
        <w:ind w:left="200" w:right="520" w:firstLine="443"/>
        <w:spacing w:after="0" w:line="277"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70"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60" w:firstLine="443"/>
        <w:spacing w:after="0" w:line="276" w:lineRule="auto"/>
        <w:rPr>
          <w:sz w:val="20"/>
          <w:szCs w:val="20"/>
          <w:color w:val="auto"/>
        </w:rPr>
      </w:pPr>
      <w:r>
        <w:rPr>
          <w:rFonts w:ascii="Arial" w:cs="Arial" w:eastAsia="Arial" w:hAnsi="Arial"/>
          <w:sz w:val="17"/>
          <w:szCs w:val="17"/>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We believe this has resulted in a less competitive environment for making new investments.</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in the accompanying prospectus for more information.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left="200" w:right="140" w:firstLine="443"/>
        <w:spacing w:after="0" w:line="271" w:lineRule="auto"/>
        <w:rPr>
          <w:sz w:val="20"/>
          <w:szCs w:val="20"/>
          <w:color w:val="auto"/>
        </w:rPr>
      </w:pPr>
      <w:r>
        <w:rPr>
          <w:rFonts w:ascii="Arial" w:cs="Arial" w:eastAsia="Arial" w:hAnsi="Arial"/>
          <w:sz w:val="17"/>
          <w:szCs w:val="17"/>
          <w:color w:val="auto"/>
        </w:rPr>
        <w:t>We maintain a multi-currency $545.0 million Credit Facility which matures in June 2019 and is secured by substantially all of our investment portfolio assets (excluding the assets of our SBIC Funds), under which we had $255.9 million and $145.5 million (including a $28.0 million temporary draw) in outstanding borrowings with a weighted average interest rate of 2.52% and 3.33% as of June 30, 2014 and September 30, 2013, respectively. Pricing of borrowings under our Credit Facility was set at 225 basis points over the London Interbank Offered Rate, or LIBOR, as of June 30, 2014 and at 275 basis points over LIBOR as of September 30, 2013. As of June 30, 2014 and September 30, 2013, we had $289.1 million and $284.5 million, respectively, available to us under our Credit Facility. We believe that our capital resources will provide us with the flexibility to take advantage of market opportunities when they arise. Our use of leverage, as calculated under the asset coverage requirements of the 1940 Act, may generally range between 60% to 80% of our net assets.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June 30, 2014 and September 30, 2013, our SBIC Funds had $225.0 million and $150.0 million in debt commitments, respectively,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$150.0 million was drawn for each period, with a weighted average interest rate of 3.70%. As of June 30, 2014 and September 30, 2013, we had $75.0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million and no remaining borrowing capacity, respectively, under our SBIC debt commitments. SBA debentures offer competitive terms such as being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non-recourse to us, semi-annual interest payments, not requiring principal payments prior to maturity and may be prepaid at any time without penalty.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SBA debentures are secured by all the investment portfolio assets of SBIC LP and have a priority claim over such assets. See “Regulation” in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accompanying prospectus for more information.</w:t>
      </w:r>
    </w:p>
    <w:p>
      <w:pPr>
        <w:spacing w:after="0" w:line="211" w:lineRule="exact"/>
        <w:rPr>
          <w:sz w:val="20"/>
          <w:szCs w:val="20"/>
          <w:color w:val="auto"/>
        </w:rPr>
      </w:pPr>
    </w:p>
    <w:p>
      <w:pPr>
        <w:ind w:left="200" w:right="340" w:firstLine="443"/>
        <w:spacing w:after="0" w:line="276" w:lineRule="auto"/>
        <w:rPr>
          <w:sz w:val="20"/>
          <w:szCs w:val="20"/>
          <w:color w:val="auto"/>
        </w:rPr>
      </w:pPr>
      <w:r>
        <w:rPr>
          <w:rFonts w:ascii="Arial" w:cs="Arial" w:eastAsia="Arial" w:hAnsi="Arial"/>
          <w:sz w:val="17"/>
          <w:szCs w:val="17"/>
          <w:color w:val="auto"/>
        </w:rPr>
        <w:t>As of June 30, 2014 and September 30, 2013, we had $71.3 million in aggregate principal amount of 2025 Notes.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173" w:lineRule="exact"/>
        <w:rPr>
          <w:sz w:val="20"/>
          <w:szCs w:val="20"/>
          <w:color w:val="auto"/>
        </w:rPr>
      </w:pPr>
    </w:p>
    <w:p>
      <w:pPr>
        <w:ind w:left="200" w:right="700" w:firstLine="443"/>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Operations—Liquidity and Capital Resources” in this prospectus supplement and in the accompanying prospectus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200" w:right="20" w:firstLine="443"/>
        <w:spacing w:after="0" w:line="302" w:lineRule="auto"/>
        <w:rPr>
          <w:sz w:val="20"/>
          <w:szCs w:val="20"/>
          <w:color w:val="auto"/>
        </w:rPr>
      </w:pPr>
      <w:r>
        <w:rPr>
          <w:rFonts w:ascii="Arial" w:cs="Arial" w:eastAsia="Arial" w:hAnsi="Arial"/>
          <w:sz w:val="16"/>
          <w:szCs w:val="16"/>
          <w:color w:val="auto"/>
        </w:rPr>
        <w:t>Our investment activities are managed by PennantPark Investment Advisers and are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00" w:firstLine="443"/>
        <w:spacing w:after="0" w:line="257"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 in the accompanying prospectus for more information.</w:t>
      </w:r>
    </w:p>
    <w:p>
      <w:pPr>
        <w:spacing w:after="0" w:line="188" w:lineRule="exact"/>
        <w:rPr>
          <w:sz w:val="20"/>
          <w:szCs w:val="20"/>
          <w:color w:val="auto"/>
        </w:rPr>
      </w:pPr>
    </w:p>
    <w:p>
      <w:pPr>
        <w:ind w:left="200" w:right="20" w:firstLine="443"/>
        <w:spacing w:after="0" w:line="302"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in the accompanying prospectus for more information. We have elected, and intend to qualify annually, to be treated for federal income tax purposes under the Code as a RIC. See “Certain U.S. Federal Income Tax Considerations” in this prospectus supplement and “Material U.S. Federal Income Tax Considerations” in the accompanying prospectus for more information.</w:t>
      </w:r>
    </w:p>
    <w:p>
      <w:pPr>
        <w:spacing w:after="0" w:line="154" w:lineRule="exact"/>
        <w:rPr>
          <w:sz w:val="20"/>
          <w:szCs w:val="20"/>
          <w:color w:val="auto"/>
        </w:rPr>
      </w:pPr>
    </w:p>
    <w:p>
      <w:pPr>
        <w:ind w:left="200" w:right="40" w:firstLine="443"/>
        <w:spacing w:after="0" w:line="286" w:lineRule="auto"/>
        <w:rPr>
          <w:sz w:val="20"/>
          <w:szCs w:val="20"/>
          <w:color w:val="auto"/>
        </w:rPr>
      </w:pPr>
      <w:r>
        <w:rPr>
          <w:rFonts w:ascii="Arial" w:cs="Arial" w:eastAsia="Arial" w:hAnsi="Arial"/>
          <w:sz w:val="17"/>
          <w:szCs w:val="17"/>
          <w:color w:val="auto"/>
        </w:rPr>
        <w:t>Our wholly-owned SBIC Funds received licenses from the SBA to operate as SBICs under Section 301(c) of the 1958 Act and are regulated by the SBA. The SBA regulates, among other matters, investing activities and periodically examines our SBIC Funds’ operations. We serve as the investment adviser and administrator to our SBIC Funds. See “Regulation” in the accompanying prospectus for more information.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We intend to use the net proceeds from selling securities pursuant to this prospectus supplement to reduce outstanding obligations under our Credit Facility. See “Use of Proceeds” in this prospectus supplement for information regarding our outstanding borrowings as of June 30, 2014 and the corresponding interest rate charged on such borrowings as of that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From June 30, 2014 through August 31, 2014, we invested $217.6 million in three new and eight existing portfolio companies with a weighted average yield on debt investments of 13.2%. Sales and repayments of investments for the same period totaled $32.7 million. As of August 31, 2014, there was $452.2 million in outstanding borrowings under the Credit Facility.</w:t>
      </w:r>
    </w:p>
    <w:p>
      <w:pPr>
        <w:spacing w:after="0" w:line="181"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color w:val="auto"/>
        </w:rPr>
        <w:t>On September 10, 2014, we sold 8.5 million shares of our common stock in an offering resulting in net proceeds of $95.4 million. We also granted the underwriters in that offering an option to purchase up to an additional 1.3 million shares of our common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right="80" w:firstLine="443"/>
        <w:spacing w:after="0" w:line="290"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“PNNT.”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Information contained on our website is not incorporated by reference into this prospectus supplement or the accompanying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prospectus, and you should not consider information contained on our website to be part of this prospectus supplement or accompanying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35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6435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THE OFFERING</w:t>
      </w:r>
    </w:p>
    <w:p>
      <w:pPr>
        <w:spacing w:after="0" w:line="229" w:lineRule="exact"/>
        <w:rPr>
          <w:sz w:val="20"/>
          <w:szCs w:val="20"/>
          <w:color w:val="auto"/>
        </w:rPr>
      </w:pPr>
    </w:p>
    <w:p>
      <w:pPr>
        <w:ind w:left="200" w:right="220" w:firstLine="443"/>
        <w:spacing w:after="0" w:line="255" w:lineRule="auto"/>
        <w:rPr>
          <w:sz w:val="20"/>
          <w:szCs w:val="20"/>
          <w:color w:val="auto"/>
        </w:rPr>
      </w:pPr>
      <w:r>
        <w:rPr>
          <w:rFonts w:ascii="Arial" w:cs="Arial" w:eastAsia="Arial" w:hAnsi="Arial"/>
          <w:sz w:val="18"/>
          <w:szCs w:val="18"/>
          <w:color w:val="auto"/>
        </w:rPr>
        <w:t>This prospectus supplement sets forth certain terms of the Notes that we are offering pursuant to this prospectus supplement and the accompanying prospectus that is attached to the back of this prospectus supplement. This section outlines the specific legal and financial terms of the Notes under the heading “Description of the Notes.” You should read this section together with the more general description of the Notes in the accompanying prospectus under the heading “Description of Our Debt Securities” before investing in the Notes and under the heading “Description of the Notes” in this prospectus supplement. Capitalized terms used in this prospectus supplement and not otherwise defined shall have the meanings ascribed to them in the accompanying prospectus or in the indenture governing the Notes.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Issuer</w:t>
            </w:r>
          </w:p>
        </w:tc>
        <w:tc>
          <w:tcPr>
            <w:tcW w:w="70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PennantPark Investment Corporation</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Title of the securities</w:t>
            </w:r>
          </w:p>
        </w:tc>
        <w:tc>
          <w:tcPr>
            <w:tcW w:w="7260" w:type="dxa"/>
            <w:vAlign w:val="bottom"/>
            <w:gridSpan w:val="2"/>
          </w:tcPr>
          <w:p>
            <w:pPr>
              <w:ind w:left="980"/>
              <w:spacing w:after="0"/>
              <w:rPr>
                <w:sz w:val="20"/>
                <w:szCs w:val="20"/>
                <w:color w:val="auto"/>
              </w:rPr>
            </w:pPr>
            <w:r>
              <w:rPr>
                <w:rFonts w:ascii="Arial" w:cs="Arial" w:eastAsia="Arial" w:hAnsi="Arial"/>
                <w:sz w:val="18"/>
                <w:szCs w:val="18"/>
                <w:color w:val="auto"/>
              </w:rPr>
              <w:t>4.50% Notes due 2019</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Initial aggregate principal amount offered</w:t>
            </w:r>
          </w:p>
        </w:tc>
        <w:tc>
          <w:tcPr>
            <w:tcW w:w="70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$250,000,000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Initial public offering price</w:t>
            </w:r>
          </w:p>
        </w:tc>
        <w:tc>
          <w:tcPr>
            <w:tcW w:w="7260" w:type="dxa"/>
            <w:vAlign w:val="bottom"/>
            <w:gridSpan w:val="2"/>
          </w:tcPr>
          <w:p>
            <w:pPr>
              <w:ind w:left="980"/>
              <w:spacing w:after="0"/>
              <w:rPr>
                <w:sz w:val="20"/>
                <w:szCs w:val="20"/>
                <w:color w:val="auto"/>
              </w:rPr>
            </w:pPr>
            <w:r>
              <w:rPr>
                <w:rFonts w:ascii="Arial" w:cs="Arial" w:eastAsia="Arial" w:hAnsi="Arial"/>
                <w:sz w:val="18"/>
                <w:szCs w:val="18"/>
                <w:color w:val="auto"/>
              </w:rPr>
              <w:t>99.905% of the aggregate principal amount</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Principal payable at maturity</w:t>
            </w:r>
          </w:p>
        </w:tc>
        <w:tc>
          <w:tcPr>
            <w:tcW w:w="7060" w:type="dxa"/>
            <w:vAlign w:val="bottom"/>
            <w:shd w:val="clear" w:color="auto" w:fill="CCEEFF"/>
          </w:tcPr>
          <w:p>
            <w:pPr>
              <w:ind w:left="980"/>
              <w:spacing w:after="0" w:line="201" w:lineRule="exact"/>
              <w:rPr>
                <w:sz w:val="20"/>
                <w:szCs w:val="20"/>
                <w:color w:val="auto"/>
              </w:rPr>
            </w:pPr>
            <w:r>
              <w:rPr>
                <w:rFonts w:ascii="Arial" w:cs="Arial" w:eastAsia="Arial" w:hAnsi="Arial"/>
                <w:sz w:val="18"/>
                <w:szCs w:val="18"/>
                <w:color w:val="auto"/>
                <w:w w:val="92"/>
              </w:rPr>
              <w:t>100% of the aggregate principal amount; the principal amount of each Note will be</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70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2"/>
              </w:rPr>
              <w:t>payable on its stated maturity date at the office of the Paying Agent, Registrar and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70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5"/>
              </w:rPr>
              <w:t>Transfer Agent for the Notes or at such other office in New York City as we may</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70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designate.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rate</w:t>
            </w:r>
          </w:p>
        </w:tc>
        <w:tc>
          <w:tcPr>
            <w:tcW w:w="7260" w:type="dxa"/>
            <w:vAlign w:val="bottom"/>
            <w:gridSpan w:val="2"/>
          </w:tcPr>
          <w:p>
            <w:pPr>
              <w:ind w:left="980"/>
              <w:spacing w:after="0"/>
              <w:rPr>
                <w:sz w:val="20"/>
                <w:szCs w:val="20"/>
                <w:color w:val="auto"/>
              </w:rPr>
            </w:pPr>
            <w:r>
              <w:rPr>
                <w:rFonts w:ascii="Arial" w:cs="Arial" w:eastAsia="Arial" w:hAnsi="Arial"/>
                <w:sz w:val="18"/>
                <w:szCs w:val="18"/>
                <w:color w:val="auto"/>
              </w:rPr>
              <w:t>4.50% per year</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Yield to Maturity</w:t>
            </w:r>
          </w:p>
        </w:tc>
        <w:tc>
          <w:tcPr>
            <w:tcW w:w="70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4.521%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Trade Date</w:t>
            </w:r>
          </w:p>
        </w:tc>
        <w:tc>
          <w:tcPr>
            <w:tcW w:w="7260" w:type="dxa"/>
            <w:vAlign w:val="bottom"/>
            <w:gridSpan w:val="2"/>
          </w:tcPr>
          <w:p>
            <w:pPr>
              <w:ind w:left="980"/>
              <w:spacing w:after="0"/>
              <w:rPr>
                <w:sz w:val="20"/>
                <w:szCs w:val="20"/>
                <w:color w:val="auto"/>
              </w:rPr>
            </w:pPr>
            <w:r>
              <w:rPr>
                <w:rFonts w:ascii="Arial" w:cs="Arial" w:eastAsia="Arial" w:hAnsi="Arial"/>
                <w:sz w:val="18"/>
                <w:szCs w:val="18"/>
                <w:color w:val="auto"/>
              </w:rPr>
              <w:t>September 16, 2014</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Stated Maturity</w:t>
            </w:r>
          </w:p>
        </w:tc>
        <w:tc>
          <w:tcPr>
            <w:tcW w:w="70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October 1, 2019</w:t>
            </w: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Day count basis</w:t>
            </w:r>
          </w:p>
        </w:tc>
        <w:tc>
          <w:tcPr>
            <w:tcW w:w="7260" w:type="dxa"/>
            <w:vAlign w:val="bottom"/>
            <w:gridSpan w:val="2"/>
          </w:tcPr>
          <w:p>
            <w:pPr>
              <w:ind w:left="980"/>
              <w:spacing w:after="0"/>
              <w:rPr>
                <w:sz w:val="20"/>
                <w:szCs w:val="20"/>
                <w:color w:val="auto"/>
              </w:rPr>
            </w:pPr>
            <w:r>
              <w:rPr>
                <w:rFonts w:ascii="Arial" w:cs="Arial" w:eastAsia="Arial" w:hAnsi="Arial"/>
                <w:sz w:val="18"/>
                <w:szCs w:val="18"/>
                <w:color w:val="auto"/>
              </w:rPr>
              <w:t>360-day year of twelve 30-day months</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payment dates</w:t>
            </w:r>
          </w:p>
        </w:tc>
        <w:tc>
          <w:tcPr>
            <w:tcW w:w="7060" w:type="dxa"/>
            <w:vAlign w:val="bottom"/>
            <w:shd w:val="clear" w:color="auto" w:fill="CCEEFF"/>
          </w:tcPr>
          <w:p>
            <w:pPr>
              <w:ind w:left="980"/>
              <w:spacing w:after="0" w:line="201" w:lineRule="exact"/>
              <w:rPr>
                <w:sz w:val="20"/>
                <w:szCs w:val="20"/>
                <w:color w:val="auto"/>
              </w:rPr>
            </w:pPr>
            <w:r>
              <w:rPr>
                <w:rFonts w:ascii="Arial" w:cs="Arial" w:eastAsia="Arial" w:hAnsi="Arial"/>
                <w:sz w:val="18"/>
                <w:szCs w:val="18"/>
                <w:color w:val="auto"/>
                <w:w w:val="97"/>
              </w:rPr>
              <w:t>Every April 1 and October 1, commencing April 1, 2015. If an interest payment</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70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0"/>
              </w:rPr>
              <w:t>date is a non-business day, the applicable interest payment will be made on the next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70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7"/>
              </w:rPr>
              <w:t>business day, and no additional interest will accrue as a result of such delayed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70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payment.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Ranking of Notes</w:t>
            </w:r>
          </w:p>
        </w:tc>
        <w:tc>
          <w:tcPr>
            <w:tcW w:w="7260" w:type="dxa"/>
            <w:vAlign w:val="bottom"/>
            <w:gridSpan w:val="2"/>
          </w:tcPr>
          <w:p>
            <w:pPr>
              <w:ind w:left="980"/>
              <w:spacing w:after="0"/>
              <w:rPr>
                <w:sz w:val="20"/>
                <w:szCs w:val="20"/>
                <w:color w:val="auto"/>
              </w:rPr>
            </w:pPr>
            <w:r>
              <w:rPr>
                <w:rFonts w:ascii="Arial" w:cs="Arial" w:eastAsia="Arial" w:hAnsi="Arial"/>
                <w:sz w:val="18"/>
                <w:szCs w:val="18"/>
                <w:color w:val="auto"/>
              </w:rPr>
              <w:t>The Notes will be our direct unsecured obligations and will rank:</w:t>
            </w:r>
          </w:p>
        </w:tc>
        <w:tc>
          <w:tcPr>
            <w:tcW w:w="0" w:type="dxa"/>
            <w:vAlign w:val="bottom"/>
          </w:tcPr>
          <w:p>
            <w:pPr>
              <w:spacing w:after="0"/>
              <w:rPr>
                <w:sz w:val="1"/>
                <w:szCs w:val="1"/>
                <w:color w:val="auto"/>
              </w:rPr>
            </w:pPr>
          </w:p>
        </w:tc>
      </w:tr>
      <w:tr>
        <w:trPr>
          <w:trHeight w:val="310"/>
        </w:trPr>
        <w:tc>
          <w:tcPr>
            <w:tcW w:w="2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7260" w:type="dxa"/>
            <w:vAlign w:val="bottom"/>
            <w:gridSpan w:val="2"/>
          </w:tcPr>
          <w:p>
            <w:pPr>
              <w:ind w:left="980"/>
              <w:spacing w:after="0"/>
              <w:rPr>
                <w:sz w:val="20"/>
                <w:szCs w:val="20"/>
                <w:color w:val="auto"/>
              </w:rPr>
            </w:pPr>
            <w:r>
              <w:rPr>
                <w:rFonts w:ascii="Arial" w:cs="Arial" w:eastAsia="Arial" w:hAnsi="Arial"/>
                <w:sz w:val="18"/>
                <w:szCs w:val="18"/>
                <w:color w:val="auto"/>
                <w:w w:val="95"/>
              </w:rPr>
              <w:t xml:space="preserve">•  </w:t>
            </w:r>
            <w:r>
              <w:rPr>
                <w:rFonts w:ascii="Arial" w:cs="Arial" w:eastAsia="Arial" w:hAnsi="Arial"/>
                <w:sz w:val="18"/>
                <w:szCs w:val="18"/>
                <w:i w:val="1"/>
                <w:iCs w:val="1"/>
                <w:color w:val="auto"/>
                <w:w w:val="95"/>
              </w:rPr>
              <w:t>pari passu</w:t>
            </w:r>
            <w:r>
              <w:rPr>
                <w:rFonts w:ascii="Arial" w:cs="Arial" w:eastAsia="Arial" w:hAnsi="Arial"/>
                <w:sz w:val="18"/>
                <w:szCs w:val="18"/>
                <w:color w:val="auto"/>
                <w:w w:val="95"/>
              </w:rPr>
              <w:t xml:space="preserve"> with existing and future senior unsecured indebtedness, including our</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260" w:type="dxa"/>
            <w:vAlign w:val="bottom"/>
            <w:gridSpan w:val="2"/>
          </w:tcPr>
          <w:p>
            <w:pPr>
              <w:ind w:left="1260"/>
              <w:spacing w:after="0"/>
              <w:rPr>
                <w:sz w:val="20"/>
                <w:szCs w:val="20"/>
                <w:color w:val="auto"/>
              </w:rPr>
            </w:pPr>
            <w:r>
              <w:rPr>
                <w:rFonts w:ascii="Arial" w:cs="Arial" w:eastAsia="Arial" w:hAnsi="Arial"/>
                <w:sz w:val="18"/>
                <w:szCs w:val="18"/>
                <w:color w:val="auto"/>
              </w:rPr>
              <w:t>2025 Notes of which approximately $71.3 million was outstanding as of</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7260" w:type="dxa"/>
            <w:vAlign w:val="bottom"/>
            <w:gridSpan w:val="2"/>
          </w:tcPr>
          <w:p>
            <w:pPr>
              <w:ind w:left="1260"/>
              <w:spacing w:after="0"/>
              <w:rPr>
                <w:sz w:val="20"/>
                <w:szCs w:val="20"/>
                <w:color w:val="auto"/>
              </w:rPr>
            </w:pPr>
            <w:r>
              <w:rPr>
                <w:rFonts w:ascii="Arial" w:cs="Arial" w:eastAsia="Arial" w:hAnsi="Arial"/>
                <w:sz w:val="18"/>
                <w:szCs w:val="18"/>
                <w:color w:val="auto"/>
              </w:rPr>
              <w:t>June 30, 2014;</w:t>
            </w:r>
          </w:p>
        </w:tc>
        <w:tc>
          <w:tcPr>
            <w:tcW w:w="0" w:type="dxa"/>
            <w:vAlign w:val="bottom"/>
          </w:tcPr>
          <w:p>
            <w:pPr>
              <w:spacing w:after="0"/>
              <w:rPr>
                <w:sz w:val="1"/>
                <w:szCs w:val="1"/>
                <w:color w:val="auto"/>
              </w:rPr>
            </w:pPr>
          </w:p>
        </w:tc>
      </w:tr>
      <w:tr>
        <w:trPr>
          <w:trHeight w:val="310"/>
        </w:trPr>
        <w:tc>
          <w:tcPr>
            <w:tcW w:w="2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7260" w:type="dxa"/>
            <w:vAlign w:val="bottom"/>
            <w:gridSpan w:val="2"/>
          </w:tcPr>
          <w:p>
            <w:pPr>
              <w:ind w:left="980"/>
              <w:spacing w:after="0"/>
              <w:rPr>
                <w:sz w:val="20"/>
                <w:szCs w:val="20"/>
                <w:color w:val="auto"/>
              </w:rPr>
            </w:pPr>
            <w:r>
              <w:rPr>
                <w:rFonts w:ascii="Arial" w:cs="Arial" w:eastAsia="Arial" w:hAnsi="Arial"/>
                <w:sz w:val="18"/>
                <w:szCs w:val="18"/>
                <w:color w:val="auto"/>
                <w:w w:val="94"/>
              </w:rPr>
              <w:t>•  senior to any of our future indebtedness that expressly states it is subordinated to</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7260" w:type="dxa"/>
            <w:vAlign w:val="bottom"/>
            <w:gridSpan w:val="2"/>
          </w:tcPr>
          <w:p>
            <w:pPr>
              <w:ind w:left="1260"/>
              <w:spacing w:after="0"/>
              <w:rPr>
                <w:sz w:val="20"/>
                <w:szCs w:val="20"/>
                <w:color w:val="auto"/>
              </w:rPr>
            </w:pPr>
            <w:r>
              <w:rPr>
                <w:rFonts w:ascii="Arial" w:cs="Arial" w:eastAsia="Arial" w:hAnsi="Arial"/>
                <w:sz w:val="18"/>
                <w:szCs w:val="18"/>
                <w:color w:val="auto"/>
              </w:rPr>
              <w:t>the Notes;</w:t>
            </w:r>
          </w:p>
        </w:tc>
        <w:tc>
          <w:tcPr>
            <w:tcW w:w="0" w:type="dxa"/>
            <w:vAlign w:val="bottom"/>
          </w:tcPr>
          <w:p>
            <w:pPr>
              <w:spacing w:after="0"/>
              <w:rPr>
                <w:sz w:val="1"/>
                <w:szCs w:val="1"/>
                <w:color w:val="auto"/>
              </w:rPr>
            </w:pPr>
          </w:p>
        </w:tc>
      </w:tr>
      <w:tr>
        <w:trPr>
          <w:trHeight w:val="310"/>
        </w:trPr>
        <w:tc>
          <w:tcPr>
            <w:tcW w:w="2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7260" w:type="dxa"/>
            <w:vAlign w:val="bottom"/>
            <w:gridSpan w:val="2"/>
          </w:tcPr>
          <w:p>
            <w:pPr>
              <w:ind w:left="980"/>
              <w:spacing w:after="0"/>
              <w:rPr>
                <w:sz w:val="20"/>
                <w:szCs w:val="20"/>
                <w:color w:val="auto"/>
              </w:rPr>
            </w:pPr>
            <w:r>
              <w:rPr>
                <w:rFonts w:ascii="Arial" w:cs="Arial" w:eastAsia="Arial" w:hAnsi="Arial"/>
                <w:sz w:val="18"/>
                <w:szCs w:val="18"/>
                <w:color w:val="auto"/>
                <w:w w:val="98"/>
              </w:rPr>
              <w:t>•  effectively subordinated to all of our existing and future secured indebtedness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260" w:type="dxa"/>
            <w:vAlign w:val="bottom"/>
            <w:gridSpan w:val="2"/>
          </w:tcPr>
          <w:p>
            <w:pPr>
              <w:ind w:left="1260"/>
              <w:spacing w:after="0"/>
              <w:rPr>
                <w:sz w:val="20"/>
                <w:szCs w:val="20"/>
                <w:color w:val="auto"/>
              </w:rPr>
            </w:pPr>
            <w:r>
              <w:rPr>
                <w:rFonts w:ascii="Arial" w:cs="Arial" w:eastAsia="Arial" w:hAnsi="Arial"/>
                <w:sz w:val="18"/>
                <w:szCs w:val="18"/>
                <w:color w:val="auto"/>
                <w:w w:val="94"/>
              </w:rPr>
              <w:t>(including indebtedness that is initially unsecured, but to which we subsequently</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260" w:type="dxa"/>
            <w:vAlign w:val="bottom"/>
            <w:gridSpan w:val="2"/>
          </w:tcPr>
          <w:p>
            <w:pPr>
              <w:ind w:left="1260"/>
              <w:spacing w:after="0"/>
              <w:rPr>
                <w:sz w:val="20"/>
                <w:szCs w:val="20"/>
                <w:color w:val="auto"/>
              </w:rPr>
            </w:pPr>
            <w:r>
              <w:rPr>
                <w:rFonts w:ascii="Arial" w:cs="Arial" w:eastAsia="Arial" w:hAnsi="Arial"/>
                <w:sz w:val="18"/>
                <w:szCs w:val="18"/>
                <w:color w:val="auto"/>
              </w:rPr>
              <w:t>grant security), to the extent of the value of the assets securing such</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260" w:type="dxa"/>
            <w:vAlign w:val="bottom"/>
            <w:gridSpan w:val="2"/>
          </w:tcPr>
          <w:p>
            <w:pPr>
              <w:ind w:left="1260"/>
              <w:spacing w:after="0"/>
              <w:rPr>
                <w:sz w:val="20"/>
                <w:szCs w:val="20"/>
                <w:color w:val="auto"/>
              </w:rPr>
            </w:pPr>
            <w:r>
              <w:rPr>
                <w:rFonts w:ascii="Arial" w:cs="Arial" w:eastAsia="Arial" w:hAnsi="Arial"/>
                <w:sz w:val="18"/>
                <w:szCs w:val="18"/>
                <w:color w:val="auto"/>
              </w:rPr>
              <w:t>indebtedness, including approximately $452.2 million of borrowings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260" w:type="dxa"/>
            <w:vAlign w:val="bottom"/>
            <w:gridSpan w:val="2"/>
          </w:tcPr>
          <w:p>
            <w:pPr>
              <w:ind w:left="1260"/>
              <w:spacing w:after="0"/>
              <w:rPr>
                <w:sz w:val="20"/>
                <w:szCs w:val="20"/>
                <w:color w:val="auto"/>
              </w:rPr>
            </w:pPr>
            <w:r>
              <w:rPr>
                <w:rFonts w:ascii="Arial" w:cs="Arial" w:eastAsia="Arial" w:hAnsi="Arial"/>
                <w:sz w:val="18"/>
                <w:szCs w:val="18"/>
                <w:color w:val="auto"/>
                <w:w w:val="96"/>
              </w:rPr>
              <w:t>outstanding as of August 31, 2014 under our $545.0 million the Credit Facility,</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7260" w:type="dxa"/>
            <w:vAlign w:val="bottom"/>
            <w:gridSpan w:val="2"/>
          </w:tcPr>
          <w:p>
            <w:pPr>
              <w:ind w:left="1260"/>
              <w:spacing w:after="0"/>
              <w:rPr>
                <w:sz w:val="20"/>
                <w:szCs w:val="20"/>
                <w:color w:val="auto"/>
              </w:rPr>
            </w:pPr>
            <w:r>
              <w:rPr>
                <w:rFonts w:ascii="Arial" w:cs="Arial" w:eastAsia="Arial" w:hAnsi="Arial"/>
                <w:sz w:val="18"/>
                <w:szCs w:val="18"/>
                <w:color w:val="auto"/>
              </w:rPr>
              <w:t>to the extent of the value of the assets securing the Credit Facility; and</w:t>
            </w:r>
          </w:p>
        </w:tc>
        <w:tc>
          <w:tcPr>
            <w:tcW w:w="0" w:type="dxa"/>
            <w:vAlign w:val="bottom"/>
          </w:tcPr>
          <w:p>
            <w:pPr>
              <w:spacing w:after="0"/>
              <w:rPr>
                <w:sz w:val="1"/>
                <w:szCs w:val="1"/>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4000" w:type="dxa"/>
            <w:vAlign w:val="bottom"/>
            <w:tcBorders>
              <w:bottom w:val="single" w:sz="8" w:color="auto"/>
            </w:tcBorders>
          </w:tcPr>
          <w:p>
            <w:pPr>
              <w:spacing w:after="0"/>
              <w:rPr>
                <w:sz w:val="13"/>
                <w:szCs w:val="13"/>
                <w:color w:val="auto"/>
              </w:rPr>
            </w:pPr>
          </w:p>
        </w:tc>
        <w:tc>
          <w:tcPr>
            <w:tcW w:w="70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7260" w:type="dxa"/>
            <w:vAlign w:val="bottom"/>
            <w:gridSpan w:val="2"/>
          </w:tcPr>
          <w:p>
            <w:pPr>
              <w:ind w:left="1380"/>
              <w:spacing w:after="0"/>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SUMMARY OF THE OFFERING (continued)</w:t>
      </w:r>
    </w:p>
    <w:p>
      <w:pPr>
        <w:spacing w:after="0" w:line="121" w:lineRule="exact"/>
        <w:rPr>
          <w:sz w:val="20"/>
          <w:szCs w:val="20"/>
          <w:color w:val="auto"/>
        </w:rPr>
      </w:pPr>
    </w:p>
    <w:p>
      <w:pPr>
        <w:ind w:left="5180"/>
        <w:spacing w:after="0"/>
        <w:tabs>
          <w:tab w:leader="none" w:pos="5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structurally subordinated to all existing and future indebtedness and other</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6380" w:type="dxa"/>
            <w:vAlign w:val="bottom"/>
            <w:gridSpan w:val="2"/>
          </w:tcPr>
          <w:p>
            <w:pPr>
              <w:ind w:left="380"/>
              <w:spacing w:after="0"/>
              <w:rPr>
                <w:sz w:val="20"/>
                <w:szCs w:val="20"/>
                <w:color w:val="auto"/>
              </w:rPr>
            </w:pPr>
            <w:r>
              <w:rPr>
                <w:rFonts w:ascii="Arial" w:cs="Arial" w:eastAsia="Arial" w:hAnsi="Arial"/>
                <w:sz w:val="18"/>
                <w:szCs w:val="18"/>
                <w:color w:val="auto"/>
              </w:rPr>
              <w:t>obligations of any of our subsidiaries, financing vehicles or similar facilities,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6380" w:type="dxa"/>
            <w:vAlign w:val="bottom"/>
            <w:gridSpan w:val="2"/>
          </w:tcPr>
          <w:p>
            <w:pPr>
              <w:ind w:left="380"/>
              <w:spacing w:after="0"/>
              <w:rPr>
                <w:sz w:val="20"/>
                <w:szCs w:val="20"/>
                <w:color w:val="auto"/>
              </w:rPr>
            </w:pPr>
            <w:r>
              <w:rPr>
                <w:rFonts w:ascii="Arial" w:cs="Arial" w:eastAsia="Arial" w:hAnsi="Arial"/>
                <w:sz w:val="18"/>
                <w:szCs w:val="18"/>
                <w:color w:val="auto"/>
              </w:rPr>
              <w:t>including our consolidated subsidiary SBIC LP’s SBA debentures of $150.0</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6380" w:type="dxa"/>
            <w:vAlign w:val="bottom"/>
            <w:gridSpan w:val="2"/>
          </w:tcPr>
          <w:p>
            <w:pPr>
              <w:ind w:left="380"/>
              <w:spacing w:after="0"/>
              <w:rPr>
                <w:sz w:val="20"/>
                <w:szCs w:val="20"/>
                <w:color w:val="auto"/>
              </w:rPr>
            </w:pPr>
            <w:r>
              <w:rPr>
                <w:rFonts w:ascii="Arial" w:cs="Arial" w:eastAsia="Arial" w:hAnsi="Arial"/>
                <w:sz w:val="18"/>
                <w:szCs w:val="18"/>
                <w:color w:val="auto"/>
              </w:rPr>
              <w:t>million of borrowings outstanding as of June 30, 2014 and any future</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6380" w:type="dxa"/>
            <w:vAlign w:val="bottom"/>
            <w:gridSpan w:val="2"/>
          </w:tcPr>
          <w:p>
            <w:pPr>
              <w:ind w:left="380"/>
              <w:spacing w:after="0"/>
              <w:rPr>
                <w:sz w:val="20"/>
                <w:szCs w:val="20"/>
                <w:color w:val="auto"/>
              </w:rPr>
            </w:pPr>
            <w:r>
              <w:rPr>
                <w:rFonts w:ascii="Arial" w:cs="Arial" w:eastAsia="Arial" w:hAnsi="Arial"/>
                <w:sz w:val="18"/>
                <w:szCs w:val="18"/>
                <w:color w:val="auto"/>
                <w:w w:val="98"/>
              </w:rPr>
              <w:t>indebtedness SBIC II may incur under its $75.0 million commitment from the</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6380" w:type="dxa"/>
            <w:vAlign w:val="bottom"/>
            <w:gridSpan w:val="2"/>
          </w:tcPr>
          <w:p>
            <w:pPr>
              <w:ind w:left="380"/>
              <w:spacing w:after="0"/>
              <w:rPr>
                <w:sz w:val="20"/>
                <w:szCs w:val="20"/>
                <w:color w:val="auto"/>
              </w:rPr>
            </w:pPr>
            <w:r>
              <w:rPr>
                <w:rFonts w:ascii="Arial" w:cs="Arial" w:eastAsia="Arial" w:hAnsi="Arial"/>
                <w:sz w:val="18"/>
                <w:szCs w:val="18"/>
                <w:color w:val="auto"/>
              </w:rPr>
              <w:t>SBA.</w:t>
            </w:r>
          </w:p>
        </w:tc>
        <w:tc>
          <w:tcPr>
            <w:tcW w:w="0" w:type="dxa"/>
            <w:vAlign w:val="bottom"/>
          </w:tcPr>
          <w:p>
            <w:pPr>
              <w:spacing w:after="0"/>
              <w:rPr>
                <w:sz w:val="1"/>
                <w:szCs w:val="1"/>
                <w:color w:val="auto"/>
              </w:rPr>
            </w:pPr>
          </w:p>
        </w:tc>
      </w:tr>
      <w:tr>
        <w:trPr>
          <w:trHeight w:val="310"/>
        </w:trPr>
        <w:tc>
          <w:tcPr>
            <w:tcW w:w="2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Denominations</w:t>
            </w: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w w:val="94"/>
              </w:rPr>
              <w:t>We will issue the Notes in denominations of $2,000 and integral multiples of $1,000</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in excess thereof.</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Optional Redemption</w:t>
            </w:r>
          </w:p>
        </w:tc>
        <w:tc>
          <w:tcPr>
            <w:tcW w:w="61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We may redeem in whole or in part at any time, or from time to time, at a</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redemption price equal to the greater of (1) 100% of the principal amount of the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Notes to be redeemed or (2) the sum of the present values of the remaining</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scheduled payments of principal and interest (exclusive of accrued and unpaid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interest to the date of redemption) on the Notes to be redeemed, discounted to the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redemption date on a semi-annual basis (assuming a 360-day year consisting of</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twelve 30-day months) using the applicable Treasury Rate (as defined in</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“Description of the Notes”) plus 45 basis points, plus, in each case, accrued and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unpaid interest to the redemption date.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Sinking fund</w:t>
            </w: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The Notes will not be subject to any sinking fund.</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Offer to Repurchase Upon a Change of Control Repurchase Event</w:t>
            </w:r>
          </w:p>
        </w:tc>
        <w:tc>
          <w:tcPr>
            <w:tcW w:w="61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If a Change of Control Repurchase Event occurs prior to maturity, holders will have</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the right, at their option, to require us to repurchase for cash some or all of the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Notes at a repurchase price equal to 100% of the principal amount of the Notes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being repurchased, plus accrued and unpaid interest to, but not including, the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repurchase date.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Defeasance</w:t>
            </w: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The Notes are subject to legal and covenant defeasance by us.</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Form of Notes</w:t>
            </w:r>
          </w:p>
        </w:tc>
        <w:tc>
          <w:tcPr>
            <w:tcW w:w="61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The Notes will be represented by global securities that will be deposited and</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registered in the name of DTC or its nominee. This means that, except in limited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circumstances, you will not receive certificates for the Notes. Beneficial interests in</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the Notes will be represented through book-entry accounts of financial institutions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acting on behalf of beneficial owners as direct and indirect participants in DTC.</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Investors may elect to hold interests in the Notes through either DTC, if they are a</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participant, or indirectly through organizations that are participants in DTC.</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Trustee, Paying Agent, Registrar and Transfer Agent</w:t>
            </w: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American Stock Transfer &amp; Trust Company, LLC</w:t>
            </w:r>
          </w:p>
        </w:tc>
        <w:tc>
          <w:tcPr>
            <w:tcW w:w="0" w:type="dxa"/>
            <w:vAlign w:val="bottom"/>
          </w:tcPr>
          <w:p>
            <w:pPr>
              <w:spacing w:after="0"/>
              <w:rPr>
                <w:sz w:val="1"/>
                <w:szCs w:val="1"/>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4880" w:type="dxa"/>
            <w:vAlign w:val="bottom"/>
            <w:tcBorders>
              <w:bottom w:val="single" w:sz="8" w:color="auto"/>
            </w:tcBorders>
          </w:tcPr>
          <w:p>
            <w:pPr>
              <w:spacing w:after="0"/>
              <w:rPr>
                <w:sz w:val="13"/>
                <w:szCs w:val="13"/>
                <w:color w:val="auto"/>
              </w:rPr>
            </w:pPr>
          </w:p>
        </w:tc>
        <w:tc>
          <w:tcPr>
            <w:tcW w:w="6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380" w:type="dxa"/>
            <w:vAlign w:val="bottom"/>
            <w:gridSpan w:val="2"/>
          </w:tcPr>
          <w:p>
            <w:pPr>
              <w:ind w:left="500"/>
              <w:spacing w:after="0"/>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8"/>
        </w:trPr>
        <w:tc>
          <w:tcPr>
            <w:tcW w:w="200" w:type="dxa"/>
            <w:vAlign w:val="bottom"/>
            <w:tcBorders>
              <w:top w:val="single" w:sz="8" w:color="auto"/>
              <w:left w:val="single" w:sz="8" w:color="auto"/>
            </w:tcBorders>
          </w:tcPr>
          <w:p>
            <w:pPr>
              <w:spacing w:after="0"/>
              <w:rPr>
                <w:sz w:val="24"/>
                <w:szCs w:val="24"/>
                <w:color w:val="auto"/>
              </w:rPr>
            </w:pPr>
          </w:p>
        </w:tc>
        <w:tc>
          <w:tcPr>
            <w:tcW w:w="3000" w:type="dxa"/>
            <w:vAlign w:val="bottom"/>
            <w:tcBorders>
              <w:top w:val="single" w:sz="8" w:color="auto"/>
            </w:tcBorders>
          </w:tcPr>
          <w:p>
            <w:pPr>
              <w:spacing w:after="0"/>
              <w:rPr>
                <w:sz w:val="24"/>
                <w:szCs w:val="24"/>
                <w:color w:val="auto"/>
              </w:rPr>
            </w:pPr>
          </w:p>
        </w:tc>
        <w:tc>
          <w:tcPr>
            <w:tcW w:w="8260" w:type="dxa"/>
            <w:vAlign w:val="bottom"/>
            <w:tcBorders>
              <w:top w:val="single" w:sz="8" w:color="auto"/>
              <w:right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SUMMARY OF THE OFFERING (continued)</w:t>
            </w:r>
          </w:p>
        </w:tc>
        <w:tc>
          <w:tcPr>
            <w:tcW w:w="0" w:type="dxa"/>
            <w:vAlign w:val="bottom"/>
          </w:tcPr>
          <w:p>
            <w:pPr>
              <w:spacing w:after="0"/>
              <w:rPr>
                <w:sz w:val="1"/>
                <w:szCs w:val="1"/>
                <w:color w:val="auto"/>
              </w:rPr>
            </w:pPr>
          </w:p>
        </w:tc>
      </w:tr>
      <w:tr>
        <w:trPr>
          <w:trHeight w:val="108"/>
        </w:trPr>
        <w:tc>
          <w:tcPr>
            <w:tcW w:w="200" w:type="dxa"/>
            <w:vAlign w:val="bottom"/>
            <w:tcBorders>
              <w:left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8060" w:type="dxa"/>
            <w:vAlign w:val="bottom"/>
          </w:tcPr>
          <w:p>
            <w:pPr>
              <w:spacing w:after="0"/>
              <w:rPr>
                <w:sz w:val="9"/>
                <w:szCs w:val="9"/>
                <w:color w:val="auto"/>
              </w:rPr>
            </w:pPr>
          </w:p>
        </w:tc>
        <w:tc>
          <w:tcPr>
            <w:tcW w:w="200" w:type="dxa"/>
            <w:vAlign w:val="bottom"/>
            <w:tcBorders>
              <w:right w:val="single" w:sz="8" w:color="auto"/>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tcBorders>
              <w:left w:val="single" w:sz="8" w:color="auto"/>
            </w:tcBorders>
          </w:tcPr>
          <w:p>
            <w:pPr>
              <w:spacing w:after="0"/>
              <w:rPr>
                <w:sz w:val="17"/>
                <w:szCs w:val="17"/>
                <w:color w:val="auto"/>
              </w:rPr>
            </w:pPr>
          </w:p>
        </w:tc>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Events of Default</w:t>
            </w:r>
          </w:p>
        </w:tc>
        <w:tc>
          <w:tcPr>
            <w:tcW w:w="8060" w:type="dxa"/>
            <w:vAlign w:val="bottom"/>
            <w:shd w:val="clear" w:color="auto" w:fill="CCEEFF"/>
          </w:tcPr>
          <w:p>
            <w:pPr>
              <w:ind w:left="1980"/>
              <w:spacing w:after="0" w:line="201" w:lineRule="exact"/>
              <w:rPr>
                <w:sz w:val="20"/>
                <w:szCs w:val="20"/>
                <w:color w:val="auto"/>
              </w:rPr>
            </w:pPr>
            <w:r>
              <w:rPr>
                <w:rFonts w:ascii="Arial" w:cs="Arial" w:eastAsia="Arial" w:hAnsi="Arial"/>
                <w:sz w:val="18"/>
                <w:szCs w:val="18"/>
                <w:color w:val="auto"/>
                <w:w w:val="92"/>
              </w:rPr>
              <w:t>If an event of default (as described herein under “Description of the Notes”) on the</w:t>
            </w:r>
          </w:p>
        </w:tc>
        <w:tc>
          <w:tcPr>
            <w:tcW w:w="2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8060" w:type="dxa"/>
            <w:vAlign w:val="bottom"/>
            <w:shd w:val="clear" w:color="auto" w:fill="CCEEFF"/>
          </w:tcPr>
          <w:p>
            <w:pPr>
              <w:ind w:left="1980"/>
              <w:spacing w:after="0"/>
              <w:rPr>
                <w:sz w:val="20"/>
                <w:szCs w:val="20"/>
                <w:color w:val="auto"/>
              </w:rPr>
            </w:pPr>
            <w:r>
              <w:rPr>
                <w:rFonts w:ascii="Arial" w:cs="Arial" w:eastAsia="Arial" w:hAnsi="Arial"/>
                <w:sz w:val="18"/>
                <w:szCs w:val="18"/>
                <w:color w:val="auto"/>
                <w:w w:val="92"/>
              </w:rPr>
              <w:t>Notes occurs, the principal amount of the Notes, plus accrued and unpaid interest,</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8060" w:type="dxa"/>
            <w:vAlign w:val="bottom"/>
            <w:shd w:val="clear" w:color="auto" w:fill="CCEEFF"/>
          </w:tcPr>
          <w:p>
            <w:pPr>
              <w:ind w:left="1980"/>
              <w:spacing w:after="0"/>
              <w:rPr>
                <w:sz w:val="20"/>
                <w:szCs w:val="20"/>
                <w:color w:val="auto"/>
              </w:rPr>
            </w:pPr>
            <w:r>
              <w:rPr>
                <w:rFonts w:ascii="Arial" w:cs="Arial" w:eastAsia="Arial" w:hAnsi="Arial"/>
                <w:sz w:val="18"/>
                <w:szCs w:val="18"/>
                <w:color w:val="auto"/>
                <w:w w:val="91"/>
              </w:rPr>
              <w:t>may be declared immediately due and payable, subject to conditions set forth in the</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806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indenture.</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0" w:type="dxa"/>
            <w:vAlign w:val="bottom"/>
            <w:tcBorders>
              <w:left w:val="single" w:sz="8" w:color="auto"/>
            </w:tcBorders>
          </w:tcPr>
          <w:p>
            <w:pPr>
              <w:spacing w:after="0"/>
              <w:rPr>
                <w:sz w:val="24"/>
                <w:szCs w:val="24"/>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Other covenants</w:t>
            </w:r>
          </w:p>
        </w:tc>
        <w:tc>
          <w:tcPr>
            <w:tcW w:w="8260" w:type="dxa"/>
            <w:vAlign w:val="bottom"/>
            <w:tcBorders>
              <w:right w:val="single" w:sz="8" w:color="auto"/>
            </w:tcBorders>
            <w:gridSpan w:val="2"/>
          </w:tcPr>
          <w:p>
            <w:pPr>
              <w:ind w:left="1980"/>
              <w:spacing w:after="0"/>
              <w:rPr>
                <w:sz w:val="20"/>
                <w:szCs w:val="20"/>
                <w:color w:val="auto"/>
              </w:rPr>
            </w:pPr>
            <w:r>
              <w:rPr>
                <w:rFonts w:ascii="Arial" w:cs="Arial" w:eastAsia="Arial" w:hAnsi="Arial"/>
                <w:sz w:val="18"/>
                <w:szCs w:val="18"/>
                <w:color w:val="auto"/>
                <w:w w:val="97"/>
              </w:rPr>
              <w:t>The lien covenant included in the form of indenture will not apply to the Notes. In</w:t>
            </w: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60" w:type="dxa"/>
            <w:vAlign w:val="bottom"/>
            <w:tcBorders>
              <w:right w:val="single" w:sz="8" w:color="auto"/>
            </w:tcBorders>
            <w:gridSpan w:val="2"/>
          </w:tcPr>
          <w:p>
            <w:pPr>
              <w:ind w:left="1980"/>
              <w:spacing w:after="0"/>
              <w:rPr>
                <w:sz w:val="20"/>
                <w:szCs w:val="20"/>
                <w:color w:val="auto"/>
              </w:rPr>
            </w:pPr>
            <w:r>
              <w:rPr>
                <w:rFonts w:ascii="Arial" w:cs="Arial" w:eastAsia="Arial" w:hAnsi="Arial"/>
                <w:sz w:val="18"/>
                <w:szCs w:val="18"/>
                <w:color w:val="auto"/>
                <w:w w:val="96"/>
              </w:rPr>
              <w:t>addition to the covenants described in the prospectus attached to this prospectus</w:t>
            </w: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60" w:type="dxa"/>
            <w:vAlign w:val="bottom"/>
            <w:tcBorders>
              <w:right w:val="single" w:sz="8" w:color="auto"/>
            </w:tcBorders>
            <w:gridSpan w:val="2"/>
          </w:tcPr>
          <w:p>
            <w:pPr>
              <w:ind w:left="1980"/>
              <w:spacing w:after="0"/>
              <w:rPr>
                <w:sz w:val="20"/>
                <w:szCs w:val="20"/>
                <w:color w:val="auto"/>
              </w:rPr>
            </w:pPr>
            <w:r>
              <w:rPr>
                <w:rFonts w:ascii="Arial" w:cs="Arial" w:eastAsia="Arial" w:hAnsi="Arial"/>
                <w:sz w:val="18"/>
                <w:szCs w:val="18"/>
                <w:color w:val="auto"/>
              </w:rPr>
              <w:t>supplement, the following covenants will apply to the Notes:</w:t>
            </w:r>
          </w:p>
        </w:tc>
        <w:tc>
          <w:tcPr>
            <w:tcW w:w="0" w:type="dxa"/>
            <w:vAlign w:val="bottom"/>
          </w:tcPr>
          <w:p>
            <w:pPr>
              <w:spacing w:after="0"/>
              <w:rPr>
                <w:sz w:val="1"/>
                <w:szCs w:val="1"/>
                <w:color w:val="auto"/>
              </w:rPr>
            </w:pPr>
          </w:p>
        </w:tc>
      </w:tr>
      <w:tr>
        <w:trPr>
          <w:trHeight w:val="108"/>
        </w:trPr>
        <w:tc>
          <w:tcPr>
            <w:tcW w:w="200" w:type="dxa"/>
            <w:vAlign w:val="bottom"/>
            <w:tcBorders>
              <w:left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8060" w:type="dxa"/>
            <w:vAlign w:val="bottom"/>
          </w:tcPr>
          <w:p>
            <w:pPr>
              <w:spacing w:after="0"/>
              <w:rPr>
                <w:sz w:val="9"/>
                <w:szCs w:val="9"/>
                <w:color w:val="auto"/>
              </w:rPr>
            </w:pPr>
          </w:p>
        </w:tc>
        <w:tc>
          <w:tcPr>
            <w:tcW w:w="200" w:type="dxa"/>
            <w:vAlign w:val="bottom"/>
            <w:tcBorders>
              <w:right w:val="single" w:sz="8" w:color="auto"/>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tcBorders>
              <w:left w:val="single" w:sz="8" w:color="auto"/>
            </w:tcBorders>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8060" w:type="dxa"/>
            <w:vAlign w:val="bottom"/>
            <w:shd w:val="clear" w:color="auto" w:fill="CCEEFF"/>
          </w:tcPr>
          <w:p>
            <w:pPr>
              <w:ind w:left="1980"/>
              <w:spacing w:after="0" w:line="201" w:lineRule="exact"/>
              <w:rPr>
                <w:sz w:val="20"/>
                <w:szCs w:val="20"/>
                <w:color w:val="auto"/>
              </w:rPr>
            </w:pPr>
            <w:r>
              <w:rPr>
                <w:rFonts w:ascii="Arial" w:cs="Arial" w:eastAsia="Arial" w:hAnsi="Arial"/>
                <w:sz w:val="18"/>
                <w:szCs w:val="18"/>
                <w:color w:val="auto"/>
                <w:w w:val="93"/>
              </w:rPr>
              <w:t>•  we agree that for the period of time during which the Notes are outstanding, we</w:t>
            </w:r>
          </w:p>
        </w:tc>
        <w:tc>
          <w:tcPr>
            <w:tcW w:w="2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8060" w:type="dxa"/>
            <w:vAlign w:val="bottom"/>
            <w:shd w:val="clear" w:color="auto" w:fill="CCEEFF"/>
          </w:tcPr>
          <w:p>
            <w:pPr>
              <w:ind w:left="2260"/>
              <w:spacing w:after="0"/>
              <w:rPr>
                <w:sz w:val="20"/>
                <w:szCs w:val="20"/>
                <w:color w:val="auto"/>
              </w:rPr>
            </w:pPr>
            <w:r>
              <w:rPr>
                <w:rFonts w:ascii="Arial" w:cs="Arial" w:eastAsia="Arial" w:hAnsi="Arial"/>
                <w:sz w:val="18"/>
                <w:szCs w:val="18"/>
                <w:color w:val="auto"/>
                <w:w w:val="93"/>
              </w:rPr>
              <w:t>will not violate Section 18(a)(1)(A) as modified by Section 61(a)(1) of the 1940</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8060" w:type="dxa"/>
            <w:vAlign w:val="bottom"/>
            <w:shd w:val="clear" w:color="auto" w:fill="CCEEFF"/>
          </w:tcPr>
          <w:p>
            <w:pPr>
              <w:ind w:left="2260"/>
              <w:spacing w:after="0"/>
              <w:rPr>
                <w:sz w:val="20"/>
                <w:szCs w:val="20"/>
                <w:color w:val="auto"/>
              </w:rPr>
            </w:pPr>
            <w:r>
              <w:rPr>
                <w:rFonts w:ascii="Arial" w:cs="Arial" w:eastAsia="Arial" w:hAnsi="Arial"/>
                <w:sz w:val="18"/>
                <w:szCs w:val="18"/>
                <w:color w:val="auto"/>
              </w:rPr>
              <w:t>Act or any successor provisions.</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0" w:type="dxa"/>
            <w:vAlign w:val="bottom"/>
            <w:tcBorders>
              <w:left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8260" w:type="dxa"/>
            <w:vAlign w:val="bottom"/>
            <w:tcBorders>
              <w:right w:val="single" w:sz="8" w:color="auto"/>
            </w:tcBorders>
            <w:gridSpan w:val="2"/>
          </w:tcPr>
          <w:p>
            <w:pPr>
              <w:ind w:left="1980"/>
              <w:spacing w:after="0"/>
              <w:rPr>
                <w:sz w:val="20"/>
                <w:szCs w:val="20"/>
                <w:color w:val="auto"/>
              </w:rPr>
            </w:pPr>
            <w:r>
              <w:rPr>
                <w:rFonts w:ascii="Arial" w:cs="Arial" w:eastAsia="Arial" w:hAnsi="Arial"/>
                <w:sz w:val="18"/>
                <w:szCs w:val="18"/>
                <w:color w:val="auto"/>
                <w:w w:val="95"/>
              </w:rPr>
              <w:t>•  if, at any time, we are not subject to the reporting requirements of Sections 13 or</w:t>
            </w: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60" w:type="dxa"/>
            <w:vAlign w:val="bottom"/>
            <w:tcBorders>
              <w:right w:val="single" w:sz="8" w:color="auto"/>
            </w:tcBorders>
            <w:gridSpan w:val="2"/>
          </w:tcPr>
          <w:p>
            <w:pPr>
              <w:ind w:left="2260"/>
              <w:spacing w:after="0"/>
              <w:rPr>
                <w:sz w:val="20"/>
                <w:szCs w:val="20"/>
                <w:color w:val="auto"/>
              </w:rPr>
            </w:pPr>
            <w:r>
              <w:rPr>
                <w:rFonts w:ascii="Arial" w:cs="Arial" w:eastAsia="Arial" w:hAnsi="Arial"/>
                <w:sz w:val="18"/>
                <w:szCs w:val="18"/>
                <w:color w:val="auto"/>
                <w:w w:val="98"/>
              </w:rPr>
              <w:t>15(d) of the Securities Exchange Act of 1934, as amended, or the Exchange</w:t>
            </w: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60" w:type="dxa"/>
            <w:vAlign w:val="bottom"/>
            <w:tcBorders>
              <w:right w:val="single" w:sz="8" w:color="auto"/>
            </w:tcBorders>
            <w:gridSpan w:val="2"/>
          </w:tcPr>
          <w:p>
            <w:pPr>
              <w:ind w:left="2260"/>
              <w:spacing w:after="0"/>
              <w:rPr>
                <w:sz w:val="20"/>
                <w:szCs w:val="20"/>
                <w:color w:val="auto"/>
              </w:rPr>
            </w:pPr>
            <w:r>
              <w:rPr>
                <w:rFonts w:ascii="Arial" w:cs="Arial" w:eastAsia="Arial" w:hAnsi="Arial"/>
                <w:sz w:val="18"/>
                <w:szCs w:val="18"/>
                <w:color w:val="auto"/>
                <w:w w:val="96"/>
              </w:rPr>
              <w:t>Act, to file any periodic reports with the SEC, we agree to furnish to holders of</w:t>
            </w: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60" w:type="dxa"/>
            <w:vAlign w:val="bottom"/>
            <w:tcBorders>
              <w:right w:val="single" w:sz="8" w:color="auto"/>
            </w:tcBorders>
            <w:gridSpan w:val="2"/>
          </w:tcPr>
          <w:p>
            <w:pPr>
              <w:ind w:left="2260"/>
              <w:spacing w:after="0"/>
              <w:rPr>
                <w:sz w:val="20"/>
                <w:szCs w:val="20"/>
                <w:color w:val="auto"/>
              </w:rPr>
            </w:pPr>
            <w:r>
              <w:rPr>
                <w:rFonts w:ascii="Arial" w:cs="Arial" w:eastAsia="Arial" w:hAnsi="Arial"/>
                <w:sz w:val="18"/>
                <w:szCs w:val="18"/>
                <w:color w:val="auto"/>
                <w:w w:val="98"/>
              </w:rPr>
              <w:t>the Notes and the Trustee, for the period of time during which the Notes are</w:t>
            </w: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60" w:type="dxa"/>
            <w:vAlign w:val="bottom"/>
            <w:tcBorders>
              <w:right w:val="single" w:sz="8" w:color="auto"/>
            </w:tcBorders>
            <w:gridSpan w:val="2"/>
          </w:tcPr>
          <w:p>
            <w:pPr>
              <w:ind w:left="2260"/>
              <w:spacing w:after="0"/>
              <w:rPr>
                <w:sz w:val="20"/>
                <w:szCs w:val="20"/>
                <w:color w:val="auto"/>
              </w:rPr>
            </w:pPr>
            <w:r>
              <w:rPr>
                <w:rFonts w:ascii="Arial" w:cs="Arial" w:eastAsia="Arial" w:hAnsi="Arial"/>
                <w:sz w:val="18"/>
                <w:szCs w:val="18"/>
                <w:color w:val="auto"/>
                <w:w w:val="98"/>
              </w:rPr>
              <w:t>outstanding, our audited annual consolidated financial statements, within 90</w:t>
            </w: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60" w:type="dxa"/>
            <w:vAlign w:val="bottom"/>
            <w:tcBorders>
              <w:right w:val="single" w:sz="8" w:color="auto"/>
            </w:tcBorders>
            <w:gridSpan w:val="2"/>
          </w:tcPr>
          <w:p>
            <w:pPr>
              <w:ind w:left="2260"/>
              <w:spacing w:after="0"/>
              <w:rPr>
                <w:sz w:val="20"/>
                <w:szCs w:val="20"/>
                <w:color w:val="auto"/>
              </w:rPr>
            </w:pPr>
            <w:r>
              <w:rPr>
                <w:rFonts w:ascii="Arial" w:cs="Arial" w:eastAsia="Arial" w:hAnsi="Arial"/>
                <w:sz w:val="18"/>
                <w:szCs w:val="18"/>
                <w:color w:val="auto"/>
              </w:rPr>
              <w:t>days of our fiscal year end, and unaudited interim consolidated financial</w:t>
            </w: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60" w:type="dxa"/>
            <w:vAlign w:val="bottom"/>
            <w:tcBorders>
              <w:right w:val="single" w:sz="8" w:color="auto"/>
            </w:tcBorders>
            <w:gridSpan w:val="2"/>
          </w:tcPr>
          <w:p>
            <w:pPr>
              <w:ind w:left="2260"/>
              <w:spacing w:after="0"/>
              <w:rPr>
                <w:sz w:val="20"/>
                <w:szCs w:val="20"/>
                <w:color w:val="auto"/>
              </w:rPr>
            </w:pPr>
            <w:r>
              <w:rPr>
                <w:rFonts w:ascii="Arial" w:cs="Arial" w:eastAsia="Arial" w:hAnsi="Arial"/>
                <w:sz w:val="18"/>
                <w:szCs w:val="18"/>
                <w:color w:val="auto"/>
                <w:w w:val="95"/>
              </w:rPr>
              <w:t>statements, within 45 days of our fiscal quarter end (other than our fourth fiscal</w:t>
            </w: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60" w:type="dxa"/>
            <w:vAlign w:val="bottom"/>
            <w:tcBorders>
              <w:right w:val="single" w:sz="8" w:color="auto"/>
            </w:tcBorders>
            <w:gridSpan w:val="2"/>
          </w:tcPr>
          <w:p>
            <w:pPr>
              <w:ind w:left="2260"/>
              <w:spacing w:after="0"/>
              <w:rPr>
                <w:sz w:val="20"/>
                <w:szCs w:val="20"/>
                <w:color w:val="auto"/>
              </w:rPr>
            </w:pPr>
            <w:r>
              <w:rPr>
                <w:rFonts w:ascii="Arial" w:cs="Arial" w:eastAsia="Arial" w:hAnsi="Arial"/>
                <w:sz w:val="18"/>
                <w:szCs w:val="18"/>
                <w:color w:val="auto"/>
                <w:w w:val="95"/>
              </w:rPr>
              <w:t>quarter). All such financial statements will be prepared, in all material respects,</w:t>
            </w: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60" w:type="dxa"/>
            <w:vAlign w:val="bottom"/>
            <w:tcBorders>
              <w:right w:val="single" w:sz="8" w:color="auto"/>
            </w:tcBorders>
            <w:gridSpan w:val="2"/>
          </w:tcPr>
          <w:p>
            <w:pPr>
              <w:ind w:left="2260"/>
              <w:spacing w:after="0"/>
              <w:rPr>
                <w:sz w:val="20"/>
                <w:szCs w:val="20"/>
                <w:color w:val="auto"/>
              </w:rPr>
            </w:pPr>
            <w:r>
              <w:rPr>
                <w:rFonts w:ascii="Arial" w:cs="Arial" w:eastAsia="Arial" w:hAnsi="Arial"/>
                <w:sz w:val="18"/>
                <w:szCs w:val="18"/>
                <w:color w:val="auto"/>
                <w:w w:val="99"/>
              </w:rPr>
              <w:t>in accordance with applicable United States generally accepted accounting</w:t>
            </w: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60" w:type="dxa"/>
            <w:vAlign w:val="bottom"/>
            <w:tcBorders>
              <w:right w:val="single" w:sz="8" w:color="auto"/>
            </w:tcBorders>
            <w:gridSpan w:val="2"/>
          </w:tcPr>
          <w:p>
            <w:pPr>
              <w:ind w:left="2260"/>
              <w:spacing w:after="0"/>
              <w:rPr>
                <w:sz w:val="20"/>
                <w:szCs w:val="20"/>
                <w:color w:val="auto"/>
              </w:rPr>
            </w:pPr>
            <w:r>
              <w:rPr>
                <w:rFonts w:ascii="Arial" w:cs="Arial" w:eastAsia="Arial" w:hAnsi="Arial"/>
                <w:sz w:val="18"/>
                <w:szCs w:val="18"/>
                <w:color w:val="auto"/>
              </w:rPr>
              <w:t>principles, or GAAP.</w:t>
            </w:r>
          </w:p>
        </w:tc>
        <w:tc>
          <w:tcPr>
            <w:tcW w:w="0" w:type="dxa"/>
            <w:vAlign w:val="bottom"/>
          </w:tcPr>
          <w:p>
            <w:pPr>
              <w:spacing w:after="0"/>
              <w:rPr>
                <w:sz w:val="1"/>
                <w:szCs w:val="1"/>
                <w:color w:val="auto"/>
              </w:rPr>
            </w:pPr>
          </w:p>
        </w:tc>
      </w:tr>
      <w:tr>
        <w:trPr>
          <w:trHeight w:val="108"/>
        </w:trPr>
        <w:tc>
          <w:tcPr>
            <w:tcW w:w="200" w:type="dxa"/>
            <w:vAlign w:val="bottom"/>
            <w:tcBorders>
              <w:left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8060" w:type="dxa"/>
            <w:vAlign w:val="bottom"/>
          </w:tcPr>
          <w:p>
            <w:pPr>
              <w:spacing w:after="0"/>
              <w:rPr>
                <w:sz w:val="9"/>
                <w:szCs w:val="9"/>
                <w:color w:val="auto"/>
              </w:rPr>
            </w:pPr>
          </w:p>
        </w:tc>
        <w:tc>
          <w:tcPr>
            <w:tcW w:w="200" w:type="dxa"/>
            <w:vAlign w:val="bottom"/>
            <w:tcBorders>
              <w:right w:val="single" w:sz="8" w:color="auto"/>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tcBorders>
              <w:left w:val="single" w:sz="8" w:color="auto"/>
            </w:tcBorders>
          </w:tcPr>
          <w:p>
            <w:pPr>
              <w:spacing w:after="0"/>
              <w:rPr>
                <w:sz w:val="17"/>
                <w:szCs w:val="17"/>
                <w:color w:val="auto"/>
              </w:rPr>
            </w:pPr>
          </w:p>
        </w:tc>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 Established Trading Market</w:t>
            </w:r>
          </w:p>
        </w:tc>
        <w:tc>
          <w:tcPr>
            <w:tcW w:w="8060" w:type="dxa"/>
            <w:vAlign w:val="bottom"/>
            <w:shd w:val="clear" w:color="auto" w:fill="CCEEFF"/>
          </w:tcPr>
          <w:p>
            <w:pPr>
              <w:ind w:left="1980"/>
              <w:spacing w:after="0" w:line="201" w:lineRule="exact"/>
              <w:rPr>
                <w:sz w:val="20"/>
                <w:szCs w:val="20"/>
                <w:color w:val="auto"/>
              </w:rPr>
            </w:pPr>
            <w:r>
              <w:rPr>
                <w:rFonts w:ascii="Arial" w:cs="Arial" w:eastAsia="Arial" w:hAnsi="Arial"/>
                <w:sz w:val="18"/>
                <w:szCs w:val="18"/>
                <w:color w:val="auto"/>
                <w:w w:val="95"/>
              </w:rPr>
              <w:t>The Notes are a new issue of securities with no established trading market. The</w:t>
            </w:r>
          </w:p>
        </w:tc>
        <w:tc>
          <w:tcPr>
            <w:tcW w:w="2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8060" w:type="dxa"/>
            <w:vAlign w:val="bottom"/>
            <w:shd w:val="clear" w:color="auto" w:fill="CCEEFF"/>
          </w:tcPr>
          <w:p>
            <w:pPr>
              <w:ind w:left="1980"/>
              <w:spacing w:after="0"/>
              <w:rPr>
                <w:sz w:val="20"/>
                <w:szCs w:val="20"/>
                <w:color w:val="auto"/>
              </w:rPr>
            </w:pPr>
            <w:r>
              <w:rPr>
                <w:rFonts w:ascii="Arial" w:cs="Arial" w:eastAsia="Arial" w:hAnsi="Arial"/>
                <w:sz w:val="18"/>
                <w:szCs w:val="18"/>
                <w:color w:val="auto"/>
                <w:w w:val="95"/>
              </w:rPr>
              <w:t>Notes will not be listed on any securities exchange or quoted on any automated</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8060" w:type="dxa"/>
            <w:vAlign w:val="bottom"/>
            <w:shd w:val="clear" w:color="auto" w:fill="CCEEFF"/>
          </w:tcPr>
          <w:p>
            <w:pPr>
              <w:ind w:left="1980"/>
              <w:spacing w:after="0"/>
              <w:rPr>
                <w:sz w:val="20"/>
                <w:szCs w:val="20"/>
                <w:color w:val="auto"/>
              </w:rPr>
            </w:pPr>
            <w:r>
              <w:rPr>
                <w:rFonts w:ascii="Arial" w:cs="Arial" w:eastAsia="Arial" w:hAnsi="Arial"/>
                <w:sz w:val="18"/>
                <w:szCs w:val="18"/>
                <w:color w:val="auto"/>
                <w:w w:val="91"/>
              </w:rPr>
              <w:t>dealer quotation system. Although certain of the underwriters have informed us that</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8060" w:type="dxa"/>
            <w:vAlign w:val="bottom"/>
            <w:shd w:val="clear" w:color="auto" w:fill="CCEEFF"/>
          </w:tcPr>
          <w:p>
            <w:pPr>
              <w:ind w:left="1980"/>
              <w:spacing w:after="0"/>
              <w:rPr>
                <w:sz w:val="20"/>
                <w:szCs w:val="20"/>
                <w:color w:val="auto"/>
              </w:rPr>
            </w:pPr>
            <w:r>
              <w:rPr>
                <w:rFonts w:ascii="Arial" w:cs="Arial" w:eastAsia="Arial" w:hAnsi="Arial"/>
                <w:sz w:val="18"/>
                <w:szCs w:val="18"/>
                <w:color w:val="auto"/>
                <w:w w:val="91"/>
              </w:rPr>
              <w:t>they intend to make a market in the Notes, they are not obligated to do so, and may</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8060" w:type="dxa"/>
            <w:vAlign w:val="bottom"/>
            <w:shd w:val="clear" w:color="auto" w:fill="CCEEFF"/>
          </w:tcPr>
          <w:p>
            <w:pPr>
              <w:ind w:left="1980"/>
              <w:spacing w:after="0"/>
              <w:rPr>
                <w:sz w:val="20"/>
                <w:szCs w:val="20"/>
                <w:color w:val="auto"/>
              </w:rPr>
            </w:pPr>
            <w:r>
              <w:rPr>
                <w:rFonts w:ascii="Arial" w:cs="Arial" w:eastAsia="Arial" w:hAnsi="Arial"/>
                <w:sz w:val="18"/>
                <w:szCs w:val="18"/>
                <w:color w:val="auto"/>
                <w:w w:val="95"/>
              </w:rPr>
              <w:t>discontinue any such market at any time without notice. Accordingly, we cannot</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806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assure you that a liquid market for the Notes will develop or be maintained.</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0" w:type="dxa"/>
            <w:vAlign w:val="bottom"/>
            <w:tcBorders>
              <w:left w:val="single" w:sz="8" w:color="auto"/>
            </w:tcBorders>
          </w:tcPr>
          <w:p>
            <w:pPr>
              <w:spacing w:after="0"/>
              <w:rPr>
                <w:sz w:val="24"/>
                <w:szCs w:val="24"/>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Use of Proceeds</w:t>
            </w:r>
          </w:p>
        </w:tc>
        <w:tc>
          <w:tcPr>
            <w:tcW w:w="8260" w:type="dxa"/>
            <w:vAlign w:val="bottom"/>
            <w:tcBorders>
              <w:right w:val="single" w:sz="8" w:color="auto"/>
            </w:tcBorders>
            <w:gridSpan w:val="2"/>
          </w:tcPr>
          <w:p>
            <w:pPr>
              <w:ind w:left="1980"/>
              <w:spacing w:after="0"/>
              <w:rPr>
                <w:sz w:val="20"/>
                <w:szCs w:val="20"/>
                <w:color w:val="auto"/>
              </w:rPr>
            </w:pPr>
            <w:r>
              <w:rPr>
                <w:rFonts w:ascii="Arial" w:cs="Arial" w:eastAsia="Arial" w:hAnsi="Arial"/>
                <w:sz w:val="18"/>
                <w:szCs w:val="18"/>
                <w:color w:val="auto"/>
              </w:rPr>
              <w:t>We intend to use the net proceeds we will receive from the sale of the</w:t>
            </w: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60" w:type="dxa"/>
            <w:vAlign w:val="bottom"/>
            <w:tcBorders>
              <w:right w:val="single" w:sz="8" w:color="auto"/>
            </w:tcBorders>
            <w:gridSpan w:val="2"/>
          </w:tcPr>
          <w:p>
            <w:pPr>
              <w:ind w:left="1980"/>
              <w:spacing w:after="0"/>
              <w:rPr>
                <w:sz w:val="20"/>
                <w:szCs w:val="20"/>
                <w:color w:val="auto"/>
              </w:rPr>
            </w:pPr>
            <w:r>
              <w:rPr>
                <w:rFonts w:ascii="Arial" w:cs="Arial" w:eastAsia="Arial" w:hAnsi="Arial"/>
                <w:sz w:val="18"/>
                <w:szCs w:val="18"/>
                <w:color w:val="auto"/>
              </w:rPr>
              <w:t>$250.0 million aggregate principal amount of the Notes to reduce outstanding</w:t>
            </w: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60" w:type="dxa"/>
            <w:vAlign w:val="bottom"/>
            <w:tcBorders>
              <w:right w:val="single" w:sz="8" w:color="auto"/>
            </w:tcBorders>
            <w:gridSpan w:val="2"/>
          </w:tcPr>
          <w:p>
            <w:pPr>
              <w:ind w:left="1980"/>
              <w:spacing w:after="0"/>
              <w:rPr>
                <w:sz w:val="20"/>
                <w:szCs w:val="20"/>
                <w:color w:val="auto"/>
              </w:rPr>
            </w:pPr>
            <w:r>
              <w:rPr>
                <w:rFonts w:ascii="Arial" w:cs="Arial" w:eastAsia="Arial" w:hAnsi="Arial"/>
                <w:sz w:val="18"/>
                <w:szCs w:val="18"/>
                <w:color w:val="auto"/>
              </w:rPr>
              <w:t>obligations under our Credit Facility. See “Use of Proceeds” in this prospectus</w:t>
            </w:r>
          </w:p>
        </w:tc>
        <w:tc>
          <w:tcPr>
            <w:tcW w:w="0" w:type="dxa"/>
            <w:vAlign w:val="bottom"/>
          </w:tcPr>
          <w:p>
            <w:pPr>
              <w:spacing w:after="0"/>
              <w:rPr>
                <w:sz w:val="1"/>
                <w:szCs w:val="1"/>
                <w:color w:val="auto"/>
              </w:rPr>
            </w:pPr>
          </w:p>
        </w:tc>
      </w:tr>
      <w:tr>
        <w:trPr>
          <w:trHeight w:val="230"/>
        </w:trPr>
        <w:tc>
          <w:tcPr>
            <w:tcW w:w="200" w:type="dxa"/>
            <w:vAlign w:val="bottom"/>
            <w:tcBorders>
              <w:lef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60" w:type="dxa"/>
            <w:vAlign w:val="bottom"/>
            <w:tcBorders>
              <w:right w:val="single" w:sz="8" w:color="auto"/>
            </w:tcBorders>
            <w:gridSpan w:val="2"/>
          </w:tcPr>
          <w:p>
            <w:pPr>
              <w:ind w:left="1980"/>
              <w:spacing w:after="0"/>
              <w:rPr>
                <w:sz w:val="20"/>
                <w:szCs w:val="20"/>
                <w:color w:val="auto"/>
              </w:rPr>
            </w:pPr>
            <w:r>
              <w:rPr>
                <w:rFonts w:ascii="Arial" w:cs="Arial" w:eastAsia="Arial" w:hAnsi="Arial"/>
                <w:sz w:val="18"/>
                <w:szCs w:val="18"/>
                <w:color w:val="auto"/>
              </w:rPr>
              <w:t>supplement for more information.</w:t>
            </w:r>
          </w:p>
        </w:tc>
        <w:tc>
          <w:tcPr>
            <w:tcW w:w="0" w:type="dxa"/>
            <w:vAlign w:val="bottom"/>
          </w:tcPr>
          <w:p>
            <w:pPr>
              <w:spacing w:after="0"/>
              <w:rPr>
                <w:sz w:val="1"/>
                <w:szCs w:val="1"/>
                <w:color w:val="auto"/>
              </w:rPr>
            </w:pPr>
          </w:p>
        </w:tc>
      </w:tr>
      <w:tr>
        <w:trPr>
          <w:trHeight w:val="159"/>
        </w:trPr>
        <w:tc>
          <w:tcPr>
            <w:tcW w:w="200" w:type="dxa"/>
            <w:vAlign w:val="bottom"/>
            <w:tcBorders>
              <w:left w:val="single" w:sz="8" w:color="auto"/>
              <w:bottom w:val="single" w:sz="8" w:color="auto"/>
            </w:tcBorders>
          </w:tcPr>
          <w:p>
            <w:pPr>
              <w:spacing w:after="0"/>
              <w:rPr>
                <w:sz w:val="13"/>
                <w:szCs w:val="13"/>
                <w:color w:val="auto"/>
              </w:rPr>
            </w:pPr>
          </w:p>
        </w:tc>
        <w:tc>
          <w:tcPr>
            <w:tcW w:w="3000" w:type="dxa"/>
            <w:vAlign w:val="bottom"/>
            <w:tcBorders>
              <w:bottom w:val="single" w:sz="8" w:color="auto"/>
            </w:tcBorders>
          </w:tcPr>
          <w:p>
            <w:pPr>
              <w:spacing w:after="0"/>
              <w:rPr>
                <w:sz w:val="13"/>
                <w:szCs w:val="13"/>
                <w:color w:val="auto"/>
              </w:rPr>
            </w:pPr>
          </w:p>
        </w:tc>
        <w:tc>
          <w:tcPr>
            <w:tcW w:w="806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260" w:type="dxa"/>
            <w:vAlign w:val="bottom"/>
            <w:gridSpan w:val="2"/>
          </w:tcPr>
          <w:p>
            <w:pPr>
              <w:ind w:left="2380"/>
              <w:spacing w:after="0"/>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This prospectus supplement contains statements that constitute forward-looking statements, which relate to us and our consolidated subsidiaries regarding future events or our future performance or our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involve risks and uncertainties, including statements as to:</w:t>
      </w:r>
    </w:p>
    <w:p>
      <w:pPr>
        <w:spacing w:after="0" w:line="77"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prospects and the prospectus of our prospective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fluctuations in interest and foreign exchange rates on our business and our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European sovereign debt issues.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set forth in this prospectus supplement and elsewhere in the accompanying prospectus entitled “Risk Factors.”</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8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have based the forward-looking statements included in this prospectus supplement on information available to us on the date of this prospectus supplement, and we assume no obligation to update any such</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that we may file with SEC including annual and quarterly reports on Form 10-K/Q and current reports on Form 8-K.</w:t>
      </w:r>
    </w:p>
    <w:p>
      <w:pPr>
        <w:spacing w:after="0" w:line="147"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Before you invest in our Notes, you should be aware of various risks, including those described below. You should carefully consider these risk factors and the risk factors beginning on page 8 of the accompanying prospectus, together with all of the other information included in this prospectus supplement and the accompanying prospectus, before you decide whether to make an investment in our Notes. The risks set out below are not the only risks we face. Additional risks and uncertainties not currently known to us or that we currently deem to be immaterial also may have a material adverse effect our business, financial condition and/or operating results. If any of the following events occur, our business, financial condition and results of operations could be materially adversely affected. In such case, our NAV, the trading price, if any, of our Note, common stock and 2025 Notes, or any securities we may issue, may decline.</w:t>
      </w:r>
    </w:p>
    <w:p>
      <w:pPr>
        <w:spacing w:after="0" w:line="29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Notes will be unsecured and therefore will be effectively subordinated to any secured indebtedness we have currently incurred or may incur in the future.</w:t>
      </w:r>
    </w:p>
    <w:p>
      <w:pPr>
        <w:spacing w:after="0" w:line="5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Notes will not be secured by any of our assets or any of the assets of our subsidiaries. As a result, the Notes are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August 31, 2014, we had $452.2 million outstanding under the Credit Facility out of $545.0 million in commitments. The Credit Facility is secured by substantially all of the assets in our portfolio (other than assets held by our SBIC Funds), and the indebtedness under the Credit Facility is therefore effectively senior in right of payment to the Notes to the extent of the value of such assets.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structurally subordinated to the indebtedness and other liabilities of our subsidiaries.</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Notes are obligations exclusively of PennantPark Investment and not of any of our subsidiaries. None of our subsidiaries is or acts as a guarantor of the Notes and the Notes are not required to be guaranteed by any subsidiaries we may acquire or create in the future. A significant portion of the indebtedness required to be consolidated on our balance sheet is held through our SBIC Funds. For example, the secured indebtedness with respect to the SBA debentures is held through our wholly-owned SBIC funds. The assets of any such subsidiary are not directly available to satisfy the claims of our creditors, including holders of the Notes.</w:t>
      </w:r>
    </w:p>
    <w:p>
      <w:pPr>
        <w:spacing w:after="0" w:line="18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our subsidiary and any subsidiaries that we may in the future acquire or establish as financing vehicles or otherwise. As of June 30, 2014 our consolidated subsidiary, SBIC LP, had $150.0 million of borrowings outstanding under the SBA debentures. Further, SBIC II, our consolidated subsidiary, may incur future indebtedness under its $75.0 million commitment from the SBA. All of such indebtedness would be structurally senior to the Notes. In addition, our subsidiaries may incur substantial additional indebtedness in the future, all of which would be structurally senior to the Notes.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There is no active trading market for the Notes. If an active trading market does not develop for the Notes you may not be able to sell them.</w:t>
      </w:r>
    </w:p>
    <w:p>
      <w:pPr>
        <w:spacing w:after="0" w:line="13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Notes are a new issue of debt securities for which currently there is no trading market. We do not intend to list the Notes on any securities exchange or for quotation of the Notes on any automated dealer quotation system. If the Notes are traded after their initial issuance, they may trade a discount to their initial offering price depending on prevailing interest rates, the market for similar securities, our credit ratings, our financial condition or other relevant factors.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28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A downgrade, suspension or withdrawal of the credit rating assigned by a rating agency to us or the Notes, if any, or change in the debt markets could cause the liquidity or market value of the Notes to decline significantly.</w:t>
      </w:r>
    </w:p>
    <w:p>
      <w:pPr>
        <w:spacing w:after="0" w:line="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 Notes will be rated by Standard &amp; Poor’s Ratings Services, or S&amp;P, and Fitch Ratings, or Fitch. There can be no assurance that their respective credit ratings will remain for any given period of time or that such credit ratings will not be lowered or withdrawn entirely by S&amp;P or Fitch if in either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 under which the Notes will be issued will contain limited protection for holders of the Notes.</w:t>
      </w:r>
    </w:p>
    <w:p>
      <w:pPr>
        <w:spacing w:after="0" w:line="12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92" w:lineRule="exact"/>
        <w:rPr>
          <w:sz w:val="20"/>
          <w:szCs w:val="20"/>
          <w:color w:val="auto"/>
        </w:rPr>
      </w:pPr>
    </w:p>
    <w:p>
      <w:pPr>
        <w:ind w:left="900" w:right="60" w:hanging="325"/>
        <w:spacing w:after="0" w:line="25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would rank structurally senior to the Notes and (4) securities, indebtedness or other obligations issued or incurred by our subsidiaries that would be senior in right of payment to our equity interests in our subsidiaries and therefore would rank structurally senior in right of payment to the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97"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66"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8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Certain of our current debt instruments include more protections for their holders than the indenture and the Notes. See “Risk Factors—Risks Relating to Our Business and Structure” including “Risk Factors—Risks Relating to Our Business and Structure—Market developments may adversely affect our business and results of operations by reducing availability and/or triggering mandatory prepayment under our Credit Facility, the 2025 Notes and our SBA debentures” in the accompanying prospectus for more information.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optional redemption provision may materially adversely affect your return on the Notes.</w:t>
      </w:r>
    </w:p>
    <w:p>
      <w:pPr>
        <w:spacing w:after="0" w:line="121"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the Notes being redeemed.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repurchase the Notes upon a Change of Control Repurchase Event.</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may not be able to repurchase the Notes upon a Change of Control Repurchase Event because we may not have sufficient funds. Upon a Change of Control Repurchase Event, holders of the Notes may require us to repurchase for cash some or all of the Notes at a repurchase price equal to 100% of the aggregate principal amount of the Notes being repurchased, plus accrued and unpaid interest to, but not including, the repurchase date. Our failure to purchase such tendered Notes upon the occurrence of such Change of Control Repurchase Event would cause an event of default under the indenture governing the Notes and a cross-default under the agreements governing certain of our other indebtedness, which may result in the acceleration of such indebtedness requiring us to repay that indebtedness immediately. If a Change of Control Repurchase Event were to occur, we may not have sufficient funds to repay any such accelerated indebtedness. See “Description of the Notes—Offer to Repurchase Upon a Change of Control Repurchase Event” in this prospectus supplement for more information.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default on our obligations to pay our other indebtedness, we may not be able to make payments on the Notes.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Any default under the agreements governing our indebtedness, including a default under our Credit Facility or under the 2025 Notes,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Facility or the required holders of the 2025 Notes, or other debt that we may incur in the future to avoid being in default. If we breach our covenants under our Credit Facility, 2025 Notes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Facility, could proceed against the collateral securing the debt. Because our Credit Facility and 2025 Notes have, and any future debt will likely have, customary cross-default provisions, if the indebtedness thereunder or under any future credit facility is accelerated, we may be unable to repay or finance the amounts due. See “Description of the Notes” in this prospectus supplement and “Description of Our Debt Securities” in the accompanying prospectus.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 may apply to payments to certain foreign entities.</w:t>
      </w:r>
    </w:p>
    <w:p>
      <w:pPr>
        <w:spacing w:after="0" w:line="12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Payments made under the notes to a foreign financial institution or non-financial foreign entity (including such an institution or entity acting as an intermediary) may be subject to a U.S. withholding tax of 30% under a law (commonly known as “FATCA”) that was enacted in 2010. This tax may apply to certain payments of interest on the Notes as well as payments made upon maturity, redemption, or sale of the Notes, unless the foreign financial institution or non-financial foreign entity complies with certain information reporting, withholding, identification, certification and related requirements imposed by FATCA. You should consult your own tax advisors regarding FATCA and how it may affect your investment in the notes. See “Certain U.S. Federal Income Tax Considerations—FATCA Withholding on Payments to Certain Foreign Entities” in this prospectus supplement for more information.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estimate that net proceeds we will receive from the sale of the $250.0 million aggregate principal amount of the Notes in this offering will be approximately $245.5 million, in each case based on a public offering price of 99.905% of par, after deducting the underwriting discounts and commissions of approximately $3.8 million and estimated offering expenses of approximately $500,000 payable by us.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intend to use the net proceeds from selling securities pursuant to this prospectus supplement to reduce outstanding obligations under our Credit Facility. Amounts repaid under our Credit Facility remain available for future borrowings and we may use the proceeds of future borrowings under our Credit Facility to invest in new or existing portfolio companies or for other general corporate or strategic purposes. Affiliates of certain of the underwriters serve as lenders under our Credit Facility and thereby may receive proceeds from this offering that are used to reduce our outstanding obligations under our Credit Facility.</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June 30, 2014, we had $289.1 million of unused borrowing capacity, subject to maintenance of the applicable total assets to debt ratio, as set forth in the 1940 Act, and $255.9 million in outstanding borrowings under our $545.0 million Credit Facility. Borrowings under our Credit Facility bear interest at an annual rate equal to LIBOR plus 225 basis points per annum. At June 30, 2014, the weighted average interest rate on the Credit Facility was 2.52%. The Credit Facility is a revolving facility with a stated maturity date of June 25, 2019 and is secured by substantially all of the assets in our investment portfolio, excluding assets of our SBIC Funds. See “Management’s Discussion and Analysis of Financial Condition and Results of Operations” in this prospectus supplement and the accompanying prospectus for more information.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following table sets forth our cash and capitalization on June 30, 2014 (1) on an actual basis and (2) on an as-adjusted basis to reflect the effects of the sale of $250.0 million aggregate principal amount of Notes in this offering before deducting the underwriting discounts and commissions of $3.8 million and estimated offering expenses of approximately $500,000 payable by us. We intend to use the net proceeds from selling securities pursuant to this prospectus supplement to reduce outstanding obligations under our Credit Facility. The as-adjusted information is illustrative only; our capitalization following the completion of this offering is subject to further adjustments. You should read this table together with “Use of Proceeds” set forth in this prospectus supplement and in the accompanying prospectus for more information. You should also read this table with our Consolidated Financial Statements and related notes thereto, in conjunction with “Management’s Discussion and Analysis of Financial Condition and Results of Operations” in this prospectus supplement and in the accompanying prospectus for more information.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As of June 30, 2014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Actual</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auto"/>
              </w:rPr>
              <w:t>As adjusted for</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the offering</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(cost—$64,349,609)</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64,390,787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64,390,787</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Borrowings under the Credit Facility (cost—$255,898,700 and $5,898,700)</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257,187,294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7,187,294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SBA debentures (cost—$150,000,000)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2025 Notes (cost—$71,250,000)</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72,532,500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72,532,500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Notes</w:t>
            </w:r>
            <w:r>
              <w:rPr>
                <w:rFonts w:ascii="Arial" w:cs="Arial" w:eastAsia="Arial" w:hAnsi="Arial"/>
                <w:sz w:val="15"/>
                <w:szCs w:val="15"/>
                <w:color w:val="auto"/>
              </w:rPr>
              <w:t>(2)</w:t>
            </w:r>
            <w:r>
              <w:rPr>
                <w:rFonts w:ascii="Arial" w:cs="Arial" w:eastAsia="Arial" w:hAnsi="Arial"/>
                <w:sz w:val="18"/>
                <w:szCs w:val="18"/>
                <w:color w:val="auto"/>
              </w:rPr>
              <w:t xml:space="preserve"> (cost—$250,000,000)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324"/>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66,569,036 shares are issued and outstanding. Par value is $0.001 per share and 100,000,000</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are authorized</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66,569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Paid in capital in excess of par value</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756,809,951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756,809,951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(9,406,519)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(9,406,519)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Accumulated net realized loss on investments</w:t>
            </w: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(14,454,032)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(14,454,032)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24,027,916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24,027,916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Net unrealized appreciation on debt</w:t>
            </w: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(2,571,092)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(2,571,092)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754,472,793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754,472,793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Total capitalization</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1,234,192,587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1,234,192,587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jc w:val="both"/>
        <w:ind w:left="460" w:right="60" w:hanging="452"/>
        <w:spacing w:after="0" w:line="256"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Does not include any shares issued pursuant to our dividend reinvestment plan, the 8.5 million shares of our common stock sold in connection with our September 10, 2014 offering that resulted in net proceeds of $95.4 million or the underwriters’ option to purchase up to an additional 1.3 million shares of our common stock from us.</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Exclusive of discount to par and underwriting discounts and commissions.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For the nine months ended June 30, 2014 and for the years ended September 30, 2013, 2012, 2011, 2010 and 2009, the ratios of earnings to fixed charges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For the Nine</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gridSpan w:val="10"/>
            <w:vMerge w:val="restart"/>
          </w:tcPr>
          <w:p>
            <w:pPr>
              <w:jc w:val="right"/>
              <w:ind w:right="320"/>
              <w:spacing w:after="0"/>
              <w:rPr>
                <w:sz w:val="20"/>
                <w:szCs w:val="20"/>
                <w:color w:val="auto"/>
              </w:rPr>
            </w:pPr>
            <w:r>
              <w:rPr>
                <w:rFonts w:ascii="Arial" w:cs="Arial" w:eastAsia="Arial" w:hAnsi="Arial"/>
                <w:sz w:val="14"/>
                <w:szCs w:val="14"/>
                <w:b w:val="1"/>
                <w:bCs w:val="1"/>
                <w:color w:val="auto"/>
                <w:w w:val="93"/>
              </w:rPr>
              <w:t>For the Fiscal Years Ended September 30,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June 30, 2014</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10"/>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132"/>
              <w:spacing w:after="0" w:line="142"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(Dollars in thousands)</w:t>
            </w:r>
            <w:r>
              <w:rPr>
                <w:rFonts w:ascii="Arial" w:cs="Arial" w:eastAsia="Arial" w:hAnsi="Arial"/>
                <w:sz w:val="15"/>
                <w:szCs w:val="15"/>
                <w:b w:val="1"/>
                <w:bCs w:val="1"/>
                <w:color w:val="auto"/>
              </w:rPr>
              <w:t>(1)</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Net investment income (after taxes)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51,180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$66,998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57,069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52,645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32,075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Net realized gain (losses) gains on investments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28,956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(12,798)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16,259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(15,418)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Add: Net change in unrealized appreciation (depreciation)</w:t>
            </w:r>
          </w:p>
        </w:tc>
        <w:tc>
          <w:tcPr>
            <w:tcW w:w="20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31,949</w:t>
            </w:r>
          </w:p>
        </w:tc>
        <w:tc>
          <w:tcPr>
            <w:tcW w:w="600" w:type="dxa"/>
            <w:vAlign w:val="bottom"/>
          </w:tcPr>
          <w:p>
            <w:pPr>
              <w:jc w:val="right"/>
              <w:spacing w:after="0"/>
              <w:rPr>
                <w:sz w:val="20"/>
                <w:szCs w:val="20"/>
                <w:color w:val="auto"/>
              </w:rPr>
            </w:pPr>
            <w:r>
              <w:rPr>
                <w:rFonts w:ascii="Arial" w:cs="Arial" w:eastAsia="Arial" w:hAnsi="Arial"/>
                <w:sz w:val="18"/>
                <w:szCs w:val="18"/>
                <w:color w:val="auto"/>
              </w:rPr>
              <w:t>7,093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19,082</w:t>
            </w: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(58,641)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52,327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112,085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$91,778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63,353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10,263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16,535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35,802</w:t>
            </w:r>
          </w:p>
        </w:tc>
        <w:tc>
          <w:tcPr>
            <w:tcW w:w="0" w:type="dxa"/>
            <w:vAlign w:val="bottom"/>
          </w:tcPr>
          <w:p>
            <w:pPr>
              <w:spacing w:after="0"/>
              <w:rPr>
                <w:sz w:val="1"/>
                <w:szCs w:val="1"/>
                <w:color w:val="auto"/>
              </w:rPr>
            </w:pP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Fixed Charges</w:t>
            </w:r>
            <w:r>
              <w:rPr>
                <w:rFonts w:ascii="Arial" w:cs="Arial" w:eastAsia="Arial" w:hAnsi="Arial"/>
                <w:sz w:val="15"/>
                <w:szCs w:val="15"/>
                <w:b w:val="1"/>
                <w:bCs w:val="1"/>
                <w:color w:val="auto"/>
              </w:rPr>
              <w:t>(2)</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expenses on debt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14,707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$15,384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11,681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Ratio of Total Earnings to Fixed Charges</w:t>
            </w:r>
          </w:p>
        </w:tc>
        <w:tc>
          <w:tcPr>
            <w:tcW w:w="2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7.6</w:t>
            </w: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Net Investment Income to Fixed Charges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Earnings include net realized and unrealized gains or losses. Net realized and unrealized gains or losses can vary substantially from period to period.</w:t>
      </w:r>
    </w:p>
    <w:p>
      <w:pPr>
        <w:spacing w:after="0" w:line="46" w:lineRule="exact"/>
        <w:rPr>
          <w:rFonts w:ascii="Arial" w:cs="Arial" w:eastAsia="Arial" w:hAnsi="Arial"/>
          <w:sz w:val="16"/>
          <w:szCs w:val="16"/>
          <w:color w:val="auto"/>
        </w:rPr>
      </w:pPr>
    </w:p>
    <w:p>
      <w:pPr>
        <w:ind w:left="460" w:right="18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Fixed charges include interest and related expenses on our Credit Facility, which is indexed to LIBOR and fluctuate with changes in interest rates, the 2025 Notes, SBA debentures and amortization of debt issuance costs on our SBA debentures.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years. The Consolidated Statement of Operations data, Per share data and Consolidated Statement of Assets and Liabilities data for the nine months ended June 30, 2014 are derived from our Consolidated Financial Statements which have been reviewed by McGladrey LLP, an independent registered public accounting firm. The Consolidated Statement of Operations data, Per share data and Consolidated Statement of Assets and Liabilities data for the prior five fiscal years are derived from our Consolidated Financial Statements which have been audited by KPMG LLP, an independent registered public accounting firm for those periods. These selected financial data should be read in conjunction with our Consolidated Financial Statements and related notes thereto and “Management’s Discussion and Analysis of Financial Condition and Results of Operations” in both this prospectus supplement and the accompanying prospectus.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For the Nine Months</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gridSpan w:val="8"/>
            <w:vMerge w:val="restart"/>
          </w:tcPr>
          <w:p>
            <w:pPr>
              <w:jc w:val="right"/>
              <w:ind w:right="560"/>
              <w:spacing w:after="0"/>
              <w:rPr>
                <w:sz w:val="20"/>
                <w:szCs w:val="20"/>
                <w:color w:val="auto"/>
              </w:rPr>
            </w:pPr>
            <w:r>
              <w:rPr>
                <w:rFonts w:ascii="Arial" w:cs="Arial" w:eastAsia="Arial" w:hAnsi="Arial"/>
                <w:sz w:val="14"/>
                <w:szCs w:val="14"/>
                <w:b w:val="1"/>
                <w:bCs w:val="1"/>
                <w:color w:val="auto"/>
                <w:w w:val="99"/>
              </w:rPr>
              <w:t>For the Years Ended September 30,</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Ended June 30,</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80" w:type="dxa"/>
            <w:vAlign w:val="bottom"/>
            <w:tcBorders>
              <w:top w:val="single" w:sz="8" w:color="auto"/>
            </w:tcBorders>
          </w:tcPr>
          <w:p>
            <w:pPr>
              <w:jc w:val="right"/>
              <w:ind w:right="380"/>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7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2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3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(Dollar amounts in thousands, except per share data)</w:t>
            </w: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b w:val="1"/>
                <w:bCs w:val="1"/>
                <w:color w:val="auto"/>
              </w:rPr>
              <w:t>Consolidated Statement of Operations data:</w:t>
            </w: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 income</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95"/>
              </w:rPr>
              <w:t>$  107,793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97,740</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  129,187</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5"/>
              </w:rPr>
              <w:t>$  113,392</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$ 91,738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$ 60,140</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$ 45,119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Total expenses</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56,612</w:t>
            </w:r>
          </w:p>
        </w:tc>
        <w:tc>
          <w:tcPr>
            <w:tcW w:w="840" w:type="dxa"/>
            <w:vAlign w:val="bottom"/>
          </w:tcPr>
          <w:p>
            <w:pPr>
              <w:jc w:val="right"/>
              <w:spacing w:after="0"/>
              <w:rPr>
                <w:sz w:val="20"/>
                <w:szCs w:val="20"/>
                <w:color w:val="auto"/>
              </w:rPr>
            </w:pPr>
            <w:r>
              <w:rPr>
                <w:rFonts w:ascii="Arial" w:cs="Arial" w:eastAsia="Arial" w:hAnsi="Arial"/>
                <w:sz w:val="16"/>
                <w:szCs w:val="16"/>
                <w:color w:val="auto"/>
              </w:rPr>
              <w:t>47,841</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62,189</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56,323</w:t>
            </w:r>
          </w:p>
        </w:tc>
        <w:tc>
          <w:tcPr>
            <w:tcW w:w="2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39,093</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28,065</w:t>
            </w: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22,400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Net investment income</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51,180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49,899</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66,998</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57,069</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52,645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32,075</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22,719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Net realized and unrealized gain (loss)</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60,905</w:t>
            </w:r>
          </w:p>
        </w:tc>
        <w:tc>
          <w:tcPr>
            <w:tcW w:w="840" w:type="dxa"/>
            <w:vAlign w:val="bottom"/>
          </w:tcPr>
          <w:p>
            <w:pPr>
              <w:jc w:val="right"/>
              <w:spacing w:after="0"/>
              <w:rPr>
                <w:sz w:val="20"/>
                <w:szCs w:val="20"/>
                <w:color w:val="auto"/>
              </w:rPr>
            </w:pPr>
            <w:r>
              <w:rPr>
                <w:rFonts w:ascii="Arial" w:cs="Arial" w:eastAsia="Arial" w:hAnsi="Arial"/>
                <w:sz w:val="16"/>
                <w:szCs w:val="16"/>
                <w:color w:val="auto"/>
              </w:rPr>
              <w:t>19,400</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24,780</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6,284</w:t>
            </w:r>
          </w:p>
        </w:tc>
        <w:tc>
          <w:tcPr>
            <w:tcW w:w="240" w:type="dxa"/>
            <w:vAlign w:val="bottom"/>
          </w:tcPr>
          <w:p>
            <w:pPr>
              <w:spacing w:after="0"/>
              <w:rPr>
                <w:sz w:val="17"/>
                <w:szCs w:val="17"/>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6"/>
                <w:szCs w:val="16"/>
                <w:color w:val="auto"/>
              </w:rPr>
              <w:t>(42,382)</w:t>
            </w: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(15,540)</w:t>
            </w: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13,083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net assets resulting from operations</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112,085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69,299</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91,778</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63,353</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10,263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16,535</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35,802</w:t>
            </w:r>
          </w:p>
        </w:tc>
        <w:tc>
          <w:tcPr>
            <w:tcW w:w="0" w:type="dxa"/>
            <w:vAlign w:val="bottom"/>
          </w:tcPr>
          <w:p>
            <w:pPr>
              <w:spacing w:after="0"/>
              <w:rPr>
                <w:sz w:val="1"/>
                <w:szCs w:val="1"/>
                <w:color w:val="auto"/>
              </w:rPr>
            </w:pPr>
          </w:p>
        </w:tc>
      </w:tr>
      <w:tr>
        <w:trPr>
          <w:trHeight w:val="305"/>
        </w:trPr>
        <w:tc>
          <w:tcPr>
            <w:tcW w:w="4380" w:type="dxa"/>
            <w:vAlign w:val="bottom"/>
            <w:gridSpan w:val="2"/>
          </w:tcPr>
          <w:p>
            <w:pPr>
              <w:spacing w:after="0"/>
              <w:rPr>
                <w:sz w:val="20"/>
                <w:szCs w:val="20"/>
                <w:color w:val="auto"/>
              </w:rPr>
            </w:pPr>
            <w:r>
              <w:rPr>
                <w:rFonts w:ascii="Arial" w:cs="Arial" w:eastAsia="Arial" w:hAnsi="Arial"/>
                <w:sz w:val="16"/>
                <w:szCs w:val="16"/>
                <w:b w:val="1"/>
                <w:bCs w:val="1"/>
                <w:color w:val="auto"/>
              </w:rPr>
              <w:t>Per share data:</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NAV (at period end)</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11.33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10.13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4"/>
                <w:szCs w:val="14"/>
                <w:color w:val="auto"/>
              </w:rPr>
              <w:t>Net investment income</w:t>
            </w:r>
            <w:r>
              <w:rPr>
                <w:rFonts w:ascii="Arial" w:cs="Arial" w:eastAsia="Arial" w:hAnsi="Arial"/>
                <w:sz w:val="23"/>
                <w:szCs w:val="23"/>
                <w:color w:val="auto"/>
                <w:vertAlign w:val="superscript"/>
              </w:rPr>
              <w:t>(1)</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0.77</w:t>
            </w:r>
          </w:p>
        </w:tc>
        <w:tc>
          <w:tcPr>
            <w:tcW w:w="840" w:type="dxa"/>
            <w:vAlign w:val="bottom"/>
          </w:tcPr>
          <w:p>
            <w:pPr>
              <w:jc w:val="right"/>
              <w:spacing w:after="0"/>
              <w:rPr>
                <w:sz w:val="20"/>
                <w:szCs w:val="20"/>
                <w:color w:val="auto"/>
              </w:rPr>
            </w:pPr>
            <w:r>
              <w:rPr>
                <w:rFonts w:ascii="Arial" w:cs="Arial" w:eastAsia="Arial" w:hAnsi="Arial"/>
                <w:sz w:val="16"/>
                <w:szCs w:val="16"/>
                <w:color w:val="auto"/>
              </w:rPr>
              <w:t>0.76</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1.01</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w:t>
            </w:r>
          </w:p>
        </w:tc>
        <w:tc>
          <w:tcPr>
            <w:tcW w:w="2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1.25</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Net realized and unrealized gain (loss)</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0.91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(1.01)</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(0.53)</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4"/>
                <w:szCs w:val="14"/>
                <w:color w:val="auto"/>
              </w:rPr>
              <w:t>Net increase in net assets resulting from operations</w:t>
            </w:r>
            <w:r>
              <w:rPr>
                <w:rFonts w:ascii="Arial" w:cs="Arial" w:eastAsia="Arial" w:hAnsi="Arial"/>
                <w:sz w:val="23"/>
                <w:szCs w:val="23"/>
                <w:color w:val="auto"/>
                <w:vertAlign w:val="superscript"/>
              </w:rPr>
              <w:t>(1)</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1.68</w:t>
            </w:r>
          </w:p>
        </w:tc>
        <w:tc>
          <w:tcPr>
            <w:tcW w:w="840" w:type="dxa"/>
            <w:vAlign w:val="bottom"/>
          </w:tcPr>
          <w:p>
            <w:pPr>
              <w:jc w:val="right"/>
              <w:spacing w:after="0"/>
              <w:rPr>
                <w:sz w:val="20"/>
                <w:szCs w:val="20"/>
                <w:color w:val="auto"/>
              </w:rPr>
            </w:pPr>
            <w:r>
              <w:rPr>
                <w:rFonts w:ascii="Arial" w:cs="Arial" w:eastAsia="Arial" w:hAnsi="Arial"/>
                <w:sz w:val="16"/>
                <w:szCs w:val="16"/>
                <w:color w:val="auto"/>
              </w:rPr>
              <w:t>1.05</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w:t>
            </w:r>
          </w:p>
        </w:tc>
        <w:tc>
          <w:tcPr>
            <w:tcW w:w="2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0.24</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0.56</w:t>
            </w: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Distributions declared</w:t>
            </w:r>
            <w:r>
              <w:rPr>
                <w:rFonts w:ascii="Arial" w:cs="Arial" w:eastAsia="Arial" w:hAnsi="Arial"/>
                <w:sz w:val="23"/>
                <w:szCs w:val="23"/>
                <w:color w:val="auto"/>
                <w:vertAlign w:val="superscript"/>
              </w:rPr>
              <w:t>(1),(2)</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0.84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305"/>
        </w:trPr>
        <w:tc>
          <w:tcPr>
            <w:tcW w:w="438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 of Assets and Liabilities data:</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1,290,175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1,101,994</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1,153,327</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1,018,968</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928,738</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711,494</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512,381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Total investment portfolio</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1,198,408</w:t>
            </w:r>
          </w:p>
        </w:tc>
        <w:tc>
          <w:tcPr>
            <w:tcW w:w="840" w:type="dxa"/>
            <w:vAlign w:val="bottom"/>
          </w:tcPr>
          <w:p>
            <w:pPr>
              <w:jc w:val="right"/>
              <w:spacing w:after="0"/>
              <w:rPr>
                <w:sz w:val="20"/>
                <w:szCs w:val="20"/>
                <w:color w:val="auto"/>
              </w:rPr>
            </w:pPr>
            <w:r>
              <w:rPr>
                <w:rFonts w:ascii="Arial" w:cs="Arial" w:eastAsia="Arial" w:hAnsi="Arial"/>
                <w:sz w:val="16"/>
                <w:szCs w:val="16"/>
                <w:color w:val="auto"/>
              </w:rPr>
              <w:t>1,066,265</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1,078,176</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990,480</w:t>
            </w:r>
          </w:p>
        </w:tc>
        <w:tc>
          <w:tcPr>
            <w:tcW w:w="2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827,549</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664,724</w:t>
            </w: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469,760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Borrowings outstanding</w:t>
            </w:r>
            <w:r>
              <w:rPr>
                <w:rFonts w:ascii="Arial" w:cs="Arial" w:eastAsia="Arial" w:hAnsi="Arial"/>
                <w:sz w:val="23"/>
                <w:szCs w:val="23"/>
                <w:color w:val="auto"/>
                <w:vertAlign w:val="superscript"/>
              </w:rPr>
              <w:t>(3)</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479,720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335,750</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363,900</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294,452</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388,792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233,641</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175,475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Total NAV</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754,473</w:t>
            </w:r>
          </w:p>
        </w:tc>
        <w:tc>
          <w:tcPr>
            <w:tcW w:w="840" w:type="dxa"/>
            <w:vAlign w:val="bottom"/>
          </w:tcPr>
          <w:p>
            <w:pPr>
              <w:jc w:val="right"/>
              <w:spacing w:after="0"/>
              <w:rPr>
                <w:sz w:val="20"/>
                <w:szCs w:val="20"/>
                <w:color w:val="auto"/>
              </w:rPr>
            </w:pPr>
            <w:r>
              <w:rPr>
                <w:rFonts w:ascii="Arial" w:cs="Arial" w:eastAsia="Arial" w:hAnsi="Arial"/>
                <w:sz w:val="16"/>
                <w:szCs w:val="16"/>
                <w:color w:val="auto"/>
              </w:rPr>
              <w:t>693,103</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697,506</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669,717</w:t>
            </w:r>
          </w:p>
        </w:tc>
        <w:tc>
          <w:tcPr>
            <w:tcW w:w="2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462,657</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386,575</w:t>
            </w: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300,580</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data:</w:t>
            </w: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4"/>
                <w:szCs w:val="14"/>
                <w:color w:val="auto"/>
              </w:rPr>
              <w:t>Total return</w:t>
            </w:r>
            <w:r>
              <w:rPr>
                <w:rFonts w:ascii="Arial" w:cs="Arial" w:eastAsia="Arial" w:hAnsi="Arial"/>
                <w:sz w:val="23"/>
                <w:szCs w:val="23"/>
                <w:color w:val="auto"/>
                <w:vertAlign w:val="superscript"/>
              </w:rPr>
              <w:t>(4)</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9.30%</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12.20%</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17.37%</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28.71%</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(7.37)%</w:t>
            </w: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44.79%</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30.39%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Number of portfolio companies</w:t>
            </w:r>
            <w:r>
              <w:rPr>
                <w:rFonts w:ascii="Arial" w:cs="Arial" w:eastAsia="Arial" w:hAnsi="Arial"/>
                <w:sz w:val="23"/>
                <w:szCs w:val="23"/>
                <w:color w:val="auto"/>
                <w:vertAlign w:val="superscript"/>
              </w:rPr>
              <w:t>(5)</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66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48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Yield on debt portfolio</w:t>
            </w:r>
            <w:r>
              <w:rPr>
                <w:rFonts w:ascii="Arial" w:cs="Arial" w:eastAsia="Arial" w:hAnsi="Arial"/>
                <w:sz w:val="27"/>
                <w:szCs w:val="27"/>
                <w:color w:val="auto"/>
                <w:vertAlign w:val="superscript"/>
              </w:rPr>
              <w:t>(5)</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12.3%</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13.1%</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13.0%</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13.2%</w:t>
            </w: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13.3%</w:t>
            </w: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12.7%</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the weighted average shares outstanding for the respective years.</w:t>
      </w:r>
    </w:p>
    <w:p>
      <w:pPr>
        <w:spacing w:after="0" w:line="22"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taxable income calculated in accordance with income tax regulations, which may differ from amounts determined under GAAP.</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fair value.</w:t>
      </w:r>
    </w:p>
    <w:p>
      <w:pPr>
        <w:spacing w:after="0" w:line="18" w:lineRule="exact"/>
        <w:rPr>
          <w:rFonts w:ascii="Arial" w:cs="Arial" w:eastAsia="Arial" w:hAnsi="Arial"/>
          <w:sz w:val="16"/>
          <w:szCs w:val="16"/>
          <w:color w:val="auto"/>
        </w:rPr>
      </w:pPr>
    </w:p>
    <w:p>
      <w:pPr>
        <w:ind w:left="340" w:right="340" w:hanging="332"/>
        <w:spacing w:after="0" w:line="264"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the change in market price per share during the periods and takes into account distributions, if any, reinvested in accordance with our dividend reinvestment plan.</w:t>
      </w: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Unaudited.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2014</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82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35,475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37,879</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34,439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13,196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20,029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17,955</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18,753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20,652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21,500</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31,949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40,681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39,455</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NAV per share at the end of the quarter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11.33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11.13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w:t>
            </w:r>
          </w:p>
        </w:tc>
      </w:tr>
      <w:tr>
        <w:trPr>
          <w:trHeight w:val="365"/>
        </w:trPr>
        <w:tc>
          <w:tcPr>
            <w:tcW w:w="7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82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31,447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33,725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31,057</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32,958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17,099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17,655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14,063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18,181</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12,910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10,360</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22,479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13,786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26,972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28,541</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NAV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r>
      <w:tr>
        <w:trPr>
          <w:trHeight w:val="365"/>
        </w:trPr>
        <w:tc>
          <w:tcPr>
            <w:tcW w:w="7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82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30,806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29,385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26,362</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26,839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16,742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15,571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9,759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14,997</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(12,151)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16,638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17,690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3,420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26,397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15,846</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NAV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r>
      <w:tr>
        <w:trPr>
          <w:trHeight w:val="365"/>
        </w:trPr>
        <w:tc>
          <w:tcPr>
            <w:tcW w:w="7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82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26,139</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22,908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22,712</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19,979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15,095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13,220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13,159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11,171</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(46,260)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14,351</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(31,165)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2,319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13,587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25,522</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NAV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11.08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11.30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11.14</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r>
      <w:tr>
        <w:trPr>
          <w:trHeight w:val="365"/>
        </w:trPr>
        <w:tc>
          <w:tcPr>
            <w:tcW w:w="7880" w:type="dxa"/>
            <w:vAlign w:val="bottom"/>
          </w:tcPr>
          <w:p>
            <w:pPr>
              <w:ind w:left="5540"/>
              <w:spacing w:after="0"/>
              <w:rPr>
                <w:sz w:val="20"/>
                <w:szCs w:val="20"/>
                <w:color w:val="auto"/>
              </w:rPr>
            </w:pPr>
            <w:r>
              <w:rPr>
                <w:rFonts w:ascii="Arial" w:cs="Arial" w:eastAsia="Arial" w:hAnsi="Arial"/>
                <w:sz w:val="18"/>
                <w:szCs w:val="18"/>
                <w:color w:val="auto"/>
              </w:rPr>
              <w:t>S-20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4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color w:val="auto"/>
        </w:rPr>
        <w:t>Our wholly owned subsidiaries, SBIC LP and SBIC II, were organized as Delaware limited partnerships in May 2010 and July 2012, respectively. SBIC LP and SBIC II received licenses from the SBA to operate as SBICs, under Section 301(c) of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administration agreements with us. Our board of directors, a majority of whom are independent of us, supervises our activities, and the Investment Adviser manages our day-to-day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terms of three to ten years and bear interest at a fixed or a floating rate. Interest on debt securities is generally payable quarterly or semiannually. In some cases, some of our investments provide for deferred interest payments and payment-in-kind,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original issue discount, or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Our primary operating expenses include the payment of a base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pacing w:after="0" w:line="94"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state and foreign registration fees and any exchange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1958 Act and applicable federal and state securities laws;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As of June 30, 2014, our portfolio totaled $1,198.4 million and consisted of $310.2 million of senior secured loans, $486.1 million of second lien secured debt, $282.4 million of subordinated debt and $119.7 million of preferred and common equity investments. Our debt portfolio consisted of 39% fixed-rate and 61% variable-rate investments (including 53% with a LIBOR or prime floor). Our overall portfolio consisted of 66 companies with an average investment size of $18.2 million, had a weighted average yield on debt investments of 12.3% and was invested 26% in senior secured loans, 40% in second lien secured debt, 24% in subordinated debt and 10% in preferred and common equity investments.</w:t>
      </w:r>
    </w:p>
    <w:p>
      <w:pPr>
        <w:spacing w:after="0" w:line="173"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As of September 30, 2013, our portfolio totaled $1,078.2 million and consisted of $299.5 million of senior secured loans, $357.5 million of second lien secured debt, $302.5 million of subordinated debt and $118.7 million of preferred and common equity investments. Our debt portfolio consisted of 52% fixed-rate and 48% variable-rate investments (including 44% with a LIBOR or prime floor). Our overall portfolio consisted of 61 companies with an average investment size of $17.7 million, had a weighted average yield on debt investments of 13.0% and was invested 28% in senior secured loans, 33% in second lien secured debt, 28% in subordinated debt and 11% in preferred and common equity investments.</w:t>
      </w:r>
    </w:p>
    <w:p>
      <w:pPr>
        <w:spacing w:after="0" w:line="1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For the three months ended June 30, 2014, we invested $191.8 million in three new and nine existing portfolio companies with a weighted average yield on debt investments of 11.7%. Sales and repayments of investments for the three months ended June 30, 2014 totaled $273.6 million. For the nine months ended June 30, 2014, we invested $561.8 million in 16 new and 22 existing portfolio companies with a weighted average yield on debt investments of 12.1%. Sales and repayments of investments for the nine months ended June 30, 2014 totaled $534.4 million.</w:t>
      </w:r>
    </w:p>
    <w:p>
      <w:pPr>
        <w:spacing w:after="0" w:line="17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For the three months ended June 30, 2013, we invested $73.3 million in two new and five existing portfolio companies with a weighted average yield on debt investments of 12.9%. Sales and repayments of investments for the three months ended June 30, 2013 totaled $117.8 million. For the nine months ended June 30, 2013, we invested $317.2 million in eight new and 19 existing portfolio companies with a weighted average yield on debt investments of 12.9%. Sales and repayments of investments for the nine months ended June 30, 2013 totaled $271.2 million.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reclassified certain prior period amounts to conform to the current period presentation. We have eliminated all intercompany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12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supplement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8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20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92" w:lineRule="exact"/>
        <w:rPr>
          <w:rFonts w:ascii="Arial" w:cs="Arial" w:eastAsia="Arial" w:hAnsi="Arial"/>
          <w:sz w:val="18"/>
          <w:szCs w:val="18"/>
          <w:color w:val="auto"/>
        </w:rPr>
      </w:pPr>
    </w:p>
    <w:p>
      <w:pPr>
        <w:ind w:left="900" w:right="260" w:hanging="446"/>
        <w:spacing w:after="0" w:line="286"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7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160" w:hanging="1147"/>
        <w:spacing w:after="0" w:line="264" w:lineRule="auto"/>
        <w:tabs>
          <w:tab w:leader="none" w:pos="11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160" w:right="320" w:hanging="1147"/>
        <w:spacing w:after="0" w:line="277" w:lineRule="auto"/>
        <w:tabs>
          <w:tab w:leader="none" w:pos="1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2025 Notes to align the measurement attributes of both our assets and liabilities while mitigating volatility in earnings from using different measurement attributes. Due to that election and in accordance with GAAP, we incurred non-recurring expenses of $3.9 million relating to debt issuance costs on the Credit Facility for the three and nine months ended June 30, 2014.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 liabilities, including the SBA debentures. For the three and nine months ended June 30, 2014, our Credit Facility and 2025 Notes had a net change in unrealized appreciation of $3.4 million and $5.4 million, respectively. For the three and nine months ended June 30, 2013, our Credit Facility and 2025 Notes had a net change in unrealized depreciation (appreciation) of $0.4 million and $(0.5) million, respectively. As of June 30, 2014 and September 30, 2013, net unrealized (appreciation) depreciation on our Credit Facility and 2025 Notes totaled $(2.6) million and $2.9 million, respectively. We use a nationally recognized independent valuation service to fair value our Credit Facility in a manner consistent with</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valuation process that the board of directors approves to value investments. Our 2025 Notes trade on the New York Stock Exchange, or NYSE, and we use the closing price on the exchange to determine their fair value.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and deferred financing costs are capitalized and we then accrete or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12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sz w:val="20"/>
          <w:szCs w:val="20"/>
          <w:color w:val="auto"/>
        </w:rPr>
      </w:pPr>
    </w:p>
    <w:p>
      <w:pPr>
        <w:ind w:left="1480" w:hanging="567"/>
        <w:spacing w:after="0"/>
        <w:tabs>
          <w:tab w:leader="none" w:pos="1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liabilities—at the exchange rates prevailing at the end of the applicable period; and</w:t>
      </w:r>
    </w:p>
    <w:p>
      <w:pPr>
        <w:spacing w:after="0" w:line="153" w:lineRule="exact"/>
        <w:rPr>
          <w:rFonts w:ascii="Arial" w:cs="Arial" w:eastAsia="Arial" w:hAnsi="Arial"/>
          <w:sz w:val="16"/>
          <w:szCs w:val="16"/>
          <w:color w:val="auto"/>
        </w:rPr>
      </w:pPr>
    </w:p>
    <w:p>
      <w:pPr>
        <w:ind w:left="1480" w:right="440" w:hanging="567"/>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expenses—at the exchange rates prevailing on the respective dates of such transactions.</w:t>
      </w:r>
    </w:p>
    <w:p>
      <w:pPr>
        <w:spacing w:after="0" w:line="170"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PIK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net capital gains income (i.e. the excess, if any, of our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7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In June 2013, the Financial Accounting Standards Board (“FASB”) issued Accounting Standards Update 2013-08, Financial Services—Investment Companies (Topic 946): Amendments to the Scope, Measurement, and Disclosure Requirements (“ASU 2013-08”). ASU 2013-08 provides an approach to assess whether a company is an investment company, clarifies the characteristics of an investment company, and provides new measurement and disclosure requirements. ASU 2013-08 is effective for interim and annual reporting periods in fiscal years that begin after December 15, 2013. Earlier application is prohibited. We are currently evaluating ASU 2013-08 to determine the effect, if any, on our Consolidated Financial Statements and disclosures.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and nine months ended June 30, 2014 and 2013.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Investment income for the three and nine months ended June 30, 2014 was $35.5 million and $107.8 million, respectively, and was attributable to $9.8 million and $30.0 million from senior secured loans, $13.3 million and $39.9 million from second lien secured debt investments, $11.6 million and $35.7 million from subordinated debt investments, and $0.8 million and $2.2 million from equity investments, respectively. This compares to investment income for the three and nine months ended June 30, 2013, which was $33.7 million and $97.7 million, respectively, and was attributable to $11.6 million and $29.6 million from senior secured loans, $7.9 million and $22.9 million from second lien secured debt investments, $14.2 million and $43.9 million from subordinated debt investments, and zero and $1.3 million from equity investments, respectively. The increase in investment income compared with the same period in the prior year was primarily due to the growth of our portfolio.</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Expenses for the three and nine months ended June 30, 2014 totaled $22.3 million and $56.6 million, respectively. Base management fee for the same periods totaled $6.1 million and $17.9 million, incentive fees totaled $5.4 million and $14.9 million (including $1.7 million on net realized gains accrued but not payable), debt related interest and expenses totaled $8.9 million and $18.6 million (including $3.9 million of Credit Facility debt issuance costs) and general and administrative expenses totaled $1.9 million and $5.2 million, respectively.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compares to expenses for the three and nine months ended June 30, 2013, which totaled $16.1 million and $47.8 million, respectively. Base management fee for the same periods totaled $5.4 million and $15.9 million, incentive fees totaled $4.4 million and $12.5 million, debt related interest and expenses (including the $0.3 million and $2.7 million of debt issuance costs associated with our 2025 Notes, respectively) totaled $4.6 million and $14.0 million and general and administrative expenses and excise tax totaled $1.7 million and $5.4 million, respectively. The increase in expenses was primarily due to both growing our portfolio and expanding our borrowing capacity under our Credit Facility.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Net investment income totaled $13.2 million and $51.2 million, or $0.20 and $0.77 per share, for the three and nine months ended June 30, 2014, respectively. Net investment income totaled $17.7 million and $49.9 million, or $0.27 and $0.76 per share, for the three and nine months ended June 30, 2013, respectively. The decrease in net investment income for the three months ended June 30, 2014 compared to the same period in the prior year was due to debt issuance costs that were not incurred in the comparable period. The increase in net investment income for the nine months ended June 30, 2014 was due to the growth of our portfolio offset by higher financing costs and debt issuance costs.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Sales and repayments of investments for the three and nine months ended June 30, 2014 totaled $273.6 million and $534.4 million, respectively, and realized gains totaled $23.3 million and $29.0 million, respectively. Sales and repayments of investments for the three and nine months ended June 30, 2013 totaled $117.8 million and $271.2 million, respectively, and realized gains totaled $15.7 million and $14.7 million, respectively. The increase in realized gains was driven by exits of portfolio companies.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Credit Facility and 2025 Notes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and nine months ended June 30, 2014, we reported net unrealized (depreciation) appreciation on investments of $(1.1) million and $37.4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respectively. For the three and nine months ended June 30, 2013, we reported a net unrealized (depreciation) appreciation on investments of $(20.0)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$5.2 million, respectively. As of June 30, 2014 and September 30, 2013, our net unrealized appreciation (depreciation) on investments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$24.0 million and $(13.3) million, respectively. Net change in unrealized (depreciation) appreciation on investments was a result of the overall variation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leveraged finance markets as well as the relevant unobservable inputs used in deriving our valuations.</w:t>
      </w:r>
    </w:p>
    <w:p>
      <w:pPr>
        <w:spacing w:after="0" w:line="2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three and nine months ended June 30, 2014, we reported net unrealized (appreciation) on our Credit Facility and 2025 Notes of $(3.4) million and $(5.4) million, respectively. For the three and nine months ended June 30, 2013, we reported a net unrealized depreciation (appreciation) on our Credit Facility and 2025 Notes of $0.4 million and $(0.5) million, respectively. Net change in unrealized appreciation on the Credit Facility and 2025 Notes over the prior year was due to changes in the capital markets.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increase in net assets resulting from operations totaled $31.9 million and $112.1 million, or $0.48 and $1.68 per share, for the three and nine months ended June 30, 2014, respectively. This compares to a net increase in net assets resulting from operations of $13.8 million and $69.3 million, or $0.21 and $1.05 per share, for the three and nine months ended June 30, 2013, respectively. The increase compared to the prior year was due to realized gains, the continued growth of our portfolio and appreciation of our investments.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liquidity and capital resources are derived primarily from proceeds of securities offerings, debt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and proceeds from the rotation of our portfolio and proceeds from public and private offerings of securities to finance our investment objectives.</w:t>
      </w:r>
    </w:p>
    <w:p>
      <w:pPr>
        <w:spacing w:after="0" w:line="18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June 25, 2014, we amended and restated our multi-currency Credit Facility to increase the amount available for borrowing from $445.0 million to $545.0 million, reduce the interest rate spread above LIBOR from 2.75% to 2.25%, reduce the undrawn commitment fee from 0.50% to 0.375% and extend the maturity date from February 21, 2016 to June 25, 2019. This multi-currency Credit Facility is with certain lenders and SunTrust Bank, acting as administrative agent, and JPMorgan Chase Bank, N.A., acting as syndication agent for the lenders. As of June 30, 2014 and September 30, 2013, there was $255.9 million and $145.5 million (including a temporary draw of $28.0 million), respectively, in outstanding borrowings under the Credit Facility, with a weighted average interest rate at the time of 2.52% and 3.33%, exclusive of the fee on undrawn commitments of 0.375% and 0.50%, respectively.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documents governing the Credit Facility contain affirmative and restrictive covenants, including: (a) periodic financial reporting requirements,</w:t>
      </w:r>
    </w:p>
    <w:p>
      <w:pPr>
        <w:spacing w:after="0" w:line="35" w:lineRule="exact"/>
        <w:rPr>
          <w:sz w:val="20"/>
          <w:szCs w:val="20"/>
          <w:color w:val="auto"/>
        </w:rPr>
      </w:pPr>
    </w:p>
    <w:p>
      <w:pPr>
        <w:jc w:val="both"/>
        <w:ind w:right="140" w:firstLine="8"/>
        <w:spacing w:after="0" w:line="281" w:lineRule="auto"/>
        <w:tabs>
          <w:tab w:leader="none" w:pos="2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maintenance of a minimum stockholders’ equity of the sum of (1) $245.2 million plus (2) 25% of the net proceeds from the sale of equity interests in the Company and its subsidiaries after the effective date (other than proceeds from the sale of equity interests by and among the Company and its subsidiaries),</w:t>
      </w:r>
    </w:p>
    <w:p>
      <w:pPr>
        <w:spacing w:after="0" w:line="1" w:lineRule="exact"/>
        <w:rPr>
          <w:rFonts w:ascii="Arial" w:cs="Arial" w:eastAsia="Arial" w:hAnsi="Arial"/>
          <w:sz w:val="16"/>
          <w:szCs w:val="16"/>
          <w:color w:val="auto"/>
        </w:rPr>
      </w:pPr>
    </w:p>
    <w:p>
      <w:pPr>
        <w:ind w:firstLine="8"/>
        <w:spacing w:after="0" w:line="287" w:lineRule="auto"/>
        <w:tabs>
          <w:tab w:leader="none" w:pos="245"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maintenance of an asset coverage ratio of not less than 2.0:1.0, (d) maintenance of minimum liquidity standards, (e) limitations on the incurrence of additional indebtedness, (f) limitations on liens, (g) limitations on fundamental corporate changes, (h) limitations on investments, (i) limitations on payments and distributions, (j) limitations on transactions with affiliates, (k) limitations on engaging in business not contemplated by the Company’s investment objectives, (l) limitations on the creation or existence of agreements that prohibit liens on properties of the Company and its subsidiaries and (m) limitations on the ability to modify long-term indebtedness. In addition to the asset coverage ratio described in clause (c) of the preceding sentence, borrowings under the Credit Facility (and the incurrence of certain other permitted debt) will be subject to compliance with a borrowing base that will apply different advance rates to different types of assets in the Company’s portfolio. The Credit Facility also includes certain customary events of default, including the failure to make timely payments of principal and interest, the occurrence of a change in control and the failure by the Company to materially perform under the operative agreements governing the Credit Facility, which would permit the lenders to accelerate repayment under the Credit Facility.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19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2025 Notes. Furthermore, our Credit Facility availability depends on various covenants and</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restrictions. The primary use of existing funds and any funds raised in the future is expected to be for repayment of indebtedness, investments in portfolio companies, cash distributions to our stockholders or for other general corporate or strategic purposes. For the nine months ended June 30, 2014, we did not issue shares of common stock in connection with an equity offering. Any decision to sell shares below the then current NAV per share of our common stock is subject to stockholder approval and a determination by our board of directors that such issuance and sale is in our and our stockholders’ best interests. Any sale or other issuance of shares of our common stock at a price below NAV per share results in immediate dilution to our stockholders’ interests in our common stock and a reduction in our NAV per share.</w:t>
      </w:r>
    </w:p>
    <w:p>
      <w:pPr>
        <w:spacing w:after="0" w:line="19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June 30, 2014.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$225.0 million in the aggregate.</w:t>
      </w:r>
    </w:p>
    <w:p>
      <w:pPr>
        <w:spacing w:after="0" w:line="178"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As of June 30, 2014 and September 30, 2013, our SBIC Funds had $225.0 million and $150.0 million in debt commitments, respectively, and $150.0 million was drawn for each period. The SBA debentures’ upfront fees of 3.43% consist of a commitment fee of 1.00% and an issuance discount of 2.43%. Both fees will be amortized over the lives of the loans. Our fixed-rate SBA debentures as of June 30, 2014 and September 30, 2013 were as follows: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8"/>
              </w:rPr>
              <w:t>Issuance Dates</w:t>
            </w:r>
          </w:p>
        </w:tc>
        <w:tc>
          <w:tcPr>
            <w:tcW w:w="2600" w:type="dxa"/>
            <w:vAlign w:val="bottom"/>
            <w:vMerge w:val="restart"/>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640" w:type="dxa"/>
            <w:vAlign w:val="bottom"/>
            <w:vMerge w:val="restart"/>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 All-In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2600" w:type="dxa"/>
            <w:vAlign w:val="bottom"/>
            <w:tcBorders>
              <w:bottom w:val="single" w:sz="8" w:color="CCEEFF"/>
            </w:tcBorders>
            <w:vMerge w:val="continue"/>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Coupon Rate</w:t>
            </w: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1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87"/>
              </w:rPr>
              <w:t>September 1, 2020</w:t>
            </w: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3380" w:type="dxa"/>
            <w:vAlign w:val="bottom"/>
            <w:gridSpan w:val="3"/>
          </w:tcPr>
          <w:p>
            <w:pPr>
              <w:ind w:left="1380"/>
              <w:spacing w:after="0"/>
              <w:rPr>
                <w:sz w:val="20"/>
                <w:szCs w:val="20"/>
                <w:color w:val="auto"/>
              </w:rPr>
            </w:pPr>
            <w:r>
              <w:rPr>
                <w:rFonts w:ascii="Arial" w:cs="Arial" w:eastAsia="Arial" w:hAnsi="Arial"/>
                <w:sz w:val="18"/>
                <w:szCs w:val="18"/>
                <w:color w:val="auto"/>
              </w:rPr>
              <w:t>March 1, 2021</w:t>
            </w:r>
          </w:p>
        </w:tc>
        <w:tc>
          <w:tcPr>
            <w:tcW w:w="1280" w:type="dxa"/>
            <w:vAlign w:val="bottom"/>
            <w:gridSpan w:val="2"/>
          </w:tcPr>
          <w:p>
            <w:pPr>
              <w:ind w:left="520"/>
              <w:spacing w:after="0"/>
              <w:rPr>
                <w:sz w:val="20"/>
                <w:szCs w:val="20"/>
                <w:color w:val="auto"/>
              </w:rPr>
            </w:pPr>
            <w:r>
              <w:rPr>
                <w:rFonts w:ascii="Arial" w:cs="Arial" w:eastAsia="Arial" w:hAnsi="Arial"/>
                <w:sz w:val="18"/>
                <w:szCs w:val="18"/>
                <w:color w:val="auto"/>
              </w:rPr>
              <w:t>4.46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44,500,000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338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rPr>
              <w:t>September 1, 2021</w:t>
            </w:r>
          </w:p>
        </w:tc>
        <w:tc>
          <w:tcPr>
            <w:tcW w:w="8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5"/>
              </w:rPr>
              <w:t>3.38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color w:val="auto"/>
              </w:rPr>
              <w:t>Weighted Average Rate/Total</w:t>
            </w: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gridSpan w:val="2"/>
          </w:tcPr>
          <w:p>
            <w:pPr>
              <w:ind w:left="520"/>
              <w:spacing w:after="0"/>
              <w:rPr>
                <w:sz w:val="20"/>
                <w:szCs w:val="20"/>
                <w:color w:val="auto"/>
              </w:rPr>
            </w:pPr>
            <w:r>
              <w:rPr>
                <w:rFonts w:ascii="Arial" w:cs="Arial" w:eastAsia="Arial" w:hAnsi="Arial"/>
                <w:sz w:val="18"/>
                <w:szCs w:val="18"/>
                <w:color w:val="auto"/>
              </w:rPr>
              <w:t>3.70%</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June 30, 2014, our SBIC Funds were in compliance with their regulatory requirements.</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accordance with the 1940 Act, with certain limited exceptions, PennantPark Investment is only allowed to borrow amounts such that our asset coverage ratio is met after such borrowing. As of June 30, 2014 and September 30, 2013, we excluded the principal amounts of our SBA debentures from our asset coverage ratio pursuant to SEC exemptive relief. In June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On June 30, 2014 and September 30, 2013, we had cash and cash equivalents of $64.4 million and $58.4 million, respectively, available for investing and general corporate purposes. We believe our liquidity and capital resources are sufficient to take advantage of market opportunities.</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operating activities used cash of $48.4 million for the nine months ended June 30, 2014, primarily for net purchases of investments. Our financing activities provided cash of $54.5 million for the same period, primarily from net borrowings under our Credit Facility.</w:t>
      </w:r>
    </w:p>
    <w:p>
      <w:pPr>
        <w:spacing w:after="0" w:line="170"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Our operating activities provided cash of $11.1 million for the nine months ended June 30, 2013, primarily from operating income. Our financing activities used cash of $2.4 million for the same period, primarily to repay certain amounts outstanding under our Credit Facility.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 summary of our significant contractual payment obligations as of June 30, 2014, including borrowings under our various debt facilities and other contractual obligations,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Payments due by period (in millions)</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3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1-3</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53"/>
              <w:spacing w:after="0" w:line="119" w:lineRule="exact"/>
              <w:rPr>
                <w:sz w:val="20"/>
                <w:szCs w:val="20"/>
                <w:color w:val="auto"/>
              </w:rPr>
            </w:pPr>
            <w:r>
              <w:rPr>
                <w:rFonts w:ascii="Arial" w:cs="Arial" w:eastAsia="Arial" w:hAnsi="Arial"/>
                <w:sz w:val="13"/>
                <w:szCs w:val="13"/>
                <w:b w:val="1"/>
                <w:bCs w:val="1"/>
                <w:color w:val="auto"/>
              </w:rPr>
              <w:t>3-5</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years</w:t>
            </w:r>
          </w:p>
        </w:tc>
        <w:tc>
          <w:tcPr>
            <w:tcW w:w="240" w:type="dxa"/>
            <w:vAlign w:val="bottom"/>
          </w:tcPr>
          <w:p>
            <w:pPr>
              <w:spacing w:after="0"/>
              <w:rPr>
                <w:sz w:val="14"/>
                <w:szCs w:val="14"/>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$255.9</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255.9</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150.0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Total debt outstanding</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255.9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5"/>
                <w:szCs w:val="15"/>
                <w:color w:val="auto"/>
              </w:rPr>
              <w:t>(3)</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1.9</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497.6</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79"/>
              </w:rPr>
              <w:t>1.9</w:t>
            </w:r>
          </w:p>
        </w:tc>
        <w:tc>
          <w:tcPr>
            <w:tcW w:w="5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$ 8.5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borrowings denominated in British Pounds of £34.0 million, as of June 30, 2014.</w:t>
      </w:r>
    </w:p>
    <w:p>
      <w:pPr>
        <w:spacing w:after="0" w:line="23" w:lineRule="exact"/>
        <w:rPr>
          <w:rFonts w:ascii="Arial" w:cs="Arial" w:eastAsia="Arial" w:hAnsi="Arial"/>
          <w:sz w:val="18"/>
          <w:szCs w:val="18"/>
          <w:color w:val="auto"/>
        </w:rPr>
      </w:pPr>
    </w:p>
    <w:p>
      <w:pPr>
        <w:ind w:left="460" w:right="54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annualized weighted average cost of debt as of June 30, 2014, excluding debt issuance costs, was 3.94% inclusive of the fee on the undrawn commitment of 0.375% on the Credit Facility and 3.43% of upfront fees on SBA debentures.</w:t>
      </w:r>
    </w:p>
    <w:p>
      <w:pPr>
        <w:ind w:left="460" w:right="72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Unfunded debt and equity investments described in the Consolidated Statement of Assets and Liabilities represent unfunded delayed draws on investments and/or revolving lines of credit.</w:t>
      </w:r>
    </w:p>
    <w:p>
      <w:pPr>
        <w:spacing w:after="0" w:line="18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2014,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base management fee equal to a percentage of the value of our average adjusted gross assets and (2) an incentive fee based on our performance.</w:t>
      </w:r>
    </w:p>
    <w:p>
      <w:pPr>
        <w:spacing w:after="0" w:line="16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Under our Administration Agreement, which was most recently reapproved by our board of directors, including a majority of our directors who are not interested persons of us, in February 2014,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For the three and nine months ended June 30, 2014, the Investment Adviser was reimbursed $0.6 million and $2.7 million, respectively, from us, including expenses incurred on behalf of the Administrator, for the services described above. For the three and nine months ended June 30, 2013, the Investment Adviser was reimbursed $0.5 million and $2.5 million, respectively, from us, including expenses incurred on behalf of the Administrator, for the services described above.</w:t>
      </w:r>
    </w:p>
    <w:p>
      <w:pPr>
        <w:spacing w:after="0" w:line="167"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We, in the ordinary course of business, have guaranteed certain obligations of our controlled affiliate SuttonPark Holdings, Inc. and its subsidiaries, or SPH. The guaranties are only triggered if there were administrative errors in acquiring assets which SPH subsequently sold or securitized. As of June 30, 2014 and September 30, 2013, our maximum guaranty was $11.3 million and $13.0 million, respectively. Based on SPH’s and the industry’s historical loss rates we believe the risk of loss is remote, thus, we have not recorded a liability associated with the guaranties. The current guaranties will decline over time.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engage in no off-balance-sheet arrangements, including any risk management of commodity pricing or other hedging practices.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realized net capital gains for the one-year period ending on October 31 of the calendar year and</w:t>
      </w:r>
    </w:p>
    <w:p>
      <w:pPr>
        <w:spacing w:after="0" w:line="2" w:lineRule="exact"/>
        <w:rPr>
          <w:sz w:val="20"/>
          <w:szCs w:val="20"/>
          <w:color w:val="auto"/>
        </w:rPr>
      </w:pPr>
    </w:p>
    <w:p>
      <w:pPr>
        <w:ind w:right="20" w:firstLine="8"/>
        <w:spacing w:after="0" w:line="254"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As a RIC, we are generally not subject to tax on income and have elected to retain a portion of our calendar year income.</w:t>
      </w:r>
    </w:p>
    <w:p>
      <w:pPr>
        <w:spacing w:after="0" w:line="1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During the three and nine months ended June 30, 2014, we declared to stockholders distributions of $0.28 and $0.84 per share, respectively, for total distributions of $18.6 million and $55.9 million, respectively. For the same periods in the prior year, we declared distributions of $0.28 and $0.84 per share, respectively, for total distributions of $18.6 million and $55.8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make quarterly distributions to our stockholders. Our quarterly distributions, if any, are determined by our board of directors.</w:t>
      </w:r>
    </w:p>
    <w:p>
      <w:pPr>
        <w:spacing w:after="0" w:line="24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From June 30, 2014 through August 31, 2014, we invested $217.6 million in three new and eight existing portfolio companies with a weighted average yield on debt investments of 13.2%. Sales and repayments of investments for the same period totaled $32.7 million. As of August 31, 2014, there was $452.2 million in outstanding borrowings under the Credit facility.</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September 10, 2014, we sold 8.5 million shares of our common stock in an offering resulting in net proceeds of $95.4 million. We also granted the underwriters in that offering an option to purchase up to an additional 1.3 million shares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to Determination of NAV—Determinations In Connection With Offerings</w:t>
      </w:r>
    </w:p>
    <w:p>
      <w:pPr>
        <w:spacing w:after="0" w:line="12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received the consent of the majority of our common stockholders to do so and the board decides such offering is in the best interests of our common stockholders.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Whenever we do not have current shareholder approval to issue shares of our common stock at a price per share below our then current NAV per share, the offering price per share (exclusive of any distributing commission or discount) will equal or exceed NAV per share, based on the value of our portfolio securities and other assets determined in good faith by our board of directors as of a time within 48 hours (excluding Sundays and holidays) of the sale. See “Sales of Common Stock below Net Asset Value” in the accompanying prospectus for more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are subject to financial market risks, including changes in interest rates. As of June 30, 2014, our debt portfolio consisted of 39% fixed-rate investments and 61% variable-rate investments (including 53%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interest rate sensitivity, the following table shows the annualized impact of hypothetical base rate changes in interest rates: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Change In Interest</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3820" w:type="dxa"/>
            <w:vAlign w:val="bottom"/>
          </w:tcPr>
          <w:p>
            <w:pPr>
              <w:spacing w:after="0"/>
              <w:rPr>
                <w:sz w:val="12"/>
                <w:szCs w:val="12"/>
                <w:color w:val="auto"/>
              </w:rPr>
            </w:pPr>
          </w:p>
        </w:tc>
        <w:tc>
          <w:tcPr>
            <w:tcW w:w="20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Income, Net Of Interest</w:t>
            </w:r>
          </w:p>
        </w:tc>
        <w:tc>
          <w:tcPr>
            <w:tcW w:w="126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1"/>
        </w:trPr>
        <w:tc>
          <w:tcPr>
            <w:tcW w:w="1540" w:type="dxa"/>
            <w:vAlign w:val="bottom"/>
            <w:vMerge w:val="continue"/>
          </w:tcPr>
          <w:p>
            <w:pPr>
              <w:spacing w:after="0"/>
              <w:rPr>
                <w:sz w:val="14"/>
                <w:szCs w:val="14"/>
                <w:color w:val="auto"/>
              </w:rPr>
            </w:pPr>
          </w:p>
        </w:tc>
        <w:tc>
          <w:tcPr>
            <w:tcW w:w="5880" w:type="dxa"/>
            <w:vAlign w:val="bottom"/>
            <w:gridSpan w:val="4"/>
          </w:tcPr>
          <w:p>
            <w:pPr>
              <w:jc w:val="center"/>
              <w:ind w:left="3134"/>
              <w:spacing w:after="0"/>
              <w:rPr>
                <w:sz w:val="20"/>
                <w:szCs w:val="20"/>
                <w:color w:val="auto"/>
              </w:rPr>
            </w:pPr>
            <w:r>
              <w:rPr>
                <w:rFonts w:ascii="Arial" w:cs="Arial" w:eastAsia="Arial" w:hAnsi="Arial"/>
                <w:sz w:val="14"/>
                <w:szCs w:val="14"/>
                <w:b w:val="1"/>
                <w:bCs w:val="1"/>
                <w:color w:val="auto"/>
                <w:w w:val="92"/>
              </w:rPr>
              <w:t>Expense (In Thousands)</w:t>
            </w: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1%</w:t>
            </w:r>
          </w:p>
        </w:tc>
        <w:tc>
          <w:tcPr>
            <w:tcW w:w="3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Up 2%</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2,797</w:t>
            </w:r>
          </w:p>
        </w:tc>
        <w:tc>
          <w:tcPr>
            <w:tcW w:w="580" w:type="dxa"/>
            <w:vAlign w:val="bottom"/>
          </w:tcPr>
          <w:p>
            <w:pPr>
              <w:spacing w:after="0"/>
              <w:rPr>
                <w:sz w:val="18"/>
                <w:szCs w:val="18"/>
                <w:color w:val="auto"/>
              </w:rPr>
            </w:pP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3%</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Up 4%</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10,494</w:t>
            </w:r>
          </w:p>
        </w:tc>
        <w:tc>
          <w:tcPr>
            <w:tcW w:w="580" w:type="dxa"/>
            <w:vAlign w:val="bottom"/>
          </w:tcPr>
          <w:p>
            <w:pPr>
              <w:spacing w:after="0"/>
              <w:rPr>
                <w:sz w:val="20"/>
                <w:szCs w:val="20"/>
                <w:color w:val="auto"/>
              </w:rPr>
            </w:pP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8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supplement, we did not engage in interest rate hedging activities.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300"/>
          </w:cols>
          <w:pgMar w:left="24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description of the particular terms of the 4.50% Notes due 2019 supplements and, to the extent inconsistent with, replaces the description of the general terms and provisions of the debt securities set forth in the accompanying prospectus.</w:t>
      </w:r>
    </w:p>
    <w:p>
      <w:pPr>
        <w:spacing w:after="0" w:line="170"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We will issue the Notes under a base indenture between us and American Stock Transfer &amp; Trust Company, LLC, as trustee, or the Trustee, as supplemented by a separate supplemental indenture, each to be dated as of the settlement date for the Notes. As used in this section, all references to the indenture mean the base indenture as supplemented by the supplemental indenture. The terms of the Notes include those expressly set forth in the indenture and those made part of the indenture by reference to the Trust Indenture Act of 1939, as amended, or the TIA.</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 You may request a copy of the indenture from us by making a written request to PennantPark Investment Corporation, 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NY 10022, or by calling us collect at (212) 905-1000 or by visiting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The information on our website is not incorporated by reference into this prospectus supplement or the accompanying prospectus.</w:t>
      </w:r>
    </w:p>
    <w:p>
      <w:pPr>
        <w:spacing w:after="0" w:line="193"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For purposes of this description, references to “we,” “our” and “us” refer only to PennantPark Investment and not to any of our current or future subsidiaries and references to “subsidiaries” refer only to our consolidated subsidiaries and exclude any investments held by PennantPark Investment in the ordinary course of business which are not, under GAAP, consolidated on the financial statements of PennantPark Investment and its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be our general unsecured, senior obligations;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initially be issued in an aggregate principal amount of $250,000,000;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mature on October 1, 2019 unless earlier redeemed or repurchased, as discussed below;</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bear cash interest from September 23, 2014 at an annual rate of 4.50% payable semi-annually on April 1 and October 1 of each year, beginning on April 1, 2015;</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be subject to redemption at our option as described under “—Optional Redemption;”</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be subject to repurchase by us at the option of the holders following a Change of Control Repurchase Event (as defined below under “— Offer to Repurchase Upon a Change of Control Repurchase Event”), at a repurchase price equal to 100% of the principal amount of the Notes to be repurchased, plus accrued and unpaid interest to, but excluding, the date of repurchase;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be issued in denominations of $2,000 and integral multiples of $1,000 thereof;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 be represented by one or more registered Notes in global form, but in certain limited circumstances may be represented by Notes in definitive form. See “—Book-Entry, Settlement and Clearance.”</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indenture does not limit the amount of debt that may be issued by PennantPark Investment or its subsidiaries under the indenture or otherwise. The indenture does not contain any financial covenants and does not restrict us from paying dividends or distributions or issuing or repurchasing our other securities. Other than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restrictions described under “—Offer to Repurchase Upon a Change of Control Repurchase Event” and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We may, without the consent of the holders, issue additional Notes under the indenture with the same terms as the Notes offered hereby in an unlimited aggregate principal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additional Notes are not fungible with the Notes offered hereby (or any other tranche of additional Notes) for U.S. federal income tax purposes, then such additional Notes will have different CUSIP numbers from the Notes offered hereby (and any such other tranche of additional Notes).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intend to list the Notes on any securities exchange or any automated dealer quotation system.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will pay the principal of, and interest on, Notes in global form registered in the name of or held by DTC, or its nominee in immediately available funds to DTC or its nominee, as the case may be, as the registered holder of such Global Note (as defined below).</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 xml:space="preserve">Payment of principal of (and premium, if any) and any such interest on the Notes will be made at the corporate trust office of the trustee in such coin or currency of the United States of America as at the time of payment is legal tender for payment of public and private debts;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our option payment of interest may be made by check mailed to the address of the person entitled thereto as such address shall appear in the security register.</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holder of Notes may transfer or exchange Notes at the office of the security registrar in accordance with the indenture. The security registrar and the trustee may require a holder, among other things, to furnish appropriate endorsements and transfer documents. No service charge will be imposed by us, the trustee or the security registrar for any registration of transfer or exchange of Notes, but we may require a holder to pay a sum sufficient to cover any transfer tax or other similar governmental charge required by law or permitted by the indenture.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Note will be treated as its owner for all purposes.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Notes will bear cash interest at a rate of 4.50% per year until maturity. Interest on the Notes will accrue from September 23, 2014 or from the most recent date on which interest has been paid or duly provided for. Interest will be payable semiannually in arrears on April 1 and October 1 of each year, beginning on April 1, 2015.</w:t>
      </w:r>
    </w:p>
    <w:p>
      <w:pPr>
        <w:spacing w:after="0" w:line="181"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Interest will be paid to the person in whose name a Note is registered at 5:00 p.m. New York City time, or the close of business, on March 15 or September 15, as the case may be, immediately preceding the relevant interest payment date, or each, a regular record date. Interest on the Notes will be computed on the basis of a 360-day year composed of twelve 30-day months.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interest payment date, the maturity date or any earlier required repurchase date upon a Change of Control Repurchase Event (defined below) of a Note falls on a day that is not a business day, the required payment will be made on the next succeeding business day and no interest on such payment will accrue in respect of the delay. The term “business day” means, with respect to any Note, any day other than a Saturday, a Sunday or a day on which banking institutions in New York are authorized or obligated by law or executive order to close.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The Notes will be our general unsecured obligations that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existing and future senior unsecured indebtedness, including our 2025 Notes. The Notes will rank senior to any of our future indebtedness that expressly states it is subordinated to the Notes and effectively subordinated to all of our existing and future secured indebtedness (including indebtedness that is initially unsecured, but to which we subsequently grant security), to the extent of the value of the assets securing such indebtedness, including approximately $452.2 million of borrowings outstanding as of August 31, 2014 under our Credit Facility to the extent of the value of the assets securing the Credit Facility. The Notes will rank structurally subordinated to all existing and future indebtedness and other obligations of any of our subsidiaries, financing vehicles or similar facilities, including SBIC LP’s SBA debentures of $150.0 million outstanding as of June 30, 2014 and any future indebtedness SBIC II may incur under its $75.0 million commitment from the SBA. 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color w:val="auto"/>
        </w:rPr>
        <w:t>We may redeem some or all of the Notes at any time, or from time to time. If we choose to redeem any Notes prior to maturity, we will pay a redemption price equal to the greater of the following amounts, plus, in each case, accrued and unpaid interest to the redemption date:</w:t>
      </w:r>
    </w:p>
    <w:p>
      <w:pPr>
        <w:spacing w:after="0" w:line="5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45 basis points.</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If we choose to redeem any Notes, we will deliver a notice of redemption to holders of the Notes not less than 30 nor more than 60 days before the redemption date. If we are redeeming less than all of the Notes, the particular Notes to be redeemed will be selected in accordance with the applicable procedures of the trustee and, so long as the Notes are registered to DTC or its nominee, DTC;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partial redemption shall reduce the portion of the principal amount of a Note not redeemed to less than $2,000. Unless we default in payment of the redemption price, on and after the redemption date, interest will cease to accrue on the Notes or portions of the Notes called for redemption.</w:t>
      </w:r>
    </w:p>
    <w:p>
      <w:pPr>
        <w:spacing w:after="0" w:line="1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17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us.</w:t>
      </w:r>
    </w:p>
    <w:p>
      <w:pPr>
        <w:spacing w:after="0" w:line="18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a Reference Treasury Dealer selected by us.</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“Reference Treasury Dealer” means each of (1) J.P. Morgan Securities LLC, (2) Goldman, Sachs &amp; Co., and (3) Morgan Stanley &amp; Co. LLC, or their respective affiliates which are primary U.S.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or their affiliates shall cease to be a primary U.S. government securities dealer in the United States, or a Primary Treasury Dealer, we shall select another Primary Treasury Dealer.</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to Repurchase Upon a Change of Control Repurchase Event</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a Change of Control Repurchase Event occurs, unless we have exercised our right to redeem the Notes in full, we will make an offer to each holder of Notes to repurchase all or any part (in minimum denominations of $2,000 and integral multiples of $1,000 principal amount) of that holder’s Notes at a repurchase price in cash equal to 100% of the aggregate principal amount of Notes repurchased plus any accrued and unpaid interest on the Notes repurchased to, but not including, the date of repurchase. Within 30 days following any Change of Control Repurchase Event or, at our option, prior to any Change of Control, but after the public announcement of the Change of Control, we will mail a notice to each holder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mailed. The notice shall, if mailed prior to the date of consummation of the Change of Control, state that the offer to purchase is conditioned on the Change of Control Repurchase Event occurring on or prior to the payment date specified in the notice. We will comply with the requirements of Rule 14e-1 promulgated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8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1940 Act and the rules and regulations promulgated thereunder, we will, to the extent lawful:</w:t>
      </w:r>
    </w:p>
    <w:p>
      <w:pPr>
        <w:spacing w:after="0" w:line="7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our offer;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aggregate purchase price in respect of all Notes or portions of Notes properly tendered; and</w:t>
      </w:r>
    </w:p>
    <w:p>
      <w:pPr>
        <w:spacing w:after="0" w:line="153" w:lineRule="exact"/>
        <w:rPr>
          <w:rFonts w:ascii="Arial" w:cs="Arial" w:eastAsia="Arial" w:hAnsi="Arial"/>
          <w:sz w:val="16"/>
          <w:szCs w:val="16"/>
          <w:color w:val="auto"/>
        </w:rPr>
      </w:pPr>
    </w:p>
    <w:p>
      <w:pPr>
        <w:ind w:left="900" w:right="3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us.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18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certain of our and our subsidiaries’ financing facilities provide that certain change of control events will constitute an event of default thereunder entitling the lenders to accelerate any indebtedness outstanding under our financing facilities at that time and to terminate the financing facilities. See “Management’s Discussion and Analysis of Financial Condition and Results of Operations—Liquidity and Capital Resources” in this prospectus supplement and the accompanying prospectus for a general discussion of our and our subsidiaries’ indebtedness. Our and our subsidiaries’ future financing facilities may contain similar restrictions and provisions. If the holders of the Notes exercise their right to require us to repurchase Notes upon a Change of Control Repurchase Event, the financial effect of this repurchase could cause a default under our and our subsidiaries’ future financing facilities, even if the Change of Control Repurchase Event itself would not cause a default. It is possible that we will not have sufficient funds at the time of the Change of Control Repurchase Event to make the required repurchase of the Notes and/or our and our subsidiaries’ other debt. See “Risk Factors—We may not be able to repurchase the Notes upon a Change of Control Repurchase Event” in this prospectus supplement.</w:t>
      </w:r>
    </w:p>
    <w:p>
      <w:pPr>
        <w:spacing w:after="0" w:line="16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definition of “Change of Control” includes a phrase relating to the direct or indirect sale, lease, transfer, conveyance or other disposition of “all or substantially all” of our assets and those of our Controlled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lease, transfer, conveyance or other disposition of less than all of our assets and the assets of our Controlled Subsidiaries taken as a whole to another person or group may be uncertain.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Notes: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“Below Investment Grade Rating Event” means the Notes are downgraded below Investment Grade by both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trustee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31" w:lineRule="exact"/>
        <w:rPr>
          <w:sz w:val="20"/>
          <w:szCs w:val="20"/>
          <w:color w:val="auto"/>
        </w:rPr>
      </w:pPr>
    </w:p>
    <w:p>
      <w:pPr>
        <w:jc w:val="both"/>
        <w:ind w:left="900" w:right="340" w:hanging="325"/>
        <w:spacing w:after="0" w:line="31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direct or indirect sale, lease, transfer, conveyance or other disposition (other than by way of merger or consolidation) in one or a series of related transactions, of all or substantially all of the assets of PennantPark Investment and its Controlled Subsidiaries taken as a whole to any “person” or “group” (as those terms are used in Section 13(d)(3) of the Exchange Act), other than to any Permitted Holders;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the avoidance of doubt, a pledge of assets pursuant to any secured debt instrument of PennantPark Investment or its Controlled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shall not be deemed to be any such sale, lease, transfer, conveyance or disposition;</w:t>
      </w:r>
    </w:p>
    <w:p>
      <w:pPr>
        <w:spacing w:after="0" w:line="76" w:lineRule="exact"/>
        <w:rPr>
          <w:sz w:val="20"/>
          <w:szCs w:val="20"/>
          <w:color w:val="auto"/>
        </w:rPr>
      </w:pPr>
    </w:p>
    <w:p>
      <w:pPr>
        <w:ind w:left="90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promulgated under the Exchange Act), directly or indirectly, of more than 50% of the outstanding Voting Stock of PennantPark Investment, measured by voting power rather than number of shares; or</w:t>
      </w:r>
    </w:p>
    <w:p>
      <w:pPr>
        <w:spacing w:after="0" w:line="92"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approval by PennantPark Investment’s stockholders of any plan or proposal relating to the liquidation or dissolution of PennantPark Investment.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“Controlled Subsidiary” means any subsidiary of PennantPark Investment, 50% or more of the outstanding equity interests of which are owned by PennantPark Investment and its direct or indirect subsidiaries and of which PennantPark Investment possesses, directly or indirectly, the power to direct or cause the direction of the management or policies, whether through the ownership of voting equity interests, by agreement or otherwise.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“Fitch” means Fitch, Inc., also known as Fitch Ratings, or any successor thereto.</w:t>
      </w:r>
    </w:p>
    <w:p>
      <w:pPr>
        <w:spacing w:after="0" w:line="225"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“Investment Grade” means a rating of BBB- or better by Fitch (or its equivalent under any successor rating categories of Fitch) and BBB- or better by S&amp;P (or its equivalent under any successor rating categories of S&amp;P) (or, in each case, if such Rating Agency ceases to rate the Notes for reasons outside of our control, the equivalent investment grade credit rating from any Rating Agency selected by us as a replacement Rating Agency).</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“Permitted Holders” means (i) us, (ii) one or more of our Controlled Subsidiaries and (iii) PennantPark Investment Advisers, any affiliate of PennantPark Investment Advisers or any entity that is managed by PennantPark Investment Advisers that is organized under the laws of a jurisdiction located in the United States of America and in the business of managing or advising clients.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“Rating Agency” means:</w:t>
      </w:r>
    </w:p>
    <w:p>
      <w:pPr>
        <w:spacing w:after="0" w:line="13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Fitch and S&amp;P; and</w:t>
      </w:r>
    </w:p>
    <w:p>
      <w:pPr>
        <w:spacing w:after="0" w:line="130" w:lineRule="exact"/>
        <w:rPr>
          <w:rFonts w:ascii="Arial" w:cs="Arial" w:eastAsia="Arial" w:hAnsi="Arial"/>
          <w:sz w:val="18"/>
          <w:szCs w:val="18"/>
          <w:color w:val="auto"/>
        </w:rPr>
      </w:pPr>
    </w:p>
    <w:p>
      <w:pPr>
        <w:ind w:left="900" w:right="38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either of Fitch or S&amp;P ceases to rate the Notes or fails to make a rating of the Notes publicly available for reasons outside of our control, a “nationally recognized statistical rating organization” as defined in Section (3)(a)(62) of the Exchange Act selected by us as a replacement agency for Fitch or S&amp;P, or both, as the case may be.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“S&amp;P” means Standard &amp; Poor’s Ratings Services, a division of McGraw-Hill, Inc., or any successor thereto.</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lien covenant included in the base indenture shall not apply to the Notes.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Consolidation or Sale of Assets</w:t>
      </w:r>
    </w:p>
    <w:p>
      <w:pPr>
        <w:spacing w:after="0" w:line="117" w:lineRule="exact"/>
        <w:rPr>
          <w:sz w:val="20"/>
          <w:szCs w:val="20"/>
          <w:color w:val="auto"/>
        </w:rPr>
      </w:pPr>
    </w:p>
    <w:p>
      <w:pPr>
        <w:ind w:right="880" w:firstLine="456"/>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900" w:right="3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may be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78" w:lineRule="exact"/>
        <w:rPr>
          <w:sz w:val="20"/>
          <w:szCs w:val="20"/>
          <w:color w:val="auto"/>
        </w:rPr>
      </w:pPr>
    </w:p>
    <w:p>
      <w:pPr>
        <w:jc w:val="both"/>
        <w:ind w:right="680" w:firstLine="456"/>
        <w:spacing w:after="0" w:line="312" w:lineRule="auto"/>
        <w:rPr>
          <w:sz w:val="20"/>
          <w:szCs w:val="20"/>
          <w:color w:val="auto"/>
        </w:rPr>
      </w:pPr>
      <w:r>
        <w:rPr>
          <w:rFonts w:ascii="Arial" w:cs="Arial" w:eastAsia="Arial" w:hAnsi="Arial"/>
          <w:sz w:val="16"/>
          <w:szCs w:val="16"/>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Covenants</w:t>
      </w:r>
    </w:p>
    <w:p>
      <w:pPr>
        <w:spacing w:after="0" w:line="13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agree that for the period of time during which the Notes are outstanding, we will not violate, whether or not we are subject to, Section 18(a)</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(1)(A) as modified by Section 61(a)(1) of the 1940 Act or any successor provisions.</w:t>
      </w:r>
    </w:p>
    <w:p>
      <w:pPr>
        <w:spacing w:after="0" w:line="116" w:lineRule="exact"/>
        <w:rPr>
          <w:rFonts w:ascii="Arial" w:cs="Arial" w:eastAsia="Arial" w:hAnsi="Arial"/>
          <w:sz w:val="16"/>
          <w:szCs w:val="16"/>
          <w:color w:val="auto"/>
        </w:rPr>
      </w:pPr>
    </w:p>
    <w:p>
      <w:pPr>
        <w:ind w:left="900" w:right="140" w:hanging="325"/>
        <w:spacing w:after="0" w:line="25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13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in the payment of interest upon any Note when due and payable and the default continues for a period of 30 days;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in the payment of the principal (or premium, if any) of any Note when it becomes due and payable at its maturity, including upon any redemption date or required repurchase date;</w:t>
      </w:r>
    </w:p>
    <w:p>
      <w:pPr>
        <w:spacing w:after="0" w:line="75" w:lineRule="exact"/>
        <w:rPr>
          <w:rFonts w:ascii="Arial" w:cs="Arial" w:eastAsia="Arial" w:hAnsi="Arial"/>
          <w:sz w:val="18"/>
          <w:szCs w:val="18"/>
          <w:color w:val="auto"/>
        </w:rPr>
      </w:pPr>
    </w:p>
    <w:p>
      <w:pPr>
        <w:ind w:left="900" w:right="260" w:hanging="325"/>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remain in breach of a covenant in respect of the Notes for 60 days after we receive a written notice of default stating we are in breach. The notice must be sent by either the trustee or holders of at least 25% of the principal amount of the outstanding Notes;</w:t>
      </w:r>
    </w:p>
    <w:p>
      <w:pPr>
        <w:spacing w:after="0" w:line="51" w:lineRule="exact"/>
        <w:rPr>
          <w:rFonts w:ascii="Arial" w:cs="Arial" w:eastAsia="Arial" w:hAnsi="Arial"/>
          <w:sz w:val="17"/>
          <w:szCs w:val="17"/>
          <w:color w:val="auto"/>
        </w:rPr>
      </w:pPr>
    </w:p>
    <w:p>
      <w:pPr>
        <w:ind w:left="900" w:hanging="325"/>
        <w:spacing w:after="0" w:line="289"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default by us or any of our significant subsidiaries, as defined in Article 1, Rule 1-02 of Regulation S-X promulgated under the Exchange Act (but excluding any subsidiary which is (a) a non-recourse or limited recourse subsidiary, (b) a bankruptcy remote special purpose vehicle or (c) is not consolidated with PennantPark Investment for purposes of GAAP), with respect to any mortgage, agreement or other instrument under which there may be outstanding, or by which there may be secured or evidenced, any indebtedness for money borrowed in excess of $50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use by the trustee or to us and the trustee by the holders of at least 25% in aggregate principal amount of the Notes then outstanding; and</w:t>
      </w:r>
    </w:p>
    <w:p>
      <w:pPr>
        <w:spacing w:after="0" w:line="72"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certain events of bankruptcy, insolvency or reorganization involving us occur and remain undischarged or unstayed for a period of 60 days.</w:t>
      </w:r>
    </w:p>
    <w:p>
      <w:pPr>
        <w:spacing w:after="0" w:line="237"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6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an event of default has occurred and has not been cured or waived (other than an event of default specified in the last bullet point above), the trustee or the holders of not less than 25% in principal amount of the Notes may declare the entire principal amount of all the Notes of that series to be due and immediately payable. This is called a declaration of acceleration of maturity. A declaration of acceleration of maturity may be canceled by the holders of a majority in principal amount of the Notes if the default is cured or waived and certain other conditions are satisfied. Notwithstanding the foregoing, in the case of the events of bankruptcy, insolvency or reorganization described in the last bullet above, 100% of the principal of and accrued and unpaid interest on the Notes will automatically become due and payable.</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Before you are allowed to bypass the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holders of at least 25% in principal amount of the outstanding Notes must make a written request that the trustee take action because of the default and must offer reasonable indemnity to the trustee against the cost and other liabilities of taking that action;</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Notes must not have given the trustee a direction inconsistent with the above notice during that 60-day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1"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Notes, or else specifying any default.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may satisfy and discharge our obligations under the indenture by delivering to the security registrar for cancellation all outstanding Notes or by depositing with the trustee or delivering to the holders, as applicable, after the Notes have become due and payable, or otherwise, moneys sufficient to pay all of the outstanding Notes and paying all other sums payable under the indenture by us. Such discharge is subject to terms contained in the indenture.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Notes are subject to defeasance and covenant defeasance, in each case, in accordance with the terms of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American Stock Transfer &amp; Trust Company, LLC, is the trustee, security registrar and paying agent. American Stock Transfer &amp; Trust Company, LLC, in each of its capacities, including without limitation as trustee, security registrar and paying agent, assumes no responsibility for the accuracy or completeness of the information concerning us or our affiliates or any other party contained in this document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provides that it and the Notes shall be governed by, and construed in accordance with, the laws of the State of New York.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Settlement and Clearance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Notes</w:t>
      </w:r>
    </w:p>
    <w:p>
      <w:pPr>
        <w:spacing w:after="0" w:line="11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The Notes will be initially issued in the form of one or more registered Notes in global form, without interest coupons, or the Global Notes. Upon issuance, each of the Global Notes will be deposited with the trustee as custodian for DTC and registered in the name of Cede &amp; Co., as nominee of DTC.</w:t>
      </w:r>
    </w:p>
    <w:p>
      <w:pPr>
        <w:spacing w:after="0" w:line="12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Ownership of beneficial interests in a Global Note will be limited to persons who have accounts with DTC, or the DTC participants, or persons who hold interests through DTC participants. We expect that under procedures established by DTC:</w:t>
      </w:r>
    </w:p>
    <w:p>
      <w:pPr>
        <w:spacing w:after="0" w:line="76" w:lineRule="exact"/>
        <w:rPr>
          <w:sz w:val="20"/>
          <w:szCs w:val="20"/>
          <w:color w:val="auto"/>
        </w:rPr>
      </w:pPr>
    </w:p>
    <w:p>
      <w:pPr>
        <w:ind w:left="900" w:right="1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75"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Beneficial interests in Global Notes may not be exchanged for Notes in physical, certificated form except in the limited circumstances described below.</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Procedures for Global Notes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nor the underwriters are responsible for those operations or procedures.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93"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52"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8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87" w:lineRule="exact"/>
        <w:rPr>
          <w:sz w:val="20"/>
          <w:szCs w:val="20"/>
          <w:color w:val="auto"/>
        </w:rPr>
      </w:pPr>
    </w:p>
    <w:p>
      <w:pPr>
        <w:ind w:right="720" w:firstLine="456"/>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Certificated Notes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 if:</w:t>
      </w:r>
    </w:p>
    <w:p>
      <w:pPr>
        <w:spacing w:after="0" w:line="154" w:lineRule="exact"/>
        <w:rPr>
          <w:sz w:val="20"/>
          <w:szCs w:val="20"/>
          <w:color w:val="auto"/>
        </w:rPr>
      </w:pPr>
    </w:p>
    <w:p>
      <w:pPr>
        <w:ind w:left="900" w:right="62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DTC ceases to be registered as a clearing agency under the Exchange Act and a successor depositary is not appointed within 90 days; or</w:t>
      </w:r>
    </w:p>
    <w:p>
      <w:pPr>
        <w:spacing w:after="0" w:line="142" w:lineRule="exact"/>
        <w:rPr>
          <w:rFonts w:ascii="Arial" w:cs="Arial" w:eastAsia="Arial" w:hAnsi="Arial"/>
          <w:sz w:val="17"/>
          <w:szCs w:val="17"/>
          <w:color w:val="auto"/>
        </w:rPr>
      </w:pPr>
    </w:p>
    <w:p>
      <w:pPr>
        <w:ind w:left="900" w:right="58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event of default with respect to the Notes has occurred and is continuing and such beneficial owner requests that its Notes be issued in physical, certificated form.</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Information about our senior securities shown in the following table as of June 30, 2014 is from our Consolidated Financial Statements, which has been reviewed by McGladrey LLP, an independent registered public accounting firm for this period. Information about our senior securities shown in the following table as of September 30, 2013, 2012, 2011, 2010, 2009 and 2008 is from our Consolidated Financial Statements, which has been audited by KPMG LLP,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in this prospectus supplement and in the accompanying prospectus.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9"/>
              </w:rPr>
              <w:t>Asset</w:t>
            </w:r>
          </w:p>
        </w:tc>
        <w:tc>
          <w:tcPr>
            <w:tcW w:w="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 Amount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0"/>
              </w:rPr>
              <w:t>Coverage</w:t>
            </w: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5320" w:type="dxa"/>
            <w:vAlign w:val="bottom"/>
            <w:vMerge w:val="restart"/>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7"/>
              </w:rPr>
              <w:t>per Unit</w:t>
            </w:r>
            <w:r>
              <w:rPr>
                <w:rFonts w:ascii="Arial" w:cs="Arial" w:eastAsia="Arial" w:hAnsi="Arial"/>
                <w:sz w:val="12"/>
                <w:szCs w:val="12"/>
                <w:b w:val="1"/>
                <w:bCs w:val="1"/>
                <w:color w:val="auto"/>
                <w:w w:val="97"/>
              </w:rPr>
              <w:t>(2)</w:t>
            </w: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Value Per</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vMerge w:val="continue"/>
          </w:tcPr>
          <w:p>
            <w:pPr>
              <w:spacing w:after="0"/>
              <w:rPr>
                <w:sz w:val="14"/>
                <w:szCs w:val="14"/>
                <w:color w:val="auto"/>
              </w:rPr>
            </w:pPr>
          </w:p>
        </w:tc>
        <w:tc>
          <w:tcPr>
            <w:tcW w:w="5320" w:type="dxa"/>
            <w:vAlign w:val="bottom"/>
            <w:tcBorders>
              <w:bottom w:val="single" w:sz="8" w:color="CCEEFF"/>
            </w:tcBorders>
            <w:vMerge w:val="continue"/>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Outstanding</w:t>
            </w:r>
            <w:r>
              <w:rPr>
                <w:rFonts w:ascii="Arial" w:cs="Arial" w:eastAsia="Arial" w:hAnsi="Arial"/>
                <w:sz w:val="12"/>
                <w:szCs w:val="12"/>
                <w:b w:val="1"/>
                <w:bCs w:val="1"/>
                <w:color w:val="auto"/>
                <w:w w:val="96"/>
              </w:rPr>
              <w:t>(1)</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5"/>
              </w:rPr>
              <w:t>Unit</w:t>
            </w:r>
            <w:r>
              <w:rPr>
                <w:rFonts w:ascii="Arial" w:cs="Arial" w:eastAsia="Arial" w:hAnsi="Arial"/>
                <w:sz w:val="12"/>
                <w:szCs w:val="12"/>
                <w:b w:val="1"/>
                <w:bCs w:val="1"/>
                <w:color w:val="auto"/>
                <w:w w:val="95"/>
              </w:rPr>
              <w:t>(3)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Facility, SBA debentures and 2025 Notes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Fiscal 2014 (as of June 30, 2014)</w:t>
            </w:r>
            <w:r>
              <w:rPr>
                <w:rFonts w:ascii="Arial" w:cs="Arial" w:eastAsia="Arial" w:hAnsi="Arial"/>
                <w:sz w:val="15"/>
                <w:szCs w:val="15"/>
                <w:color w:val="auto"/>
              </w:rPr>
              <w:t>(4)</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327,149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3,288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r>
              <w:rPr>
                <w:rFonts w:ascii="Arial" w:cs="Arial" w:eastAsia="Arial" w:hAnsi="Arial"/>
                <w:sz w:val="15"/>
                <w:szCs w:val="15"/>
                <w:color w:val="auto"/>
              </w:rPr>
              <w:t>(4)</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216,750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4,261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Fiscal 2012</w:t>
            </w:r>
            <w:r>
              <w:rPr>
                <w:rFonts w:ascii="Arial" w:cs="Arial" w:eastAsia="Arial" w:hAnsi="Arial"/>
                <w:sz w:val="15"/>
                <w:szCs w:val="15"/>
                <w:color w:val="auto"/>
              </w:rPr>
              <w:t>(4)</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145,000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5,636</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2011</w:t>
            </w:r>
            <w:r>
              <w:rPr>
                <w:rFonts w:ascii="Arial" w:cs="Arial" w:eastAsia="Arial" w:hAnsi="Arial"/>
                <w:sz w:val="15"/>
                <w:szCs w:val="15"/>
                <w:color w:val="auto"/>
              </w:rPr>
              <w:t>(4)</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240,900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Fiscal 2010</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247,600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2009</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225,100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2,713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Fiscal 2008</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202,000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2,043</w:t>
            </w:r>
          </w:p>
        </w:tc>
        <w:tc>
          <w:tcPr>
            <w:tcW w:w="1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average market value per unit is derived based on the monthly average closing price of the 2025 Notes trading on NYSE under the symbol “PNTA” since issuance, which were issued in increments of $25 per unit.</w:t>
      </w:r>
    </w:p>
    <w:p>
      <w:pPr>
        <w:ind w:left="460" w:right="4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amounts exclude SBIC LP’s SBA debentures from our asset coverage per unit computation pursuant to an exemptive relief letter provided by the SEC in June 2011.</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discussion is a general summary of certain United States, or U.S., federal income tax considerations (and, in the case of a non-U.S. holder (as defined below), certain U.S. federal estate tax consequences) applicable to the ownership and disposition of the Notes. This summary does not purport to be a complete description of the income tax considerations applicable to an investment in the Notes. The discussion is based upon the Code, Treasury Regulations, and administrative and judicial interpretations, each as of the date of this prospectus supplement and all of which are subject to change, potentially with retroactive effect. You should consult your own tax advisor with respect to tax considerations that pertain to your ownership and disposition of our Notes.</w:t>
      </w:r>
    </w:p>
    <w:p>
      <w:pPr>
        <w:spacing w:after="0" w:line="19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7"/>
          <w:szCs w:val="17"/>
          <w:color w:val="auto"/>
        </w:rPr>
        <w:t>This discussion deals only with Notes held as capital assets within the meaning of Section 1221 of the Code and does not purport to deal with persons in special tax situations or subject to special rules, such as financial institutions, insurance companies, controlled foreign corporations, passive foreign investment companies and regulated investment companies (and shareholders of such corporations),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United States federal income tax purposes, retirement plans, individual retirement accounts, tax-deferred accounts, persons subject to the alternative minimum tax, pass-through entities (including partnerships and entities and arrangements classified as partnerships for United States federal income tax purposes) and beneficial owners of pass-through entities, or U.S. holders (as defined below) whose functional currency is not the U.S. dollar. It also does not deal with beneficial owners of the Notes other than those beneficial owners who acquire the Notes in this offering for a price equal to their original issue price (i.e., the first price at which a substantial amount of the notes is sold other than to bond houses, brokers, or similar persons or organizations acting in the capacity of underwriters, placement agents or wholesalers). If you are considering purchasing the Notes, you should consult your own tax advisor concerning the application of the United States federal tax laws to you in light of your particular situation, as well as any consequences to you of purchasing, owning and disposing of the Notes under the laws of any other taxing jurisdiction.</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For purposes of this discussion, the term “U.S. holder” means a beneficial owner of a Note that is, for United States federal income tax purposes, (i) an individual who is a citizen or resident of the United States, (ii) a corporation or other entity treated as a corporation for United States federal income tax purposes, created or organized in or under the laws of the United States or of any political subdivision thereof, (iii) a trust (a) subject to the control of one or more United States persons and the primary supervision of a court in the United States, or (b) that has a valid election (under applicable Treasury Regulations) to be treated as a United States person for U.S. federal income tax purposes, or (iv) an estate the income of which is subject to United States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of the United States for U.S. federal income tax purposes,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Individuals who are residents for such purposes are subject to United States federal income tax as if they were United States citizens.</w:t>
      </w:r>
    </w:p>
    <w:p>
      <w:pPr>
        <w:spacing w:after="0" w:line="180"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If a partnership (including an entity or arrangement treated as a partnership for U.S. federal income tax purposes) holds any Notes, the United States federal income tax treatment of a partner of the partnership generally will depend upon the status of the partner, the activities of the partnership and certain determinations made at the partner level. Partners of partnerships holding Notes should consult their own tax advisors.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Note Holders</w:t>
      </w:r>
    </w:p>
    <w:p>
      <w:pPr>
        <w:spacing w:after="0" w:line="12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i w:val="1"/>
          <w:iCs w:val="1"/>
          <w:u w:val="single" w:color="auto"/>
          <w:color w:val="auto"/>
        </w:rPr>
        <w:t>Taxation of U.S.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or accruals of interest on a Note generally will be taxable to a U.S. holder as ordinary interest income at the time</w:t>
      </w:r>
      <w:r>
        <w:rPr>
          <w:rFonts w:ascii="Arial" w:cs="Arial" w:eastAsia="Arial" w:hAnsi="Arial"/>
          <w:sz w:val="17"/>
          <w:szCs w:val="17"/>
          <w:i w:val="1"/>
          <w:iCs w:val="1"/>
          <w:color w:val="auto"/>
        </w:rPr>
        <w:t xml:space="preserve"> </w:t>
      </w:r>
      <w:r>
        <w:rPr>
          <w:rFonts w:ascii="Arial" w:cs="Arial" w:eastAsia="Arial" w:hAnsi="Arial"/>
          <w:sz w:val="17"/>
          <w:szCs w:val="17"/>
          <w:color w:val="auto"/>
        </w:rPr>
        <w:t>they are received (actually or constructively) or accrued, in accordance with the U.S. holder’s regular method of tax accounting.</w:t>
      </w:r>
    </w:p>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Upon the sale, exchange, redemption or retirement of a Note, a U.S. holder generally will recognize capital gain or loss equal to the difference between the amount realized on the sale, exchange, redemption or retirement (excluding any amounts representing accrued and unpaid interest, which are treated as ordinary income) and the U.S. holder’s tax basis in the Note. A U.S. holder’s tax basis in a Note generally will equal the amount of the U.S. holder’s initial investment in the Note. Capital gain or loss generally will be long-term capital gain or loss if the Note was held for more than one year. Long-term capital gains recognized by individuals and certain other non-corporate U.S. holders generally are eligible for reduced rates of taxation, currently at a rate of either 15% or 20%, depending on whether the U.S. holder’s income exceeds certain threshold amounts. The distinction between capital gain or loss and ordinary income or loss is also important in other contexts, such as, for example, for purposes of the limitations on a U.S. holder’s ability to offset capital losses against ordinary income.</w:t>
      </w:r>
    </w:p>
    <w:p>
      <w:pPr>
        <w:spacing w:after="0" w:line="19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u w:val="single" w:color="auto"/>
          <w:color w:val="auto"/>
        </w:rPr>
        <w:t>Taxation of Non-U.S.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A non-U.S. holder generally will not be subject to United States federal income or withholding taxes on payments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or interest on a Note provided that in the case of interest on a Note (i) the interest is not effectively connected with the conduct by the non-U.S. holder of a trade or business within the United States, (ii) the non-U.S. holder is not a controlled foreign corporation related to the Company through sufficient stock ownership, (iii) the recipient is not a bank receiving interest described in Section 881(c)(3)(A) of the Code, (iv) the non-U.S. holder does not own (actually or constructively) 10% or more of the total combined voting power of all classes of stock of the Company, and (v) the non-U.S. holder provides to the applicable withholding agent a statement on an Internal Revenue Service, or IRS, Form W-8BEN or W-8BEN-E (or other applicable form) signed under penalties of perjury that includes its name and address and certifies that it is not a United States person in compliance with applicable requirements, or satisfies documentary evidence requirements for establishing that it is a non-U.S. holder.</w:t>
      </w:r>
    </w:p>
    <w:p>
      <w:pPr>
        <w:spacing w:after="0" w:line="1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holder that is not exempt from tax under these rules generally will be subject to withholding of United States federal income tax on payments of interest on the Notes at a rate of 30% unless (i) the interest is effectively connected with the conduct of a United States trade or business, in which case the interest will be subject to United States federal income tax on a net income basis as applicable to U.S. holders generally (unless an applicable income tax treaty provides otherwise), or (ii) an applicable income tax treaty provides for a lower rate of, or exemption from, this withholding. In the case of a non-U.S. holder that is a corporation for U.S. federal income tax purposes and that receives income that is effectively connected with the conduct of a United States trade or business, such income may also be subject to a branch profits tax (which is generally imposed on a non-U.S. corporation on the actual or deemed repatriation from the United States of earnings and profits attributable to a United States trade or business) at a 30% rate. The branch profits tax may not apply (or may apply at a reduced rate) if the non-U.S. holder is a qualified resident of a country with which the United States has an income tax treaty.</w:t>
      </w:r>
    </w:p>
    <w:p>
      <w:pPr>
        <w:spacing w:after="0" w:line="166"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To claim the benefit of an income tax treaty or to claim exemption from withholding because interest is effectively connected with a United States trade or business, the non-U.S. holder must timely provide the appropriate, properly executed IRS forms to the applicable withholding agent.</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Generally, a non-U.S. holder will not be subject to United States federal income or withholding taxes on any amount that constitutes capital gain upon the sale, exchange, redemption or retirement of a Note, provided the gain is not effectively connected with the conduct of a trade or business in the United States by the non-U.S. holder (and, if required by an applicable income tax treaty, is not attributable to a United States “permanent establishment” maintained by the non-U.S. holder). Certain other exceptions may be applicable, and a non-U.S. holder should consult its tax advisor in this regard.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 Note that is held by an individual who, at the time of death, is not a citizen or resident of the United States (as specially defined for United States federal estate tax purposes) generally will not be subject to the United States federal estate tax, unless, at the time of death, (i) such individual directly or indirectly, actually or constructively, owns ten percent or more of the total combined voting power of all classes of our stock entitled to vote within the meaning of Section 871(h)(3) of the Code and the Treasury Regulations thereunder or (ii) such individual’s interest in the Notes is effectively connected with the individual’s conduct of a United States trade or business.</w:t>
      </w:r>
    </w:p>
    <w:p>
      <w:pPr>
        <w:spacing w:after="0" w:line="18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u w:val="single" w:color="auto"/>
          <w:color w:val="auto"/>
        </w:rPr>
        <w:t>Medicare Tax on Net Investment Income</w:t>
      </w:r>
      <w:r>
        <w:rPr>
          <w:rFonts w:ascii="Arial" w:cs="Arial" w:eastAsia="Arial" w:hAnsi="Arial"/>
          <w:sz w:val="18"/>
          <w:szCs w:val="18"/>
          <w:color w:val="auto"/>
        </w:rPr>
        <w:t>. A 3.8% tax is imposed under Section 1411 of the Code on the “net investment income” of certain U.S.</w:t>
      </w:r>
      <w:r>
        <w:rPr>
          <w:rFonts w:ascii="Arial" w:cs="Arial" w:eastAsia="Arial" w:hAnsi="Arial"/>
          <w:sz w:val="18"/>
          <w:szCs w:val="18"/>
          <w:i w:val="1"/>
          <w:iCs w:val="1"/>
          <w:color w:val="auto"/>
        </w:rPr>
        <w:t xml:space="preserve"> </w:t>
      </w:r>
      <w:r>
        <w:rPr>
          <w:rFonts w:ascii="Arial" w:cs="Arial" w:eastAsia="Arial" w:hAnsi="Arial"/>
          <w:sz w:val="18"/>
          <w:szCs w:val="18"/>
          <w:color w:val="auto"/>
        </w:rPr>
        <w:t>citizens and residents and on the undistributed net investment income of certain estates and trusts. Among other items, net investment income generally includes payments of interest on, and net gains recognized from the sale, exchange, redemption, retirement or other taxable disposition of Notes, less certain deductions. Prospective investors in the Notes should consult their own tax advisors regarding the effect, if any, of this tax on their ownership and disposition of the Notes.</w:t>
      </w:r>
    </w:p>
    <w:p>
      <w:pPr>
        <w:spacing w:after="0" w:line="18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i w:val="1"/>
          <w:iCs w:val="1"/>
          <w:u w:val="single" w:color="auto"/>
          <w:color w:val="auto"/>
        </w:rPr>
        <w:t>Information Reporting and Backup Withholding</w:t>
      </w:r>
      <w:r>
        <w:rPr>
          <w:rFonts w:ascii="Arial" w:cs="Arial" w:eastAsia="Arial" w:hAnsi="Arial"/>
          <w:sz w:val="17"/>
          <w:szCs w:val="17"/>
          <w:i w:val="1"/>
          <w:iCs w:val="1"/>
          <w:color w:val="auto"/>
        </w:rPr>
        <w:t xml:space="preserve">. </w:t>
      </w:r>
      <w:r>
        <w:rPr>
          <w:rFonts w:ascii="Arial" w:cs="Arial" w:eastAsia="Arial" w:hAnsi="Arial"/>
          <w:sz w:val="17"/>
          <w:szCs w:val="17"/>
          <w:color w:val="auto"/>
        </w:rPr>
        <w:t>A U.S. holder (other than an “exempt recipient,” including a corporation and certain other persons</w:t>
      </w:r>
      <w:r>
        <w:rPr>
          <w:rFonts w:ascii="Arial" w:cs="Arial" w:eastAsia="Arial" w:hAnsi="Arial"/>
          <w:sz w:val="17"/>
          <w:szCs w:val="17"/>
          <w:i w:val="1"/>
          <w:iCs w:val="1"/>
          <w:color w:val="auto"/>
        </w:rPr>
        <w:t xml:space="preserve"> </w:t>
      </w:r>
      <w:r>
        <w:rPr>
          <w:rFonts w:ascii="Arial" w:cs="Arial" w:eastAsia="Arial" w:hAnsi="Arial"/>
          <w:sz w:val="17"/>
          <w:szCs w:val="17"/>
          <w:color w:val="auto"/>
        </w:rPr>
        <w:t>who, when required, demonstrate their exempt status) may be subject to backup withholding at a rate of 28% on, and will be subject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spacing w:after="0" w:line="1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If you are a non-U.S. holder, generally, the applicable withholding agent must report to the IRS and to you payments of interest on the Notes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Notes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United States or conducted through certain U.S.-related financial intermediaries, unless you certify under penalties of perjury that you are not a U.S. person or you otherwise establish an exemption, and the applicable withholding agent does not have actual knowledge or reason to know that you are a U.S. person.</w:t>
      </w:r>
    </w:p>
    <w:p>
      <w:pPr>
        <w:spacing w:after="0" w:line="18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You should consult your own tax advisor regarding the application of information reporting and backup withholding in your particular circumstance and the availability of and procedure for obtaining an exemption from backup withholding. Backup withholding is not an additional tax, and any amounts withheld under the backup withholding rules may be allowed as a refund or a credit against your U.S. federal income tax liability, provided the required information is timely furnished to the IRS.</w:t>
      </w:r>
    </w:p>
    <w:p>
      <w:pPr>
        <w:spacing w:after="0" w:line="187" w:lineRule="exact"/>
        <w:rPr>
          <w:sz w:val="20"/>
          <w:szCs w:val="20"/>
          <w:color w:val="auto"/>
        </w:rPr>
      </w:pPr>
    </w:p>
    <w:p>
      <w:pPr>
        <w:jc w:val="both"/>
        <w:ind w:right="160" w:firstLine="456"/>
        <w:spacing w:after="0" w:line="255" w:lineRule="auto"/>
        <w:rPr>
          <w:sz w:val="20"/>
          <w:szCs w:val="20"/>
          <w:color w:val="auto"/>
        </w:rPr>
      </w:pPr>
      <w:r>
        <w:rPr>
          <w:rFonts w:ascii="Arial" w:cs="Arial" w:eastAsia="Arial" w:hAnsi="Arial"/>
          <w:sz w:val="18"/>
          <w:szCs w:val="18"/>
          <w:i w:val="1"/>
          <w:iCs w:val="1"/>
          <w:u w:val="single" w:color="auto"/>
          <w:color w:val="auto"/>
        </w:rPr>
        <w:t>FATCA Withholding on Payments to Certain Foreign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Foreign Account Tax Compliance Act, or FATCA, and U.S. Treasury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IRS administrative guidance thereunder, when applicable, generally impose a U.S. federal withholding tax of 30% on interest on a debt obligation paid after June 30, 2014, and the gross proceeds from the disposition of a debt obligation paid after December 31, 2016, which, in each case, would include the Notes, to certain non-U.S. entities (including, in some circumstances, where such an entity is acting as an intermediary) that fail to comply with certain certification and information reporting requirements. Prospective investors in the Notes should consult their own tax advisors regarding the effect, if any, of the FATCA rules for them based on their particular circumstances.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You should consult your own tax advisor with respect to the particular tax consequences to you of an investment in the Notes, including the possible effect of any pending legislation or proposed regulations.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intend to offer the Notes through the underwriters named in the table below. J.P. Morgan Securities LLC, Goldman, Sachs &amp; Co., Morgan Stanley &amp; Co. LLC and SunTrust Robinson Humphrey, Inc. are acting as joint bookrunners and representatives of the several underwriters. Subject to the terms and conditions described in an underwriting agreement among us and the underwriters, we have agreed to sell to the underwriters, and each underwriter has severally and not jointly agreed to purchase from us, the aggregate principal amount of Notes set forth opposite the underwriter’s name.</w:t>
      </w:r>
    </w:p>
    <w:p>
      <w:pPr>
        <w:spacing w:after="0" w:line="16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 Names</w:t>
            </w: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1"/>
        </w:trPr>
        <w:tc>
          <w:tcPr>
            <w:tcW w:w="4520" w:type="dxa"/>
            <w:vAlign w:val="bottom"/>
            <w:gridSpan w:val="3"/>
            <w:vMerge w:val="continue"/>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9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9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56,250,000</w:t>
            </w:r>
          </w:p>
        </w:tc>
        <w:tc>
          <w:tcPr>
            <w:tcW w:w="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48,750,000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48,750,000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Comerica Securities, Inc.</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ING Financial Markets LLC</w:t>
            </w:r>
          </w:p>
        </w:tc>
        <w:tc>
          <w:tcPr>
            <w:tcW w:w="1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Notes included in this offering, if they purchase any of the Notes. The underwriters reserve the right to withdraw, cancel or modify offers to the public and to reject orders in whole or in part.</w:t>
      </w:r>
    </w:p>
    <w:p>
      <w:pPr>
        <w:spacing w:after="0" w:line="154"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or to contribute to payments the underwriters may be required to make in respect of those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underwriters have advised us that they propose initially to offer the Notes to the public at the public offering price on the cover page of this prospectus supplement and to certain other Financial Industry Regulatory Authority (FINRA) members at that price less a concession not in excess of 1.00% of the aggregate principal amount of the Notes. The underwriters may allow, and the dealers may again allow, a discount not in excess of 0.25% of the aggregate principal amount of the Notes to other dealers. After the public offering, the public offering price, concession and discount may be changed.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per Note and total underwriting discounts and commissions we will pay to the underwriters.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Per Note</w:t>
            </w: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4"/>
                <w:szCs w:val="14"/>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99.905%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249,762,500</w:t>
            </w: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Underwriting discount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3,750,000</w:t>
            </w: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Proceeds to PennantPark Investment (before offering expenses of $500,000 )</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98.405%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246,012,500</w:t>
            </w:r>
          </w:p>
        </w:tc>
        <w:tc>
          <w:tcPr>
            <w:tcW w:w="10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Subject to certain exceptions, we have agreed not to sell, offer to sell, contract or agree to sell, hypothecate, pledge, grant any option to purchase or otherwise dispose of or agree to dispose of, directly or indirectly, 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debt securities issued or guaranteed by us or any securities convertible into or exercisable or exchangeable for debt securities issued or guaranteed by us or file or cause to be declared effective a registration statement under the Securities Act with respect to any of the foregoing, without the consent of the representatives, until the settlement date of this offering. This consent may be given at any time without public notice.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Notes are a new issue of securities with no established trading market. The Notes will not be listed on any securities exchange or quoted on any automated dealer quotation system.</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have been advised by certain of the underwriters that certain of the underwriters presently intend to make a market in the Notes after completion of the offering as permitted by applicable laws and regulations. Such underwriters are not obligated, however, to make a market in the Notes and any such market-making may be discontinued at any time in the sole discretion of such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Until the distribution of the Notes is completed, SEC rules may limit the underwriters from bidding for and purchasing the Notes. However, the underwriters may engage in transactions that stabilize the price of the Notes, such as bids or purchases to peg, fix or maintain that price.</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underwriters create a short position in the Notes in connection with the offering (i.e., if they sell more Notes than are listed on the cover of this prospectus supplement), the underwriters may reduce that short position by purchasing Notes in the open market. The underwriters may also elect to reduce any short position by exercising all or part of the overallotment option as described above. In making this determination, the underwriters will consider, among other things, the price of Notes available for purchase in the open market compared to the price at which the underwriters may purchase Notes through the overallotment option. Purchases of the Notes to stabilize their price or to reduce a short position may cause the price of the Notes to be higher than it might be in the absence of such purchases.</w:t>
      </w:r>
    </w:p>
    <w:p>
      <w:pPr>
        <w:spacing w:after="0" w:line="193"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8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Neither we nor any of the underwriters make any representation or prediction as to the magnitude of any effect that the transactions described above may have on the price of the Notes. In addition, neither we nor any of the underwriters make any representation that the underwriters will engage in these transactions or that these transactions, once commenced, will not be discontinued without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Settlement Cycle</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We expect that delivery of the Notes will be made against payment therefor on or about September 23, 2014, which will be the fifth business day following the date of the pricing of the Notes (such settlement being herein referred to as “T+5”). Under Rule 15c6-1 promulgated under the Exchange Act, trades in the secondary market generally are required to settle in three business days, unless the parties to any such trade expressly agree otherwise. Accordingly, purchasers who wish to trade the Notes prior to the date of delivery hereunder will be required, by virtue of the fact that the Notes initially will settle in T+5 business days, to specify an alternative settlement arrangement at the time of any such trade to prevent a failed settlement.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Notes for sale to their online brokerage customers.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provided in the past to PennantPark Investment and may provide from time to time in the future in the ordinary course of their business certain commercial banking, financial advisory, investment banking and other services to PennantPark Investment for which they will be entitled to receive customary fees and expenses. In particular, the underwriters or their affiliates may execute transactions with or on behalf of PennantPark Investment. In addition, the underwriters or their affiliates may act as arrangers, underwriters or placement agents for companies whose securities are sold to PennantPark Investment.</w:t>
      </w:r>
    </w:p>
    <w:p>
      <w:pPr>
        <w:spacing w:after="0" w:line="178"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In the ordinary course of their various business activities, the underwriters or their affiliates may also trade in our securities, securities of our portfolio companies or other related financial instruments for their own accounts or for the account of others and may extend loans or financing directly or through derivative transactions to PennantPark Investment or any of the portfolio companies. The underwriters and their respective affiliates may also make investment recommendations and/or publish or express independent research views in respect of such securities or instruments and may at the time hold, or recommend to clients that they acquire, long and/or short positions in such securities and instruments.</w:t>
      </w:r>
    </w:p>
    <w:p>
      <w:pPr>
        <w:spacing w:after="0" w:line="173"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Notes. In addition, after the offering period for the sale of our Notes, the underwriters or their affiliates may develop analyses or opinions related to PennantPark Investment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Investment to our stockholders.</w:t>
      </w:r>
    </w:p>
    <w:p>
      <w:pPr>
        <w:spacing w:after="0" w:line="18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Affiliates of certain of the underwriters serve as lenders under our Credit Facility and may serve as lenders under any future credit facilities. Some of the underwriters and their affiliates were underwriters in connection with our initial public offerings and follow-on public offering for which they received customary fees. Affiliates of the underwriters may receive part of the proceeds of the offering by reason of the repayment of certain amounts outstanding under our Credit Facility.</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principal business addresses of the representatives of the underwriters are: J.P. Morgan Securities LLC, 383 Madison Avenue, New York, NY 10179; Goldman, Sachs &amp; Co., 200 West Street, New York, NY 10282; Morgan Stanley &amp; Co. LLC, 180 Varick Street, 2nd Floor, New York, NY 10014 and SunTrust Robinson Humphrey, Inc., 3333 Peachtree Road, NE, Atlanta, GA 30326.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Notes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 relating to the offering and the distribution of this prospectus supplement. This prospectus supplement and the accompanying prospectus do not constitute an offer to sell or a solicitation of an offer to buy the Notes offered by this prospectus supplement and the accompanying prospectus in any jurisdiction in which such an offer or a solicitation is unlawful.</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320"/>
          </w:cols>
          <w:pgMar w:left="24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legal matters regarding the securities offered by this prospectus supplement will be passed upon for PennantPark Investment Corporation by Dechert LLP, Washington, D.C., and Venable LLP, Baltimore, Maryland. Dechert LLP has from time to time represented the underwriters, PennantPark Investment Corporation and the Investment Adviser on unrelated matters. Certain legal matters in connection with the offering will be passed upon for the underwriters by Fried, Frank, Harris, Shriver &amp; Jacobson LLP, New York, NY.</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140"/>
          </w:cols>
          <w:pgMar w:left="240" w:top="459" w:right="5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9240" w:type="dxa"/>
            <w:vAlign w:val="bottom"/>
            <w:gridSpan w:val="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8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5820" w:type="dxa"/>
            <w:vAlign w:val="bottom"/>
            <w:gridSpan w:val="7"/>
          </w:tcPr>
          <w:p>
            <w:pPr>
              <w:jc w:val="center"/>
              <w:ind w:right="1220"/>
              <w:spacing w:after="0"/>
              <w:rPr>
                <w:sz w:val="20"/>
                <w:szCs w:val="20"/>
                <w:color w:val="auto"/>
              </w:rPr>
            </w:pPr>
            <w:r>
              <w:rPr>
                <w:rFonts w:ascii="Arial" w:cs="Arial" w:eastAsia="Arial" w:hAnsi="Arial"/>
                <w:sz w:val="18"/>
                <w:szCs w:val="18"/>
                <w:b w:val="1"/>
                <w:bCs w:val="1"/>
                <w:color w:val="auto"/>
              </w:rPr>
              <w:t>INDEX TO FINANCIAL STATEMENTS</w:t>
            </w:r>
          </w:p>
        </w:tc>
        <w:tc>
          <w:tcPr>
            <w:tcW w:w="2080" w:type="dxa"/>
            <w:vAlign w:val="bottom"/>
          </w:tcPr>
          <w:p>
            <w:pPr>
              <w:spacing w:after="0"/>
              <w:rPr>
                <w:sz w:val="24"/>
                <w:szCs w:val="24"/>
                <w:color w:val="auto"/>
              </w:rPr>
            </w:pPr>
          </w:p>
        </w:tc>
      </w:tr>
      <w:tr>
        <w:trPr>
          <w:trHeight w:val="234"/>
        </w:trPr>
        <w:tc>
          <w:tcPr>
            <w:tcW w:w="9240" w:type="dxa"/>
            <w:vAlign w:val="bottom"/>
            <w:gridSpan w:val="9"/>
          </w:tcPr>
          <w:p>
            <w:pPr>
              <w:spacing w:after="0"/>
              <w:rPr>
                <w:sz w:val="20"/>
                <w:szCs w:val="20"/>
                <w:color w:val="auto"/>
              </w:rPr>
            </w:pPr>
            <w:r>
              <w:rPr>
                <w:rFonts w:ascii="Arial" w:cs="Arial" w:eastAsia="Arial" w:hAnsi="Arial"/>
                <w:sz w:val="18"/>
                <w:szCs w:val="18"/>
                <w:b w:val="1"/>
                <w:bCs w:val="1"/>
                <w:color w:val="auto"/>
              </w:rPr>
              <w:t>Interim Financial Statements</w:t>
            </w:r>
          </w:p>
        </w:tc>
        <w:tc>
          <w:tcPr>
            <w:tcW w:w="2080" w:type="dxa"/>
            <w:vAlign w:val="bottom"/>
          </w:tcPr>
          <w:p>
            <w:pPr>
              <w:spacing w:after="0"/>
              <w:rPr>
                <w:sz w:val="20"/>
                <w:szCs w:val="20"/>
                <w:color w:val="auto"/>
              </w:rPr>
            </w:pPr>
          </w:p>
        </w:tc>
      </w:tr>
      <w:tr>
        <w:trPr>
          <w:trHeight w:val="419"/>
        </w:trPr>
        <w:tc>
          <w:tcPr>
            <w:tcW w:w="9240" w:type="dxa"/>
            <w:vAlign w:val="bottom"/>
            <w:gridSpan w:val="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Report of Independent Registered Public Accounting Firm</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37"/>
        </w:trPr>
        <w:tc>
          <w:tcPr>
            <w:tcW w:w="1360" w:type="dxa"/>
            <w:vAlign w:val="bottom"/>
            <w:tcBorders>
              <w:top w:val="single" w:sz="8" w:color="0000EE"/>
            </w:tcBorders>
          </w:tcPr>
          <w:p>
            <w:pPr>
              <w:spacing w:after="0"/>
              <w:rPr>
                <w:sz w:val="20"/>
                <w:szCs w:val="20"/>
                <w:color w:val="auto"/>
              </w:rPr>
            </w:pPr>
          </w:p>
        </w:tc>
        <w:tc>
          <w:tcPr>
            <w:tcW w:w="206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1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84"/>
        </w:trPr>
        <w:tc>
          <w:tcPr>
            <w:tcW w:w="9240" w:type="dxa"/>
            <w:vAlign w:val="bottom"/>
            <w:gridSpan w:val="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Statements of Assets and Liabilities as of June 30, 2014 and September 30, 2013</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37"/>
        </w:trPr>
        <w:tc>
          <w:tcPr>
            <w:tcW w:w="1360" w:type="dxa"/>
            <w:vAlign w:val="bottom"/>
            <w:tcBorders>
              <w:top w:val="single" w:sz="8" w:color="0000EE"/>
            </w:tcBorders>
          </w:tcPr>
          <w:p>
            <w:pPr>
              <w:spacing w:after="0"/>
              <w:rPr>
                <w:sz w:val="20"/>
                <w:szCs w:val="20"/>
                <w:color w:val="auto"/>
              </w:rPr>
            </w:pPr>
          </w:p>
        </w:tc>
        <w:tc>
          <w:tcPr>
            <w:tcW w:w="206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18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84"/>
        </w:trPr>
        <w:tc>
          <w:tcPr>
            <w:tcW w:w="9240" w:type="dxa"/>
            <w:vAlign w:val="bottom"/>
            <w:gridSpan w:val="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Statements of Operations for the three and nine months ended June 30, 2014 and 2013</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37"/>
        </w:trPr>
        <w:tc>
          <w:tcPr>
            <w:tcW w:w="1360" w:type="dxa"/>
            <w:vAlign w:val="bottom"/>
            <w:tcBorders>
              <w:top w:val="single" w:sz="8" w:color="0000EE"/>
            </w:tcBorders>
          </w:tcPr>
          <w:p>
            <w:pPr>
              <w:spacing w:after="0"/>
              <w:rPr>
                <w:sz w:val="20"/>
                <w:szCs w:val="20"/>
                <w:color w:val="auto"/>
              </w:rPr>
            </w:pPr>
          </w:p>
        </w:tc>
        <w:tc>
          <w:tcPr>
            <w:tcW w:w="206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18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84"/>
        </w:trPr>
        <w:tc>
          <w:tcPr>
            <w:tcW w:w="9240" w:type="dxa"/>
            <w:vAlign w:val="bottom"/>
            <w:gridSpan w:val="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Statements of Changes in Net Assets for the nine months ended June 30, 2014 and 2013</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37"/>
        </w:trPr>
        <w:tc>
          <w:tcPr>
            <w:tcW w:w="1360" w:type="dxa"/>
            <w:vAlign w:val="bottom"/>
            <w:tcBorders>
              <w:top w:val="single" w:sz="8" w:color="0000EE"/>
            </w:tcBorders>
          </w:tcPr>
          <w:p>
            <w:pPr>
              <w:spacing w:after="0"/>
              <w:rPr>
                <w:sz w:val="20"/>
                <w:szCs w:val="20"/>
                <w:color w:val="auto"/>
              </w:rPr>
            </w:pPr>
          </w:p>
        </w:tc>
        <w:tc>
          <w:tcPr>
            <w:tcW w:w="206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18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9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84"/>
        </w:trPr>
        <w:tc>
          <w:tcPr>
            <w:tcW w:w="9240" w:type="dxa"/>
            <w:vAlign w:val="bottom"/>
            <w:gridSpan w:val="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Statements of Cash Flows for the nine months ended June 30, 2014 and 2013</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37"/>
        </w:trPr>
        <w:tc>
          <w:tcPr>
            <w:tcW w:w="1360" w:type="dxa"/>
            <w:vAlign w:val="bottom"/>
            <w:tcBorders>
              <w:top w:val="single" w:sz="8" w:color="0000EE"/>
            </w:tcBorders>
          </w:tcPr>
          <w:p>
            <w:pPr>
              <w:spacing w:after="0"/>
              <w:rPr>
                <w:sz w:val="20"/>
                <w:szCs w:val="20"/>
                <w:color w:val="auto"/>
              </w:rPr>
            </w:pPr>
          </w:p>
        </w:tc>
        <w:tc>
          <w:tcPr>
            <w:tcW w:w="206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18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84"/>
        </w:trPr>
        <w:tc>
          <w:tcPr>
            <w:tcW w:w="9240" w:type="dxa"/>
            <w:vAlign w:val="bottom"/>
            <w:gridSpan w:val="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Schedules of Investments as of June 30, 2014 and September 30, 2013</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37"/>
        </w:trPr>
        <w:tc>
          <w:tcPr>
            <w:tcW w:w="1360" w:type="dxa"/>
            <w:vAlign w:val="bottom"/>
            <w:tcBorders>
              <w:top w:val="single" w:sz="8" w:color="0000EE"/>
            </w:tcBorders>
          </w:tcPr>
          <w:p>
            <w:pPr>
              <w:spacing w:after="0"/>
              <w:rPr>
                <w:sz w:val="20"/>
                <w:szCs w:val="20"/>
                <w:color w:val="auto"/>
              </w:rPr>
            </w:pPr>
          </w:p>
        </w:tc>
        <w:tc>
          <w:tcPr>
            <w:tcW w:w="206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1860" w:type="dxa"/>
            <w:vAlign w:val="bottom"/>
            <w:tcBorders>
              <w:top w:val="single" w:sz="8" w:color="0000EE"/>
            </w:tcBorders>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84"/>
        </w:trPr>
        <w:tc>
          <w:tcPr>
            <w:tcW w:w="9240" w:type="dxa"/>
            <w:vAlign w:val="bottom"/>
            <w:gridSpan w:val="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Notes to the Consolidated Financial Statements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37"/>
        </w:trPr>
        <w:tc>
          <w:tcPr>
            <w:tcW w:w="1360" w:type="dxa"/>
            <w:vAlign w:val="bottom"/>
            <w:tcBorders>
              <w:top w:val="single" w:sz="8" w:color="0000EE"/>
            </w:tcBorders>
          </w:tcPr>
          <w:p>
            <w:pPr>
              <w:spacing w:after="0"/>
              <w:rPr>
                <w:sz w:val="20"/>
                <w:szCs w:val="20"/>
                <w:color w:val="auto"/>
              </w:rPr>
            </w:pPr>
          </w:p>
        </w:tc>
        <w:tc>
          <w:tcPr>
            <w:tcW w:w="2060" w:type="dxa"/>
            <w:vAlign w:val="bottom"/>
            <w:tcBorders>
              <w:top w:val="single" w:sz="8" w:color="0000EE"/>
            </w:tcBorders>
          </w:tcPr>
          <w:p>
            <w:pPr>
              <w:spacing w:after="0"/>
              <w:rPr>
                <w:sz w:val="20"/>
                <w:szCs w:val="20"/>
                <w:color w:val="auto"/>
              </w:rPr>
            </w:pPr>
          </w:p>
        </w:tc>
        <w:tc>
          <w:tcPr>
            <w:tcW w:w="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65"/>
        </w:trPr>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20" w:type="dxa"/>
            <w:vAlign w:val="bottom"/>
            <w:gridSpan w:val="6"/>
          </w:tcPr>
          <w:p>
            <w:pPr>
              <w:jc w:val="center"/>
              <w:ind w:right="2040"/>
              <w:spacing w:after="0"/>
              <w:rPr>
                <w:sz w:val="20"/>
                <w:szCs w:val="20"/>
                <w:color w:val="auto"/>
              </w:rPr>
            </w:pPr>
            <w:r>
              <w:rPr>
                <w:rFonts w:ascii="Arial" w:cs="Arial" w:eastAsia="Arial" w:hAnsi="Arial"/>
                <w:sz w:val="18"/>
                <w:szCs w:val="18"/>
                <w:color w:val="auto"/>
                <w:w w:val="89"/>
              </w:rPr>
              <w:t>S-55</w:t>
            </w:r>
          </w:p>
        </w:tc>
        <w:tc>
          <w:tcPr>
            <w:tcW w:w="2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reviewed the accompanying consolidated statements of assets and liabilities of PennantPark Investment Corporation and its Subsidiaries (the “Company”), including the consolidated schedule of investments, as of June 30, 2014, the consolidated statements of operations for the three and nine months ended June 30, 2014, and the consolidated statements of changes in net assets, and cash flows for the nine months ended June 30, 2014. These consolidated financial statements are the responsibility of the Company’s management.</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814705"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470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5, 2014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June 30, 2014</w:t>
            </w:r>
          </w:p>
        </w:tc>
        <w:tc>
          <w:tcPr>
            <w:tcW w:w="180" w:type="dxa"/>
            <w:vAlign w:val="bottom"/>
          </w:tcPr>
          <w:p>
            <w:pPr>
              <w:spacing w:after="0"/>
              <w:rPr>
                <w:sz w:val="14"/>
                <w:szCs w:val="14"/>
                <w:color w:val="auto"/>
              </w:rPr>
            </w:pPr>
          </w:p>
        </w:tc>
        <w:tc>
          <w:tcPr>
            <w:tcW w:w="14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4"/>
              </w:rPr>
              <w:t>September 30, 2013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Non-controlled, non-affiliated investments</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(cost—$1,028,125,032 and $928,078,589, respectively)</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1,089,476,729</w:t>
            </w:r>
          </w:p>
        </w:tc>
        <w:tc>
          <w:tcPr>
            <w:tcW w:w="3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968,471,042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Pr>
          <w:p>
            <w:pPr>
              <w:ind w:left="340"/>
              <w:spacing w:after="0" w:line="201" w:lineRule="exact"/>
              <w:rPr>
                <w:sz w:val="20"/>
                <w:szCs w:val="20"/>
                <w:color w:val="auto"/>
              </w:rPr>
            </w:pPr>
            <w:r>
              <w:rPr>
                <w:rFonts w:ascii="Arial" w:cs="Arial" w:eastAsia="Arial" w:hAnsi="Arial"/>
                <w:sz w:val="18"/>
                <w:szCs w:val="18"/>
                <w:color w:val="auto"/>
              </w:rPr>
              <w:t>Non-controlled, affiliated investments</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(cost—$108,188,540 and $99,021,141, respectively)</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71,939,735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76,735,800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Controlled, affiliated investments</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(cost—$38,107,245 and $64,418,155, respectively)</w:t>
            </w: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36,991,091</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32,968,711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Total of investments</w:t>
            </w:r>
          </w:p>
        </w:tc>
        <w:tc>
          <w:tcPr>
            <w:tcW w:w="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(cost—$1,174,420,817 and $1,091,517,885, respectively)</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1,198,407,555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1,078,175,553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(cost—$64,349,609 and $58,440,829, respectively) (See Note 8)</w:t>
            </w: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64,390,787</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58,440,829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Interest receivable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14,000,558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10,894,893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and other assets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13,375,704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9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1,290,174,604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1,153,327,092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Distributions payable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18,639,330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18,619,812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52,544,704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Unfunded investments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20,396,263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7,241,667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Credit Facility payable (cost—$255,898,700 and $145,500,000, respectively)</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(See Notes 5 and 10)</w:t>
            </w: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257,187,294</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145,500,000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Pr>
          <w:p>
            <w:pPr>
              <w:spacing w:after="0" w:line="201" w:lineRule="exact"/>
              <w:rPr>
                <w:sz w:val="20"/>
                <w:szCs w:val="20"/>
                <w:color w:val="auto"/>
              </w:rPr>
            </w:pPr>
            <w:r>
              <w:rPr>
                <w:rFonts w:ascii="Arial" w:cs="Arial" w:eastAsia="Arial" w:hAnsi="Arial"/>
                <w:sz w:val="18"/>
                <w:szCs w:val="18"/>
                <w:color w:val="auto"/>
              </w:rPr>
              <w:t>SBA debentures payable</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(cost—$150,000,000) (See Notes 5 and 10)</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150,000,000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2025 Notes payable (cost—$71,250,000) (See Notes 5 and 10)</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72,532,500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Management fee payable (See Note 3)</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6,131,963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5,419,557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5,370,391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Interest payable on debt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3,033,648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1,810,466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2,410,422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2,009,806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9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535,701,811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455,820,893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11)</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66,569,036 and 66,499,327 shares issued and outstanding, respectively.</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Par value $0.001 per share and 100,000,000 shares authorized.</w:t>
            </w: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66,569</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756,809,951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756,017,096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(9,406,519)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(4,675,217)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Accumulated net realized loss on investments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(14,454,032)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(43,409,847)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24,027,916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(13,342,332)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unrealized (appreciation) depreciation on debt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(2,571,092)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754,472,793</w:t>
            </w:r>
          </w:p>
        </w:tc>
        <w:tc>
          <w:tcPr>
            <w:tcW w:w="3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697,506,199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9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1,290,174,604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1,153,327,092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11.33</w:t>
            </w:r>
          </w:p>
        </w:tc>
        <w:tc>
          <w:tcPr>
            <w:tcW w:w="3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OPERATIONS (Unaudited)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7"/>
              </w:rPr>
              <w:t>Three Months Ended June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 from:</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Non-controlled, non-affiliated investments: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29,949,064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26,693,069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90,772,466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80,520,256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1,463,884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3,941,167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6,314,911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9,184,121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Non-controlled, affiliated investments: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1,456,621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2,140,854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4,174,234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4,471,618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Controlled, affiliated investments: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2,447,354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6,071,987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3,336,040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158,333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459,166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35,475,256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33,724,673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107,792,764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97,739,835</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Base management fee (See Note 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6,131,963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5,412,461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17,906,316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15,869,172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5,370,391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4,413,711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14,866,434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12,518,209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expenses on debt (See Note 10)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5,034,567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4,212,450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14,707,313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11,292,224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930,809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1,157,748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2,771,359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3,485,607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929,254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2,470,350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2,000,919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340"/>
              <w:spacing w:after="0"/>
              <w:rPr>
                <w:sz w:val="20"/>
                <w:szCs w:val="20"/>
                <w:color w:val="auto"/>
              </w:rPr>
            </w:pPr>
            <w:r>
              <w:rPr>
                <w:rFonts w:ascii="Arial" w:cs="Arial" w:eastAsia="Arial" w:hAnsi="Arial"/>
                <w:sz w:val="18"/>
                <w:szCs w:val="18"/>
                <w:b w:val="1"/>
                <w:bCs w:val="1"/>
                <w:color w:val="auto"/>
              </w:rPr>
              <w:t>Expenses before taxes and debt issuance costs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18,396,984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15,717,340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52,721,772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45,166,131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expense (benefit)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Debt issuance costs (See Note 5)</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3,850,000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2,757,500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22,278,984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16,069,840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56,612,320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47,841,235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13,196,272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17,654,833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51,180,444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49,898,600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debt: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23,267,131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15,682,708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28,955,815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14,723,076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(8,997,766)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(23,484,170)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21,000,422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8,805,377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and non-controlled, affiliated investments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7,860,989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3,504,661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16,369,826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(3,580,500)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ind w:left="340"/>
              <w:spacing w:after="0" w:line="201" w:lineRule="exact"/>
              <w:rPr>
                <w:sz w:val="20"/>
                <w:szCs w:val="20"/>
                <w:color w:val="auto"/>
              </w:rPr>
            </w:pPr>
            <w:r>
              <w:rPr>
                <w:rFonts w:ascii="Arial" w:cs="Arial" w:eastAsia="Arial" w:hAnsi="Arial"/>
                <w:sz w:val="18"/>
                <w:szCs w:val="18"/>
                <w:color w:val="auto"/>
              </w:rPr>
              <w:t>Debt (appreciation) depreciation</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520"/>
              <w:spacing w:after="0"/>
              <w:rPr>
                <w:sz w:val="20"/>
                <w:szCs w:val="20"/>
                <w:color w:val="auto"/>
              </w:rPr>
            </w:pPr>
            <w:r>
              <w:rPr>
                <w:rFonts w:ascii="Arial" w:cs="Arial" w:eastAsia="Arial" w:hAnsi="Arial"/>
                <w:sz w:val="18"/>
                <w:szCs w:val="18"/>
                <w:color w:val="auto"/>
              </w:rPr>
              <w:t>(See Notes 5 and 10)</w:t>
            </w: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(3,377,315)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427,500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(5,421,092)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(547,500)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8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w w:val="98"/>
              </w:rPr>
              <w:t>Net change in unrealized (depreciation) appreciation on investments and</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debt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(4,514,092)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(19,552,009)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31,949,156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4,677,377</w:t>
            </w: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 (loss) from investments and debt</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18,753,039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(3,869,301)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60,904,971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19,400,453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31,949,311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13,785,532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112,085,415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69,299,053</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w w:val="96"/>
              </w:rPr>
              <w:t>Net increase in net assets resulting from operations per common share (See Note 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0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CHANGES IN NET ASSETS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 June 30,</w:t>
            </w:r>
          </w:p>
        </w:tc>
      </w:t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51,180,444</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49,898,600</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on investments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28,955,815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14,723,076</w:t>
            </w: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Net change in unrealized appreciation on investments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37,370,248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5,224,877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debt appreciation</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(5,421,092)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(547,500)</w:t>
            </w:r>
          </w:p>
        </w:tc>
      </w:tr>
      <w:tr>
        <w:trPr>
          <w:trHeight w:val="230"/>
        </w:trPr>
        <w:tc>
          <w:tcPr>
            <w:tcW w:w="20" w:type="dxa"/>
            <w:vAlign w:val="bottom"/>
          </w:tcPr>
          <w:p>
            <w:pPr>
              <w:spacing w:after="0"/>
              <w:rPr>
                <w:sz w:val="20"/>
                <w:szCs w:val="20"/>
                <w:color w:val="auto"/>
              </w:rPr>
            </w:pPr>
          </w:p>
        </w:tc>
        <w:tc>
          <w:tcPr>
            <w:tcW w:w="692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8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112,085,415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69,299,053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(55,911,746)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(55,778,317)</w:t>
            </w: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Capital transactions:</w:t>
            </w:r>
          </w:p>
        </w:tc>
        <w:tc>
          <w:tcPr>
            <w:tcW w:w="1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Public offering</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Offering costs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(265,090)</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Reinvestment of distributions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792,925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2,555,964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capital transactions</w:t>
            </w:r>
          </w:p>
        </w:tc>
        <w:tc>
          <w:tcPr>
            <w:tcW w:w="18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792,925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9,864,874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56,966,594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23,385,610</w:t>
            </w:r>
          </w:p>
        </w:tc>
      </w:tr>
      <w:tr>
        <w:trPr>
          <w:trHeight w:val="331"/>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8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period</w:t>
            </w:r>
          </w:p>
        </w:tc>
        <w:tc>
          <w:tcPr>
            <w:tcW w:w="1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697,506,199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669,717,047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End of period</w:t>
            </w:r>
          </w:p>
        </w:tc>
        <w:tc>
          <w:tcPr>
            <w:tcW w:w="18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754,472,793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693,102,657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in excess of net investment income, at end of period</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(9,406,519)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(3,075,320)</w:t>
            </w:r>
          </w:p>
        </w:tc>
      </w:tr>
      <w:tr>
        <w:trPr>
          <w:trHeight w:val="331"/>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Capital share activity:</w:t>
            </w:r>
          </w:p>
        </w:tc>
        <w:tc>
          <w:tcPr>
            <w:tcW w:w="18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from public offering</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Shares issued from reinvestment of distributions</w:t>
            </w:r>
          </w:p>
        </w:tc>
        <w:tc>
          <w:tcPr>
            <w:tcW w:w="18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69,709</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235,614</w:t>
            </w:r>
          </w:p>
        </w:tc>
        <w:tc>
          <w:tcPr>
            <w:tcW w:w="120" w:type="dxa"/>
            <w:vAlign w:val="bottom"/>
          </w:tcPr>
          <w:p>
            <w:pPr>
              <w:spacing w:after="0"/>
              <w:rPr>
                <w:sz w:val="19"/>
                <w:szCs w:val="19"/>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CASH FLOWS (Unaudited)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112,085,415</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69,299,053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Adjustments to reconcile net increase in net assets resulting from operations to net cash (used) provided by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Net change in net unrealized appreciation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w w:val="97"/>
              </w:rPr>
              <w:t>(37,370,248)</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(5,224,877)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change in unrealized appreciation on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5,421,092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Net realized gain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w w:val="97"/>
              </w:rPr>
              <w:t>(28,955,815)</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(14,723,076)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accretion of discount and amortization of premium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(6,629,854)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(4,245,224)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Purchases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w w:val="89"/>
              </w:rPr>
              <w:t>(561,839,426)</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(317,161,225)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Payment-in-kind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(6,530,685)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(9,651,825)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Proceeds from dispositions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534,400,443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271,183,021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interest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(3,105,665)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Increase in deferred financing costs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(6,809,887)</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(247,289)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increase in payable for investments purchased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7"/>
              </w:rPr>
              <w:t>(52,544,704)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Increase in interest payable on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1,223,182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2,339,426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management fee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712,406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Increase in performance-based incentive fee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1,095,510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accrued other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400,618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1060"/>
              <w:spacing w:after="0"/>
              <w:rPr>
                <w:sz w:val="20"/>
                <w:szCs w:val="20"/>
                <w:color w:val="auto"/>
              </w:rPr>
            </w:pPr>
            <w:r>
              <w:rPr>
                <w:rFonts w:ascii="Arial" w:cs="Arial" w:eastAsia="Arial" w:hAnsi="Arial"/>
                <w:sz w:val="18"/>
                <w:szCs w:val="18"/>
                <w:color w:val="auto"/>
              </w:rPr>
              <w:t>Net cash (used) provided by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(48,447,618)</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11,144,521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Public offerings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7,574,000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Offering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Deferred financing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Distributions paid to stockholders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7"/>
              </w:rPr>
              <w:t>(55,099,303)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(50,440,381)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Proceeds from 2025 Notes issuance (See Note 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Borrowings under Credit Facility (See Note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906,253,100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850,300,000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Repayments under Credit Facility (See Note 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w w:val="89"/>
              </w:rPr>
              <w:t>(795,854,400)</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(880,800,000)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(used)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54,549,397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(2,381,471)</w:t>
            </w: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6,101,779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8,763,050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(151,821)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58,440,829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64,390,787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16,322,503</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13,239,662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340"/>
              <w:spacing w:after="0"/>
              <w:rPr>
                <w:sz w:val="20"/>
                <w:szCs w:val="20"/>
                <w:color w:val="auto"/>
              </w:rPr>
            </w:pPr>
            <w:r>
              <w:rPr>
                <w:rFonts w:ascii="Arial" w:cs="Arial" w:eastAsia="Arial" w:hAnsi="Arial"/>
                <w:sz w:val="18"/>
                <w:szCs w:val="18"/>
                <w:color w:val="auto"/>
              </w:rPr>
              <w:t>Taxes paid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reinvested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792,925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340"/>
              <w:spacing w:after="0"/>
              <w:rPr>
                <w:sz w:val="20"/>
                <w:szCs w:val="20"/>
                <w:color w:val="auto"/>
              </w:rPr>
            </w:pPr>
            <w:r>
              <w:rPr>
                <w:rFonts w:ascii="Arial" w:cs="Arial" w:eastAsia="Arial" w:hAnsi="Arial"/>
                <w:sz w:val="18"/>
                <w:szCs w:val="18"/>
                <w:color w:val="auto"/>
              </w:rPr>
              <w:t>Conversions and non-cash exchanges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59,126,053</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58,615,748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Basis Point</w:t>
            </w: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Par/</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Current</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Spread</w:t>
            </w:r>
          </w:p>
        </w:tc>
        <w:tc>
          <w:tcPr>
            <w:tcW w:w="104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80" w:type="dxa"/>
            <w:vAlign w:val="bottom"/>
            <w:gridSpan w:val="2"/>
            <w:vMerge w:val="continue"/>
          </w:tcPr>
          <w:p>
            <w:pPr>
              <w:spacing w:after="0"/>
              <w:rPr>
                <w:sz w:val="12"/>
                <w:szCs w:val="12"/>
                <w:color w:val="auto"/>
              </w:rPr>
            </w:pPr>
          </w:p>
        </w:tc>
        <w:tc>
          <w:tcPr>
            <w:tcW w:w="15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Industry</w:t>
            </w:r>
          </w:p>
        </w:tc>
        <w:tc>
          <w:tcPr>
            <w:tcW w:w="1080" w:type="dxa"/>
            <w:vAlign w:val="bottom"/>
            <w:gridSpan w:val="2"/>
            <w:vMerge w:val="continue"/>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Above</w:t>
            </w: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Shares</w:t>
            </w:r>
          </w:p>
        </w:tc>
        <w:tc>
          <w:tcPr>
            <w:tcW w:w="11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560" w:type="dxa"/>
            <w:vAlign w:val="bottom"/>
            <w:gridSpan w:val="3"/>
            <w:vMerge w:val="continue"/>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Expiration</w:t>
            </w:r>
          </w:p>
        </w:tc>
        <w:tc>
          <w:tcPr>
            <w:tcW w:w="1540" w:type="dxa"/>
            <w:vAlign w:val="bottom"/>
            <w:gridSpan w:val="2"/>
            <w:vMerge w:val="continue"/>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Coupon</w:t>
            </w: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(4)</w:t>
            </w:r>
          </w:p>
        </w:tc>
        <w:tc>
          <w:tcPr>
            <w:tcW w:w="10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780" w:type="dxa"/>
            <w:vAlign w:val="bottom"/>
            <w:vMerge w:val="restart"/>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in Non-Controlled, Non-Affiliated Portfolio</w:t>
            </w: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2780" w:type="dxa"/>
            <w:vAlign w:val="bottom"/>
            <w:vMerge w:val="continue"/>
            <w:shd w:val="clear" w:color="auto" w:fill="CCEEFF"/>
          </w:tcPr>
          <w:p>
            <w:pPr>
              <w:spacing w:after="0"/>
              <w:rPr>
                <w:sz w:val="11"/>
                <w:szCs w:val="11"/>
                <w:color w:val="auto"/>
              </w:rPr>
            </w:pPr>
          </w:p>
        </w:tc>
        <w:tc>
          <w:tcPr>
            <w:tcW w:w="9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70"/>
              </w:rPr>
              <w:t>Companies—144.3%</w:t>
            </w:r>
          </w:p>
        </w:tc>
        <w:tc>
          <w:tcPr>
            <w:tcW w:w="1360" w:type="dxa"/>
            <w:vAlign w:val="bottom"/>
            <w:shd w:val="clear" w:color="auto" w:fill="CCEEFF"/>
          </w:tcPr>
          <w:p>
            <w:pPr>
              <w:jc w:val="right"/>
              <w:ind w:right="708"/>
              <w:spacing w:after="0" w:line="129" w:lineRule="exact"/>
              <w:rPr>
                <w:sz w:val="20"/>
                <w:szCs w:val="20"/>
                <w:color w:val="auto"/>
              </w:rPr>
            </w:pPr>
            <w:r>
              <w:rPr>
                <w:rFonts w:ascii="Arial" w:cs="Arial" w:eastAsia="Arial" w:hAnsi="Arial"/>
                <w:sz w:val="12"/>
                <w:szCs w:val="12"/>
                <w:b w:val="1"/>
                <w:bCs w:val="1"/>
                <w:color w:val="auto"/>
              </w:rPr>
              <w:t>(1), (2)</w:t>
            </w:r>
          </w:p>
        </w:tc>
        <w:tc>
          <w:tcPr>
            <w:tcW w:w="18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Debt—37.0%</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06/21/2017</w:t>
            </w:r>
          </w:p>
        </w:tc>
        <w:tc>
          <w:tcPr>
            <w:tcW w:w="15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Communications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11.25%</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L+975</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23,454,110</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   22,702,765</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24,626,815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AKA Diversified Holdings, Inc.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04/02/2018</w:t>
            </w: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Retail</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11.90%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L+1,175</w:t>
            </w:r>
            <w:r>
              <w:rPr>
                <w:rFonts w:ascii="Arial" w:cs="Arial" w:eastAsia="Arial" w:hAnsi="Arial"/>
                <w:sz w:val="12"/>
                <w:szCs w:val="12"/>
                <w:color w:val="auto"/>
              </w:rPr>
              <w:t>(8)</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29,653,975</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28,996,434</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30,252,196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AKA Diversified Holdings, Inc.</w:t>
            </w:r>
            <w:r>
              <w:rPr>
                <w:rFonts w:ascii="Arial" w:cs="Arial" w:eastAsia="Arial" w:hAnsi="Arial"/>
                <w:sz w:val="12"/>
                <w:szCs w:val="12"/>
                <w:color w:val="auto"/>
              </w:rPr>
              <w:t>(9)</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04/02/2018</w:t>
            </w:r>
          </w:p>
        </w:tc>
        <w:tc>
          <w:tcPr>
            <w:tcW w:w="15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Retail</w:t>
            </w: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7,500,000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tcPr>
          <w:p>
            <w:pPr>
              <w:spacing w:after="0" w:line="130" w:lineRule="exact"/>
              <w:rPr>
                <w:sz w:val="20"/>
                <w:szCs w:val="20"/>
                <w:color w:val="auto"/>
              </w:rPr>
            </w:pPr>
            <w:r>
              <w:rPr>
                <w:rFonts w:ascii="Arial" w:cs="Arial" w:eastAsia="Arial" w:hAnsi="Arial"/>
                <w:sz w:val="14"/>
                <w:szCs w:val="14"/>
                <w:color w:val="auto"/>
              </w:rPr>
              <w:t>AP Gaming I, LLC</w:t>
            </w:r>
          </w:p>
        </w:tc>
        <w:tc>
          <w:tcPr>
            <w:tcW w:w="9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12/21/2020</w:t>
            </w:r>
          </w:p>
        </w:tc>
        <w:tc>
          <w:tcPr>
            <w:tcW w:w="154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4"/>
              </w:rPr>
              <w:t>Hotels, Motels, Inns</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9.25%</w:t>
            </w:r>
          </w:p>
        </w:tc>
        <w:tc>
          <w:tcPr>
            <w:tcW w:w="104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L+825</w:t>
            </w:r>
          </w:p>
        </w:tc>
        <w:tc>
          <w:tcPr>
            <w:tcW w:w="104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5,223,750</w:t>
            </w:r>
          </w:p>
        </w:tc>
        <w:tc>
          <w:tcPr>
            <w:tcW w:w="920" w:type="dxa"/>
            <w:vAlign w:val="bottom"/>
          </w:tcPr>
          <w:p>
            <w:pPr>
              <w:jc w:val="right"/>
              <w:spacing w:after="0" w:line="130" w:lineRule="exact"/>
              <w:rPr>
                <w:sz w:val="20"/>
                <w:szCs w:val="20"/>
                <w:color w:val="auto"/>
              </w:rPr>
            </w:pPr>
            <w:r>
              <w:rPr>
                <w:rFonts w:ascii="Arial" w:cs="Arial" w:eastAsia="Arial" w:hAnsi="Arial"/>
                <w:sz w:val="14"/>
                <w:szCs w:val="14"/>
                <w:color w:val="auto"/>
              </w:rPr>
              <w:t>5,076,593</w:t>
            </w:r>
          </w:p>
        </w:tc>
        <w:tc>
          <w:tcPr>
            <w:tcW w:w="26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5,275,988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and Gaming</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Fox US Bidco Corp.</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06/17/2019</w:t>
            </w: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L+750</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12,352,942</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12,229,592</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12,229,412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Fox US Bidco Corp.</w:t>
            </w:r>
            <w:r>
              <w:rPr>
                <w:rFonts w:ascii="Arial" w:cs="Arial" w:eastAsia="Arial" w:hAnsi="Arial"/>
                <w:sz w:val="12"/>
                <w:szCs w:val="12"/>
                <w:color w:val="auto"/>
              </w:rPr>
              <w:t>(9)</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06/17/2019</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2,647,058</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2,647,058</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2,647,058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IDQ Holdings, Inc.</w:t>
            </w:r>
            <w:r>
              <w:rPr>
                <w:rFonts w:ascii="Arial" w:cs="Arial" w:eastAsia="Arial" w:hAnsi="Arial"/>
                <w:sz w:val="12"/>
                <w:szCs w:val="12"/>
                <w:color w:val="auto"/>
              </w:rPr>
              <w:t>(5)</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03/30/2017</w:t>
            </w:r>
          </w:p>
        </w:tc>
        <w:tc>
          <w:tcPr>
            <w:tcW w:w="15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Auto Sector</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11,500,000</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11,359,159</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12,678,750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tcPr>
          <w:p>
            <w:pPr>
              <w:spacing w:after="0" w:line="130" w:lineRule="exact"/>
              <w:rPr>
                <w:sz w:val="20"/>
                <w:szCs w:val="20"/>
                <w:color w:val="auto"/>
              </w:rPr>
            </w:pPr>
            <w:r>
              <w:rPr>
                <w:rFonts w:ascii="Arial" w:cs="Arial" w:eastAsia="Arial" w:hAnsi="Arial"/>
                <w:sz w:val="14"/>
                <w:szCs w:val="14"/>
                <w:color w:val="auto"/>
              </w:rPr>
              <w:t>InfuSystem Holdings, Inc.</w:t>
            </w:r>
          </w:p>
        </w:tc>
        <w:tc>
          <w:tcPr>
            <w:tcW w:w="9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11/30/2016</w:t>
            </w:r>
          </w:p>
        </w:tc>
        <w:tc>
          <w:tcPr>
            <w:tcW w:w="154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13.07%</w:t>
            </w:r>
          </w:p>
        </w:tc>
        <w:tc>
          <w:tcPr>
            <w:tcW w:w="104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P+982</w:t>
            </w:r>
          </w:p>
        </w:tc>
        <w:tc>
          <w:tcPr>
            <w:tcW w:w="104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8,000,000</w:t>
            </w:r>
          </w:p>
        </w:tc>
        <w:tc>
          <w:tcPr>
            <w:tcW w:w="920" w:type="dxa"/>
            <w:vAlign w:val="bottom"/>
          </w:tcPr>
          <w:p>
            <w:pPr>
              <w:jc w:val="right"/>
              <w:spacing w:after="0" w:line="130" w:lineRule="exact"/>
              <w:rPr>
                <w:sz w:val="20"/>
                <w:szCs w:val="20"/>
                <w:color w:val="auto"/>
              </w:rPr>
            </w:pPr>
            <w:r>
              <w:rPr>
                <w:rFonts w:ascii="Arial" w:cs="Arial" w:eastAsia="Arial" w:hAnsi="Arial"/>
                <w:sz w:val="14"/>
                <w:szCs w:val="14"/>
                <w:color w:val="auto"/>
              </w:rPr>
              <w:t>8,000,000</w:t>
            </w:r>
          </w:p>
        </w:tc>
        <w:tc>
          <w:tcPr>
            <w:tcW w:w="26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8,225,976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Jackson Hewitt Tax Service Inc.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10/16/2017</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Personal, Food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10.00%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L+850</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7,777,902</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7,777,902</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7,719,568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tcPr>
          <w:p>
            <w:pPr>
              <w:spacing w:after="0" w:line="130" w:lineRule="exact"/>
              <w:rPr>
                <w:sz w:val="20"/>
                <w:szCs w:val="20"/>
                <w:color w:val="auto"/>
              </w:rPr>
            </w:pPr>
            <w:r>
              <w:rPr>
                <w:rFonts w:ascii="Arial" w:cs="Arial" w:eastAsia="Arial" w:hAnsi="Arial"/>
                <w:sz w:val="14"/>
                <w:szCs w:val="14"/>
                <w:color w:val="auto"/>
              </w:rPr>
              <w:t>K2 Pure Solutions NoCal, L.P.</w:t>
            </w:r>
          </w:p>
        </w:tc>
        <w:tc>
          <w:tcPr>
            <w:tcW w:w="9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08/19/2019</w:t>
            </w:r>
          </w:p>
        </w:tc>
        <w:tc>
          <w:tcPr>
            <w:tcW w:w="154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Chemicals, Plastics</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10.00%</w:t>
            </w:r>
          </w:p>
        </w:tc>
        <w:tc>
          <w:tcPr>
            <w:tcW w:w="104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L+900</w:t>
            </w:r>
          </w:p>
        </w:tc>
        <w:tc>
          <w:tcPr>
            <w:tcW w:w="104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96"/>
              </w:rPr>
              <w:t>22,342,352</w:t>
            </w:r>
          </w:p>
        </w:tc>
        <w:tc>
          <w:tcPr>
            <w:tcW w:w="920" w:type="dxa"/>
            <w:vAlign w:val="bottom"/>
          </w:tcPr>
          <w:p>
            <w:pPr>
              <w:jc w:val="right"/>
              <w:spacing w:after="0" w:line="130" w:lineRule="exact"/>
              <w:rPr>
                <w:sz w:val="20"/>
                <w:szCs w:val="20"/>
                <w:color w:val="auto"/>
              </w:rPr>
            </w:pPr>
            <w:r>
              <w:rPr>
                <w:rFonts w:ascii="Arial" w:cs="Arial" w:eastAsia="Arial" w:hAnsi="Arial"/>
                <w:sz w:val="14"/>
                <w:szCs w:val="14"/>
                <w:color w:val="auto"/>
              </w:rPr>
              <w:t>21,947,354</w:t>
            </w:r>
          </w:p>
        </w:tc>
        <w:tc>
          <w:tcPr>
            <w:tcW w:w="26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22,133,375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and Rubber</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Old Guard Risk Services, Inc.</w:t>
            </w:r>
          </w:p>
        </w:tc>
        <w:tc>
          <w:tcPr>
            <w:tcW w:w="9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11/27/2018</w:t>
            </w: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L+1,150</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28,350,000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27,332,224</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28,633,500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tcPr>
          <w:p>
            <w:pPr>
              <w:spacing w:after="0" w:line="130" w:lineRule="exact"/>
              <w:rPr>
                <w:sz w:val="20"/>
                <w:szCs w:val="20"/>
                <w:color w:val="auto"/>
              </w:rPr>
            </w:pPr>
            <w:r>
              <w:rPr>
                <w:rFonts w:ascii="Arial" w:cs="Arial" w:eastAsia="Arial" w:hAnsi="Arial"/>
                <w:sz w:val="14"/>
                <w:szCs w:val="14"/>
                <w:color w:val="auto"/>
              </w:rPr>
              <w:t>Prince Mineral Holding Corp.</w:t>
            </w:r>
            <w:r>
              <w:rPr>
                <w:rFonts w:ascii="Arial" w:cs="Arial" w:eastAsia="Arial" w:hAnsi="Arial"/>
                <w:sz w:val="12"/>
                <w:szCs w:val="12"/>
                <w:color w:val="auto"/>
              </w:rPr>
              <w:t>(5)</w:t>
            </w:r>
          </w:p>
        </w:tc>
        <w:tc>
          <w:tcPr>
            <w:tcW w:w="9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12/16/2019</w:t>
            </w:r>
          </w:p>
        </w:tc>
        <w:tc>
          <w:tcPr>
            <w:tcW w:w="15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5"/>
              </w:rPr>
              <w:t>Mining, Steel, Iron and</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96"/>
              </w:rPr>
              <w:t>14,250,000</w:t>
            </w:r>
          </w:p>
        </w:tc>
        <w:tc>
          <w:tcPr>
            <w:tcW w:w="118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14,113,310</w:t>
            </w: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16,066,875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Non-Precious Metals</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04/30/2018</w:t>
            </w: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L+1,050</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24,389,911</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24,068,498</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24,389,911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r>
              <w:rPr>
                <w:rFonts w:ascii="Arial" w:cs="Arial" w:eastAsia="Arial" w:hAnsi="Arial"/>
                <w:sz w:val="12"/>
                <w:szCs w:val="12"/>
                <w:color w:val="auto"/>
              </w:rPr>
              <w:t>(9)</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10/31/2017</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1,000,000</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985,000</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Trust Inns Limited</w:t>
            </w:r>
            <w:r>
              <w:rPr>
                <w:rFonts w:ascii="Arial" w:cs="Arial" w:eastAsia="Arial" w:hAnsi="Arial"/>
                <w:sz w:val="12"/>
                <w:szCs w:val="12"/>
                <w:color w:val="auto"/>
              </w:rPr>
              <w:t>(10),(12)</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02/12/2020</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Buildings and Real</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11.05%</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L+1,050</w:t>
            </w:r>
            <w:r>
              <w:rPr>
                <w:rFonts w:ascii="Arial" w:cs="Arial" w:eastAsia="Arial" w:hAnsi="Arial"/>
                <w:sz w:val="12"/>
                <w:szCs w:val="12"/>
                <w:color w:val="auto"/>
              </w:rPr>
              <w:t>(8)</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27,909,091</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43,963,551</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47,581,867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0"/>
              </w:rPr>
              <w:t>Estate</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U.S. Well Service, LLC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05/02/2019</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L+1,150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14,551,598</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14,198,694</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14,655,462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Well Service, LLC</w:t>
            </w:r>
            <w:r>
              <w:rPr>
                <w:rFonts w:ascii="Arial" w:cs="Arial" w:eastAsia="Arial" w:hAnsi="Arial"/>
                <w:sz w:val="12"/>
                <w:szCs w:val="12"/>
                <w:color w:val="auto"/>
              </w:rPr>
              <w:t>(9)</w:t>
            </w:r>
          </w:p>
        </w:tc>
        <w:tc>
          <w:tcPr>
            <w:tcW w:w="9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11/03/2014</w:t>
            </w: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1,889,205</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1,889,205</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1,902,689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Worley Claims Services, LLC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07/06/2017</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L+1,100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11,528,792</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11,528,792</w:t>
            </w:r>
          </w:p>
        </w:tc>
        <w:tc>
          <w:tcPr>
            <w:tcW w:w="26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11,759,368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266,316,131</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279,278,810</w:t>
            </w:r>
          </w:p>
        </w:tc>
        <w:tc>
          <w:tcPr>
            <w:tcW w:w="0" w:type="dxa"/>
            <w:vAlign w:val="bottom"/>
          </w:tcPr>
          <w:p>
            <w:pPr>
              <w:spacing w:after="0"/>
              <w:rPr>
                <w:sz w:val="1"/>
                <w:szCs w:val="1"/>
                <w:color w:val="auto"/>
              </w:rPr>
            </w:pPr>
          </w:p>
        </w:tc>
      </w:tr>
      <w:tr>
        <w:trPr>
          <w:trHeight w:val="156"/>
        </w:trPr>
        <w:tc>
          <w:tcPr>
            <w:tcW w:w="3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Debt—63.2%</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Gilsonite Company</w:t>
            </w:r>
            <w:r>
              <w:rPr>
                <w:rFonts w:ascii="Arial" w:cs="Arial" w:eastAsia="Arial" w:hAnsi="Arial"/>
                <w:sz w:val="12"/>
                <w:szCs w:val="12"/>
                <w:color w:val="auto"/>
              </w:rPr>
              <w:t>(5)</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09/01/2017</w:t>
            </w:r>
          </w:p>
        </w:tc>
        <w:tc>
          <w:tcPr>
            <w:tcW w:w="15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Diversified Natural</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25,400,000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25,400,000</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27,432,000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9"/>
              </w:rPr>
              <w:t>Resources, Precious</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4"/>
              </w:rPr>
              <w:t>Metals and Minerals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Arsloane Acquisition, LLC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10/01/2020</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11.75%</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L+1,050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20,625,000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20,334,545</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20,831,250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Ascensus, Inc.</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12/02/2020</w:t>
            </w:r>
          </w:p>
        </w:tc>
        <w:tc>
          <w:tcPr>
            <w:tcW w:w="15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Financial Services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L+800</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15,500,000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15,288,541</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15,771,250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Bennu Oil &amp; Gas, LLC</w:t>
            </w: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11/01/2018</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8.75%</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L+750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19,799,984</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19,705,318</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20,031,050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Carolina Beverage Group, LLC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08/01/2018</w:t>
            </w:r>
          </w:p>
        </w:tc>
        <w:tc>
          <w:tcPr>
            <w:tcW w:w="15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1"/>
              </w:rPr>
              <w:t>Beverage, Food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10.63%</w:t>
            </w:r>
          </w:p>
        </w:tc>
        <w:tc>
          <w:tcPr>
            <w:tcW w:w="104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13,125,000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13,125,000</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14,142,187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9"/>
              </w:rPr>
              <w:t>Tobacco</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10/05/2020</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9.25%</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L+800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14,000,000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13,814,375</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14,052,500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Envision Acquisition Company, LLC</w:t>
            </w:r>
          </w:p>
        </w:tc>
        <w:tc>
          <w:tcPr>
            <w:tcW w:w="98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11/04/2021</w:t>
            </w:r>
          </w:p>
        </w:tc>
        <w:tc>
          <w:tcPr>
            <w:tcW w:w="15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9.75%</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L+875</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19,000,000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18,641,623</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19,190,000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Foundation Building Materials, LLC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04/30/2019</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7"/>
              </w:rPr>
              <w:t>Building Materials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L+1,100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45,000,000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44,550,637</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45,077,918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Foundation Building Materials, LLC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04/30/2019</w:t>
            </w:r>
          </w:p>
        </w:tc>
        <w:tc>
          <w:tcPr>
            <w:tcW w:w="15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Building Materials</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13.00%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L+1,200</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32,692,664</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32,083,193</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32,749,272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(PIK 1.00%)</w:t>
            </w: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ILC Industries, LLC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06/14/2019</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L+1,000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7,500,000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7,224,810</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7,350,000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Intermediate Transportation 100, LLC</w:t>
            </w:r>
            <w:r>
              <w:rPr>
                <w:rFonts w:ascii="Arial" w:cs="Arial" w:eastAsia="Arial" w:hAnsi="Arial"/>
                <w:sz w:val="12"/>
                <w:szCs w:val="12"/>
                <w:color w:val="auto"/>
              </w:rPr>
              <w:t>(5)</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03/01/2017</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Cargo Transport</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11.00%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L+700</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3,739,795</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3,739,797</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1,682,908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8"/>
              </w:rPr>
              <w:t>(PIK 11.00%)</w:t>
            </w: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J.A. Cosmetics Holdings, Inc.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07/31/2019</w:t>
            </w: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11.00%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L+1,000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34,000,000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33,352,914</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33,951,852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Jacobs Entertainment, Inc.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10/29/2019</w:t>
            </w:r>
          </w:p>
        </w:tc>
        <w:tc>
          <w:tcPr>
            <w:tcW w:w="15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4"/>
              </w:rPr>
              <w:t>Hotels, Motels, Inns</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13.00%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L+1,175</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38,950,000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38,364,591</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39,339,500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1"/>
              </w:rPr>
              <w:t>and Gaming</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KIK Custom Products Inc.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10/29/2019</w:t>
            </w: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9.50%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L+825</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9,500,000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9,364,479</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9,606,875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Language Line, LLC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12/20/2016</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Personal, Food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10.50%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L+875</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33,750,000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33,356,570</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33,555,937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Linc USA GP and Linc Energy Finance (USA), Inc.</w:t>
            </w:r>
            <w:r>
              <w:rPr>
                <w:rFonts w:ascii="Arial" w:cs="Arial" w:eastAsia="Arial" w:hAnsi="Arial"/>
                <w:sz w:val="12"/>
                <w:szCs w:val="12"/>
                <w:color w:val="auto"/>
              </w:rPr>
              <w:t>(5)</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10/31/2017</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11,875,000</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11,570,211</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13,359,375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Gulf Resources, LLC</w:t>
            </w:r>
            <w:r>
              <w:rPr>
                <w:rFonts w:ascii="Arial" w:cs="Arial" w:eastAsia="Arial" w:hAnsi="Arial"/>
                <w:sz w:val="12"/>
                <w:szCs w:val="12"/>
                <w:color w:val="auto"/>
              </w:rPr>
              <w:t>(5)</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05/15/2019</w:t>
            </w: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11.75%</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45,000,000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44,595,002</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10/02/2020</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Media</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L+775</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21,000,000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20,724,103</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21,140,070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07/01/2020</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Personal, Food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9.75%</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L+850</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56,750,000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55,992,623</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57,814,062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12/15/2014</w:t>
            </w: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9.50%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P+550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2,179,297</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2,179,297</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2,179,297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Questex Media Group LLC, Term Loan B</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12/15/2015</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P+750</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2,725,980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2,725,980</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2,725,980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8"/>
              </w:rPr>
              <w:t>(PIK 11.50%)</w:t>
            </w: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466,133,609</w:t>
            </w:r>
          </w:p>
        </w:tc>
        <w:tc>
          <w:tcPr>
            <w:tcW w:w="26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476,983,283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Basis Point</w:t>
            </w: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Maturity/</w:t>
            </w: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Spread</w:t>
            </w: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60" w:type="dxa"/>
            <w:vAlign w:val="bottom"/>
            <w:gridSpan w:val="2"/>
            <w:vMerge w:val="continue"/>
          </w:tcPr>
          <w:p>
            <w:pPr>
              <w:spacing w:after="0"/>
              <w:rPr>
                <w:sz w:val="12"/>
                <w:szCs w:val="12"/>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Industry</w:t>
            </w:r>
          </w:p>
        </w:tc>
        <w:tc>
          <w:tcPr>
            <w:tcW w:w="118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Above</w:t>
            </w:r>
          </w:p>
        </w:tc>
        <w:tc>
          <w:tcPr>
            <w:tcW w:w="10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0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580" w:type="dxa"/>
            <w:vAlign w:val="bottom"/>
            <w:gridSpan w:val="3"/>
            <w:vMerge w:val="continue"/>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Expiration</w:t>
            </w:r>
          </w:p>
        </w:tc>
        <w:tc>
          <w:tcPr>
            <w:tcW w:w="1460" w:type="dxa"/>
            <w:vAlign w:val="bottom"/>
            <w:gridSpan w:val="2"/>
            <w:vMerge w:val="continue"/>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(4)</w:t>
            </w: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1"/>
              </w:rPr>
              <w:t>Subordinated</w:t>
            </w:r>
          </w:p>
        </w:tc>
        <w:tc>
          <w:tcPr>
            <w:tcW w:w="280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4"/>
                <w:szCs w:val="14"/>
                <w:b w:val="1"/>
                <w:bCs w:val="1"/>
                <w:color w:val="auto"/>
              </w:rPr>
              <w:t>Debt/Corporate Notes—31.9%</w:t>
            </w:r>
          </w:p>
        </w:tc>
        <w:tc>
          <w:tcPr>
            <w:tcW w:w="7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Acentia, LLC</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10/02/2017</w:t>
            </w: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14.00%</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4"/>
              </w:rPr>
              <w:t>19,000,000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18,677,529</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18,236,200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Affinion Group Holdings, Inc.</w:t>
            </w:r>
            <w:r>
              <w:rPr>
                <w:rFonts w:ascii="Arial" w:cs="Arial" w:eastAsia="Arial" w:hAnsi="Arial"/>
                <w:sz w:val="12"/>
                <w:szCs w:val="12"/>
                <w:color w:val="auto"/>
              </w:rPr>
              <w:t>(5)</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09/14/2018</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14.50%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4"/>
              </w:rPr>
              <w:t>32,418,500</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27,703,556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32,094,315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(PIK 14.50%)</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Affinion Investments LLC</w:t>
            </w:r>
            <w:r>
              <w:rPr>
                <w:rFonts w:ascii="Arial" w:cs="Arial" w:eastAsia="Arial" w:hAnsi="Arial"/>
                <w:sz w:val="12"/>
                <w:szCs w:val="12"/>
                <w:color w:val="auto"/>
              </w:rPr>
              <w:t>(5)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08/15/2018</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4"/>
              </w:rPr>
              <w:t>15,096,000</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15,096,000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15,699,840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Alegeus Technologies, LLC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02/15/2019</w:t>
            </w: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Financial Services</w:t>
            </w: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12.00%</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8,930,000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8,787,424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7,842,939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Convergint Technologies LLC</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03/26/2018</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12.00%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94"/>
              </w:rPr>
              <w:t>23,693,263</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23,349,576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23,930,196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(PIK 1.00%)</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Credit Infonet, Inc.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10/26/2018</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Personal, Food and</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12.25%</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4"/>
              </w:rPr>
              <w:t>10,600,000</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10,421,429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10,311,509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Miscellaneous</w:t>
            </w: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9"/>
              </w:rPr>
              <w:t>Services</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JF Acquisition, LLC</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06/30/2017</w:t>
            </w: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9"/>
              </w:rPr>
              <w:t>Distribution</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14.00%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94"/>
              </w:rPr>
              <w:t>19,781,463</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19,427,752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19,781,463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(PIK 2.00%)</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MSPark, Inc.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06/15/2017</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Printing and</w:t>
            </w:r>
          </w:p>
        </w:tc>
        <w:tc>
          <w:tcPr>
            <w:tcW w:w="11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14.50%</w:t>
            </w:r>
            <w:r>
              <w:rPr>
                <w:rFonts w:ascii="Arial" w:cs="Arial" w:eastAsia="Arial" w:hAnsi="Arial"/>
                <w:sz w:val="12"/>
                <w:szCs w:val="12"/>
                <w:color w:val="auto"/>
              </w:rPr>
              <w:t>(7)</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4"/>
              </w:rPr>
              <w:t>15,000,000</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14,744,082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5"/>
              </w:rPr>
              <w:t>Publishing</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New Gulf Resources, LLC</w:t>
            </w:r>
            <w:r>
              <w:rPr>
                <w:rFonts w:ascii="Arial" w:cs="Arial" w:eastAsia="Arial" w:hAnsi="Arial"/>
                <w:sz w:val="12"/>
                <w:szCs w:val="12"/>
                <w:color w:val="auto"/>
              </w:rPr>
              <w:t>(5)</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11/15/2019</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1"/>
              </w:rPr>
              <w:t>Oil and Gas</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12.00%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94"/>
              </w:rPr>
              <w:t>13,500,000</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13,017,947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11,745,000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(PIK 12.00%)</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Power Products, LLC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12/11/2020</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12.75%</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4"/>
              </w:rPr>
              <w:t>15,000,000</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14,777,756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15,141,884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(PIK 2.00%)</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Randall-Reilly Publishing Company, LLC</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04/15/2019</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12.50%</w:t>
            </w:r>
            <w:r>
              <w:rPr>
                <w:rFonts w:ascii="Arial" w:cs="Arial" w:eastAsia="Arial" w:hAnsi="Arial"/>
                <w:sz w:val="12"/>
                <w:szCs w:val="12"/>
                <w:color w:val="auto"/>
              </w:rPr>
              <w:t>(7)</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4"/>
              </w:rPr>
              <w:t>30,400,000</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29,838,372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30,604,892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Vestcom International, Inc.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06/27/2019</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Printing and</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12.00%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4"/>
              </w:rPr>
              <w:t>39,892,933</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39,218,167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40,491,327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5"/>
              </w:rPr>
              <w:t>Publishing</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235,059,590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240,879,565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Equity/Partnership Interests—1.7%</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AH Holdings, Inc.</w:t>
            </w:r>
          </w:p>
        </w:tc>
        <w:tc>
          <w:tcPr>
            <w:tcW w:w="96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6.00%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211</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AHC Mezzanine, LLC</w:t>
            </w:r>
          </w:p>
        </w:tc>
        <w:tc>
          <w:tcPr>
            <w:tcW w:w="9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7,505</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318,896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Alegeus Technologies Holdings Corp. (Alegeus</w:t>
            </w:r>
          </w:p>
        </w:tc>
        <w:tc>
          <w:tcPr>
            <w:tcW w:w="96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Financial Services</w:t>
            </w:r>
          </w:p>
        </w:tc>
        <w:tc>
          <w:tcPr>
            <w:tcW w:w="1180" w:type="dxa"/>
            <w:vAlign w:val="bottom"/>
            <w:gridSpan w:val="2"/>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949</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949,050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166,701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gridSpan w:val="2"/>
          </w:tcPr>
          <w:p>
            <w:pPr>
              <w:ind w:left="140"/>
              <w:spacing w:after="0"/>
              <w:rPr>
                <w:sz w:val="20"/>
                <w:szCs w:val="20"/>
                <w:color w:val="auto"/>
              </w:rPr>
            </w:pPr>
            <w:r>
              <w:rPr>
                <w:rFonts w:ascii="Arial" w:cs="Arial" w:eastAsia="Arial" w:hAnsi="Arial"/>
                <w:sz w:val="14"/>
                <w:szCs w:val="14"/>
                <w:color w:val="auto"/>
              </w:rPr>
              <w:t>Technologies, LLC)</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9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8.00%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76,357</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765,307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1,762,472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CI (IHS) Investment Holdings, LLC</w:t>
            </w:r>
            <w:r>
              <w:rPr>
                <w:rFonts w:ascii="Arial" w:cs="Arial" w:eastAsia="Arial" w:hAnsi="Arial"/>
                <w:sz w:val="12"/>
                <w:szCs w:val="12"/>
                <w:color w:val="auto"/>
              </w:rPr>
              <w:t>(9)</w:t>
            </w:r>
          </w:p>
        </w:tc>
        <w:tc>
          <w:tcPr>
            <w:tcW w:w="96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180" w:type="dxa"/>
            <w:vAlign w:val="bottom"/>
            <w:gridSpan w:val="2"/>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38,179</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382,654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881,236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 (Convergint</w:t>
            </w:r>
          </w:p>
        </w:tc>
        <w:tc>
          <w:tcPr>
            <w:tcW w:w="9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8.00%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2,375</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2,375,000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2,737,419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Technologies LLC)</w:t>
            </w: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J.A. Cosmetics US, Inc.</w:t>
            </w:r>
          </w:p>
        </w:tc>
        <w:tc>
          <w:tcPr>
            <w:tcW w:w="96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8.00%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3,397</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3,397,484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3,912,260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gridSpan w:val="2"/>
          </w:tcPr>
          <w:p>
            <w:pPr>
              <w:ind w:left="140"/>
              <w:spacing w:after="0"/>
              <w:rPr>
                <w:sz w:val="20"/>
                <w:szCs w:val="20"/>
                <w:color w:val="auto"/>
              </w:rPr>
            </w:pPr>
            <w:r>
              <w:rPr>
                <w:rFonts w:ascii="Arial" w:cs="Arial" w:eastAsia="Arial" w:hAnsi="Arial"/>
                <w:sz w:val="14"/>
                <w:szCs w:val="14"/>
                <w:color w:val="auto"/>
              </w:rPr>
              <w:t>(J.A. Cosmetics Holdings, Inc.)</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Red Point, LLC</w:t>
            </w:r>
          </w:p>
        </w:tc>
        <w:tc>
          <w:tcPr>
            <w:tcW w:w="9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Other Media</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8.00%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3,591</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21,727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40,583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(f/k/a Hanley-Wood Holdings, LLC)</w:t>
            </w: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Ride Holdings, Inc.</w:t>
            </w:r>
          </w:p>
        </w:tc>
        <w:tc>
          <w:tcPr>
            <w:tcW w:w="96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0"/>
              </w:rPr>
              <w:t>Personal</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8.00%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1,966,667</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2,251,667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1,029,295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gridSpan w:val="2"/>
          </w:tcPr>
          <w:p>
            <w:pPr>
              <w:ind w:left="140"/>
              <w:spacing w:after="0"/>
              <w:rPr>
                <w:sz w:val="20"/>
                <w:szCs w:val="20"/>
                <w:color w:val="auto"/>
              </w:rPr>
            </w:pPr>
            <w:r>
              <w:rPr>
                <w:rFonts w:ascii="Arial" w:cs="Arial" w:eastAsia="Arial" w:hAnsi="Arial"/>
                <w:sz w:val="14"/>
                <w:szCs w:val="14"/>
                <w:color w:val="auto"/>
              </w:rPr>
              <w:t>(f/k/a VRide Holdings, Inc.)</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Transportation</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A</w:t>
            </w:r>
          </w:p>
        </w:tc>
        <w:tc>
          <w:tcPr>
            <w:tcW w:w="9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686</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685,820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B</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1,312</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1,312,006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1,799,366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12,959,611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13,015,152</w:t>
            </w:r>
          </w:p>
        </w:tc>
        <w:tc>
          <w:tcPr>
            <w:tcW w:w="0" w:type="dxa"/>
            <w:vAlign w:val="bottom"/>
          </w:tcPr>
          <w:p>
            <w:pPr>
              <w:spacing w:after="0"/>
              <w:rPr>
                <w:sz w:val="1"/>
                <w:szCs w:val="1"/>
                <w:color w:val="auto"/>
              </w:rPr>
            </w:pPr>
          </w:p>
        </w:tc>
      </w:tr>
      <w:tr>
        <w:trPr>
          <w:trHeight w:val="156"/>
        </w:trPr>
        <w:tc>
          <w:tcPr>
            <w:tcW w:w="45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Common Equity/Partnership Interests/Warrants—10.5%</w:t>
            </w:r>
            <w:r>
              <w:rPr>
                <w:rFonts w:ascii="Arial" w:cs="Arial" w:eastAsia="Arial" w:hAnsi="Arial"/>
                <w:sz w:val="12"/>
                <w:szCs w:val="12"/>
                <w:b w:val="1"/>
                <w:bCs w:val="1"/>
                <w:color w:val="auto"/>
              </w:rPr>
              <w:t>(6)</w:t>
            </w: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Acentia, LLC, Class A Units</w:t>
            </w:r>
            <w:r>
              <w:rPr>
                <w:rFonts w:ascii="Arial" w:cs="Arial" w:eastAsia="Arial" w:hAnsi="Arial"/>
                <w:sz w:val="12"/>
                <w:szCs w:val="12"/>
                <w:color w:val="auto"/>
              </w:rPr>
              <w:t>(11)</w:t>
            </w:r>
          </w:p>
        </w:tc>
        <w:tc>
          <w:tcPr>
            <w:tcW w:w="9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1,998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2,000,000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902,828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 Series A (Warrants)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12/12/2023</w:t>
            </w:r>
          </w:p>
        </w:tc>
        <w:tc>
          <w:tcPr>
            <w:tcW w:w="26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4,798,624</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10,265,972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12,716,355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 Series B (Warrants)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12/12/2023</w:t>
            </w:r>
          </w:p>
        </w:tc>
        <w:tc>
          <w:tcPr>
            <w:tcW w:w="2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9,822,196</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196,444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AH Holdings, Inc. (Warrants)</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03/23/2021</w:t>
            </w:r>
          </w:p>
        </w:tc>
        <w:tc>
          <w:tcPr>
            <w:tcW w:w="260" w:type="dxa"/>
            <w:vAlign w:val="bottom"/>
          </w:tcPr>
          <w:p>
            <w:pPr>
              <w:spacing w:after="0"/>
              <w:rPr>
                <w:sz w:val="11"/>
                <w:szCs w:val="11"/>
                <w:color w:val="auto"/>
              </w:rPr>
            </w:pP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180" w:type="dxa"/>
            <w:vAlign w:val="bottom"/>
            <w:gridSpan w:val="2"/>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753</w:t>
            </w:r>
          </w:p>
        </w:tc>
        <w:tc>
          <w:tcPr>
            <w:tcW w:w="140" w:type="dxa"/>
            <w:vAlign w:val="bottom"/>
          </w:tcPr>
          <w:p>
            <w:pPr>
              <w:spacing w:after="0"/>
              <w:rPr>
                <w:sz w:val="11"/>
                <w:szCs w:val="11"/>
                <w:color w:val="auto"/>
              </w:rPr>
            </w:pPr>
          </w:p>
        </w:tc>
        <w:tc>
          <w:tcPr>
            <w:tcW w:w="9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Alegeus Technologies Holding Corp.</w:t>
            </w:r>
          </w:p>
        </w:tc>
        <w:tc>
          <w:tcPr>
            <w:tcW w:w="9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Financial Services</w:t>
            </w:r>
          </w:p>
        </w:tc>
        <w:tc>
          <w:tcPr>
            <w:tcW w:w="1180" w:type="dxa"/>
            <w:vAlign w:val="bottom"/>
            <w:gridSpan w:val="2"/>
            <w:shd w:val="clear" w:color="auto" w:fill="CCEEFF"/>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950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(Alegeus Technologies, LLC)</w:t>
            </w: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ASP LCG Holdings, Inc. (f/k/a Learning Care Group (US)</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05/05/2026</w:t>
            </w:r>
          </w:p>
        </w:tc>
        <w:tc>
          <w:tcPr>
            <w:tcW w:w="260" w:type="dxa"/>
            <w:vAlign w:val="bottom"/>
          </w:tcPr>
          <w:p>
            <w:pPr>
              <w:spacing w:after="0"/>
              <w:rPr>
                <w:sz w:val="11"/>
                <w:szCs w:val="11"/>
                <w:color w:val="auto"/>
              </w:rPr>
            </w:pP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Education</w:t>
            </w:r>
          </w:p>
        </w:tc>
        <w:tc>
          <w:tcPr>
            <w:tcW w:w="1180" w:type="dxa"/>
            <w:vAlign w:val="bottom"/>
            <w:gridSpan w:val="2"/>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933</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586,975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545,114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60" w:type="dxa"/>
            <w:vAlign w:val="bottom"/>
            <w:gridSpan w:val="2"/>
          </w:tcPr>
          <w:p>
            <w:pPr>
              <w:ind w:left="140"/>
              <w:spacing w:after="0"/>
              <w:rPr>
                <w:sz w:val="20"/>
                <w:szCs w:val="20"/>
                <w:color w:val="auto"/>
              </w:rPr>
            </w:pPr>
            <w:r>
              <w:rPr>
                <w:rFonts w:ascii="Arial" w:cs="Arial" w:eastAsia="Arial" w:hAnsi="Arial"/>
                <w:sz w:val="14"/>
                <w:szCs w:val="14"/>
                <w:color w:val="auto"/>
              </w:rPr>
              <w:t>Inc.) (Warrants)</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Basis Point</w:t>
            </w: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Par/</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Spread</w:t>
            </w:r>
          </w:p>
        </w:tc>
        <w:tc>
          <w:tcPr>
            <w:tcW w:w="90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60" w:type="dxa"/>
            <w:vAlign w:val="bottom"/>
            <w:gridSpan w:val="2"/>
            <w:vMerge w:val="continue"/>
          </w:tcPr>
          <w:p>
            <w:pPr>
              <w:spacing w:after="0"/>
              <w:rPr>
                <w:sz w:val="12"/>
                <w:szCs w:val="12"/>
                <w:color w:val="auto"/>
              </w:rPr>
            </w:pP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Industry</w:t>
            </w:r>
          </w:p>
        </w:tc>
        <w:tc>
          <w:tcPr>
            <w:tcW w:w="78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Above</w:t>
            </w: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320" w:type="dxa"/>
            <w:vAlign w:val="bottom"/>
            <w:gridSpan w:val="3"/>
            <w:vMerge w:val="continue"/>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Expiration</w:t>
            </w:r>
          </w:p>
        </w:tc>
        <w:tc>
          <w:tcPr>
            <w:tcW w:w="1480" w:type="dxa"/>
            <w:vAlign w:val="bottom"/>
            <w:gridSpan w:val="2"/>
            <w:vMerge w:val="continue"/>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Index</w:t>
            </w:r>
            <w:r>
              <w:rPr>
                <w:rFonts w:ascii="Arial" w:cs="Arial" w:eastAsia="Arial" w:hAnsi="Arial"/>
                <w:sz w:val="12"/>
                <w:szCs w:val="12"/>
                <w:b w:val="1"/>
                <w:bCs w:val="1"/>
                <w:color w:val="auto"/>
                <w:w w:val="93"/>
              </w:rPr>
              <w:t>(4)</w:t>
            </w:r>
          </w:p>
        </w:tc>
        <w:tc>
          <w:tcPr>
            <w:tcW w:w="90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43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Autumn Games, LLC</w:t>
            </w:r>
          </w:p>
        </w:tc>
        <w:tc>
          <w:tcPr>
            <w:tcW w:w="680" w:type="dxa"/>
            <w:vAlign w:val="bottom"/>
            <w:shd w:val="clear" w:color="auto" w:fill="CCEEFF"/>
          </w:tcPr>
          <w:p>
            <w:pPr>
              <w:ind w:left="220"/>
              <w:spacing w:after="0" w:line="123" w:lineRule="exact"/>
              <w:rPr>
                <w:sz w:val="20"/>
                <w:szCs w:val="20"/>
                <w:color w:val="auto"/>
              </w:rPr>
            </w:pPr>
            <w:r>
              <w:rPr>
                <w:rFonts w:ascii="Arial" w:cs="Arial" w:eastAsia="Arial" w:hAnsi="Arial"/>
                <w:sz w:val="14"/>
                <w:szCs w:val="14"/>
                <w:color w:val="auto"/>
              </w:rPr>
              <w:t>—</w:t>
            </w:r>
          </w:p>
        </w:tc>
        <w:tc>
          <w:tcPr>
            <w:tcW w:w="180" w:type="dxa"/>
            <w:vAlign w:val="bottom"/>
            <w:vMerge w:val="continue"/>
            <w:shd w:val="clear" w:color="auto" w:fill="CCEEFF"/>
          </w:tcPr>
          <w:p>
            <w:pPr>
              <w:spacing w:after="0"/>
              <w:rPr>
                <w:sz w:val="10"/>
                <w:szCs w:val="10"/>
                <w:color w:val="auto"/>
              </w:rPr>
            </w:pPr>
          </w:p>
        </w:tc>
        <w:tc>
          <w:tcPr>
            <w:tcW w:w="12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1"/>
              </w:rPr>
              <w:t>Broadcasting and</w:t>
            </w:r>
          </w:p>
        </w:tc>
        <w:tc>
          <w:tcPr>
            <w:tcW w:w="200" w:type="dxa"/>
            <w:vAlign w:val="bottom"/>
            <w:vMerge w:val="continue"/>
            <w:shd w:val="clear" w:color="auto" w:fill="CCEEFF"/>
          </w:tcPr>
          <w:p>
            <w:pPr>
              <w:spacing w:after="0"/>
              <w:rPr>
                <w:sz w:val="10"/>
                <w:szCs w:val="10"/>
                <w:color w:val="auto"/>
              </w:rPr>
            </w:pPr>
          </w:p>
        </w:tc>
        <w:tc>
          <w:tcPr>
            <w:tcW w:w="500" w:type="dxa"/>
            <w:vAlign w:val="bottom"/>
            <w:shd w:val="clear" w:color="auto" w:fill="CCEEFF"/>
          </w:tcPr>
          <w:p>
            <w:pPr>
              <w:ind w:left="300"/>
              <w:spacing w:after="0" w:line="123" w:lineRule="exact"/>
              <w:rPr>
                <w:sz w:val="20"/>
                <w:szCs w:val="20"/>
                <w:color w:val="auto"/>
              </w:rPr>
            </w:pPr>
            <w:r>
              <w:rPr>
                <w:rFonts w:ascii="Arial" w:cs="Arial" w:eastAsia="Arial" w:hAnsi="Arial"/>
                <w:sz w:val="14"/>
                <w:szCs w:val="14"/>
                <w:color w:val="auto"/>
              </w:rPr>
              <w:t>—</w:t>
            </w:r>
          </w:p>
        </w:tc>
        <w:tc>
          <w:tcPr>
            <w:tcW w:w="280" w:type="dxa"/>
            <w:vAlign w:val="bottom"/>
            <w:vMerge w:val="continue"/>
            <w:shd w:val="clear" w:color="auto" w:fill="CCEEFF"/>
          </w:tcPr>
          <w:p>
            <w:pPr>
              <w:spacing w:after="0"/>
              <w:rPr>
                <w:sz w:val="10"/>
                <w:szCs w:val="10"/>
                <w:color w:val="auto"/>
              </w:rPr>
            </w:pPr>
          </w:p>
        </w:tc>
        <w:tc>
          <w:tcPr>
            <w:tcW w:w="680" w:type="dxa"/>
            <w:vAlign w:val="bottom"/>
            <w:shd w:val="clear" w:color="auto" w:fill="CCEEFF"/>
          </w:tcPr>
          <w:p>
            <w:pPr>
              <w:ind w:left="460"/>
              <w:spacing w:after="0" w:line="123" w:lineRule="exact"/>
              <w:rPr>
                <w:sz w:val="20"/>
                <w:szCs w:val="20"/>
                <w:color w:val="auto"/>
              </w:rPr>
            </w:pPr>
            <w:r>
              <w:rPr>
                <w:rFonts w:ascii="Arial" w:cs="Arial" w:eastAsia="Arial" w:hAnsi="Arial"/>
                <w:sz w:val="14"/>
                <w:szCs w:val="14"/>
                <w:color w:val="auto"/>
              </w:rPr>
              <w:t>—</w:t>
            </w:r>
          </w:p>
        </w:tc>
        <w:tc>
          <w:tcPr>
            <w:tcW w:w="280" w:type="dxa"/>
            <w:vAlign w:val="bottom"/>
            <w:vMerge w:val="continue"/>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w w:val="96"/>
              </w:rPr>
              <w:t>1,333,330</w:t>
            </w:r>
          </w:p>
        </w:tc>
        <w:tc>
          <w:tcPr>
            <w:tcW w:w="280" w:type="dxa"/>
            <w:vAlign w:val="bottom"/>
            <w:vMerge w:val="continue"/>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3,000,000</w:t>
            </w:r>
          </w:p>
        </w:tc>
        <w:tc>
          <w:tcPr>
            <w:tcW w:w="280" w:type="dxa"/>
            <w:vAlign w:val="bottom"/>
            <w:vMerge w:val="continue"/>
            <w:shd w:val="clear" w:color="auto" w:fill="CCEEFF"/>
          </w:tcPr>
          <w:p>
            <w:pPr>
              <w:spacing w:after="0"/>
              <w:rPr>
                <w:sz w:val="10"/>
                <w:szCs w:val="10"/>
                <w:color w:val="auto"/>
              </w:rPr>
            </w:pPr>
          </w:p>
        </w:tc>
        <w:tc>
          <w:tcPr>
            <w:tcW w:w="880" w:type="dxa"/>
            <w:vAlign w:val="bottom"/>
            <w:shd w:val="clear" w:color="auto" w:fill="CCEEFF"/>
          </w:tcPr>
          <w:p>
            <w:pPr>
              <w:jc w:val="right"/>
              <w:ind w:right="8"/>
              <w:spacing w:after="0" w:line="123" w:lineRule="exact"/>
              <w:rPr>
                <w:sz w:val="20"/>
                <w:szCs w:val="20"/>
                <w:color w:val="auto"/>
              </w:rPr>
            </w:pPr>
            <w:r>
              <w:rPr>
                <w:rFonts w:ascii="Arial" w:cs="Arial" w:eastAsia="Arial" w:hAnsi="Arial"/>
                <w:sz w:val="14"/>
                <w:szCs w:val="14"/>
                <w:color w:val="auto"/>
              </w:rPr>
              <w:t>—</w:t>
            </w:r>
          </w:p>
        </w:tc>
        <w:tc>
          <w:tcPr>
            <w:tcW w:w="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1"/>
              </w:rPr>
              <w:t>Entertainment</w:t>
            </w: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tcPr>
          <w:p>
            <w:pPr>
              <w:spacing w:after="0" w:line="130" w:lineRule="exact"/>
              <w:rPr>
                <w:sz w:val="20"/>
                <w:szCs w:val="20"/>
                <w:color w:val="auto"/>
              </w:rPr>
            </w:pPr>
            <w:r>
              <w:rPr>
                <w:rFonts w:ascii="Arial" w:cs="Arial" w:eastAsia="Arial" w:hAnsi="Arial"/>
                <w:sz w:val="14"/>
                <w:szCs w:val="14"/>
                <w:color w:val="auto"/>
              </w:rPr>
              <w:t>CI (FBM) Holdings, LLC</w:t>
            </w:r>
            <w:r>
              <w:rPr>
                <w:rFonts w:ascii="Arial" w:cs="Arial" w:eastAsia="Arial" w:hAnsi="Arial"/>
                <w:sz w:val="12"/>
                <w:szCs w:val="12"/>
                <w:color w:val="auto"/>
              </w:rPr>
              <w:t>(11)</w:t>
            </w:r>
          </w:p>
        </w:tc>
        <w:tc>
          <w:tcPr>
            <w:tcW w:w="86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7"/>
              </w:rPr>
              <w:t>Building Materials</w:t>
            </w:r>
          </w:p>
        </w:tc>
        <w:tc>
          <w:tcPr>
            <w:tcW w:w="7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207,242</w:t>
            </w: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2,250,000</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2,608,001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gridSpan w:val="2"/>
          </w:tcPr>
          <w:p>
            <w:pPr>
              <w:ind w:left="140"/>
              <w:spacing w:after="0"/>
              <w:rPr>
                <w:sz w:val="20"/>
                <w:szCs w:val="20"/>
                <w:color w:val="auto"/>
              </w:rPr>
            </w:pPr>
            <w:r>
              <w:rPr>
                <w:rFonts w:ascii="Arial" w:cs="Arial" w:eastAsia="Arial" w:hAnsi="Arial"/>
                <w:sz w:val="14"/>
                <w:szCs w:val="14"/>
                <w:color w:val="auto"/>
              </w:rPr>
              <w:t>(Foundation Building Materials, LLC)</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 (FBM) Holdings, LLC</w:t>
            </w:r>
            <w:r>
              <w:rPr>
                <w:rFonts w:ascii="Arial" w:cs="Arial" w:eastAsia="Arial" w:hAnsi="Arial"/>
                <w:sz w:val="12"/>
                <w:szCs w:val="12"/>
                <w:color w:val="auto"/>
              </w:rPr>
              <w:t>(9),(11)</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7"/>
              </w:rPr>
              <w:t>Building Materials</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103,621</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1,125,000</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1,304,001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(Foundation Building Materials, LLC)</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CI (Galls) Prime Investment Holdings, LLC</w:t>
            </w:r>
            <w:r>
              <w:rPr>
                <w:rFonts w:ascii="Arial" w:cs="Arial" w:eastAsia="Arial" w:hAnsi="Arial"/>
                <w:sz w:val="12"/>
                <w:szCs w:val="12"/>
                <w:color w:val="auto"/>
              </w:rPr>
              <w:t>(11)</w:t>
            </w:r>
          </w:p>
        </w:tc>
        <w:tc>
          <w:tcPr>
            <w:tcW w:w="8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Distribution</w:t>
            </w:r>
          </w:p>
        </w:tc>
        <w:tc>
          <w:tcPr>
            <w:tcW w:w="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1,505,000</w:t>
            </w:r>
          </w:p>
        </w:tc>
        <w:tc>
          <w:tcPr>
            <w:tcW w:w="280" w:type="dxa"/>
            <w:vAlign w:val="bottom"/>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1,505,000</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1,913,376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Healthcare, Education</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23,416</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234,693</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539,257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2"/>
              </w:rPr>
              <w:t>and Childcare</w:t>
            </w: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tcPr>
          <w:p>
            <w:pPr>
              <w:spacing w:after="0" w:line="130" w:lineRule="exact"/>
              <w:rPr>
                <w:sz w:val="20"/>
                <w:szCs w:val="20"/>
                <w:color w:val="auto"/>
              </w:rPr>
            </w:pPr>
            <w:r>
              <w:rPr>
                <w:rFonts w:ascii="Arial" w:cs="Arial" w:eastAsia="Arial" w:hAnsi="Arial"/>
                <w:sz w:val="14"/>
                <w:szCs w:val="14"/>
                <w:color w:val="auto"/>
              </w:rPr>
              <w:t>CI (IHS) Investment Holdings, LLC</w:t>
            </w:r>
            <w:r>
              <w:rPr>
                <w:rFonts w:ascii="Arial" w:cs="Arial" w:eastAsia="Arial" w:hAnsi="Arial"/>
                <w:sz w:val="12"/>
                <w:szCs w:val="12"/>
                <w:color w:val="auto"/>
              </w:rPr>
              <w:t>(9)</w:t>
            </w:r>
          </w:p>
        </w:tc>
        <w:tc>
          <w:tcPr>
            <w:tcW w:w="86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2"/>
              </w:rPr>
              <w:t>Healthcare, Education</w:t>
            </w:r>
          </w:p>
        </w:tc>
        <w:tc>
          <w:tcPr>
            <w:tcW w:w="7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rPr>
              <w:t>11,708</w:t>
            </w:r>
          </w:p>
        </w:tc>
        <w:tc>
          <w:tcPr>
            <w:tcW w:w="280" w:type="dxa"/>
            <w:vAlign w:val="bottom"/>
          </w:tcPr>
          <w:p>
            <w:pPr>
              <w:spacing w:after="0"/>
              <w:rPr>
                <w:sz w:val="11"/>
                <w:szCs w:val="11"/>
                <w:color w:val="auto"/>
              </w:rPr>
            </w:pP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117,346</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269,629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and Childcare</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 (Convergint Technologies</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Electronics</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2,375</w:t>
            </w:r>
          </w:p>
        </w:tc>
        <w:tc>
          <w:tcPr>
            <w:tcW w:w="116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686,666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LLC)</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tcPr>
          <w:p>
            <w:pPr>
              <w:spacing w:after="0" w:line="130" w:lineRule="exact"/>
              <w:rPr>
                <w:sz w:val="20"/>
                <w:szCs w:val="20"/>
                <w:color w:val="auto"/>
              </w:rPr>
            </w:pPr>
            <w:r>
              <w:rPr>
                <w:rFonts w:ascii="Arial" w:cs="Arial" w:eastAsia="Arial" w:hAnsi="Arial"/>
                <w:sz w:val="14"/>
                <w:szCs w:val="14"/>
                <w:color w:val="auto"/>
              </w:rPr>
              <w:t>CT Technologies Holdings, LLC</w:t>
            </w:r>
          </w:p>
        </w:tc>
        <w:tc>
          <w:tcPr>
            <w:tcW w:w="86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0"/>
              </w:rPr>
              <w:t>Business Services</w:t>
            </w:r>
          </w:p>
        </w:tc>
        <w:tc>
          <w:tcPr>
            <w:tcW w:w="7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5,556</w:t>
            </w: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545,887</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4,210,946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gridSpan w:val="2"/>
          </w:tcPr>
          <w:p>
            <w:pPr>
              <w:ind w:left="140"/>
              <w:spacing w:after="0"/>
              <w:rPr>
                <w:sz w:val="20"/>
                <w:szCs w:val="20"/>
                <w:color w:val="auto"/>
              </w:rPr>
            </w:pPr>
            <w:r>
              <w:rPr>
                <w:rFonts w:ascii="Arial" w:cs="Arial" w:eastAsia="Arial" w:hAnsi="Arial"/>
                <w:sz w:val="14"/>
                <w:szCs w:val="14"/>
                <w:color w:val="auto"/>
              </w:rPr>
              <w:t>(CT Technologies Intermediate Holdings, Inc.)</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 Cosmetics US, Inc.</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Consumer Products</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252</w:t>
            </w:r>
          </w:p>
        </w:tc>
        <w:tc>
          <w:tcPr>
            <w:tcW w:w="2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2,516</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204,342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(J.A. Cosmetics Holdings, Inc.)</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tcPr>
          <w:p>
            <w:pPr>
              <w:spacing w:after="0" w:line="130" w:lineRule="exact"/>
              <w:rPr>
                <w:sz w:val="20"/>
                <w:szCs w:val="20"/>
                <w:color w:val="auto"/>
              </w:rPr>
            </w:pPr>
            <w:r>
              <w:rPr>
                <w:rFonts w:ascii="Arial" w:cs="Arial" w:eastAsia="Arial" w:hAnsi="Arial"/>
                <w:sz w:val="14"/>
                <w:szCs w:val="14"/>
                <w:color w:val="auto"/>
              </w:rPr>
              <w:t>Kadmon Holdings, LLC, Class A</w:t>
            </w:r>
          </w:p>
        </w:tc>
        <w:tc>
          <w:tcPr>
            <w:tcW w:w="86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2"/>
              </w:rPr>
              <w:t>Healthcare, Education</w:t>
            </w:r>
          </w:p>
        </w:tc>
        <w:tc>
          <w:tcPr>
            <w:tcW w:w="7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w w:val="96"/>
              </w:rPr>
              <w:t>1,079,920</w:t>
            </w:r>
          </w:p>
        </w:tc>
        <w:tc>
          <w:tcPr>
            <w:tcW w:w="280" w:type="dxa"/>
            <w:vAlign w:val="bottom"/>
          </w:tcPr>
          <w:p>
            <w:pPr>
              <w:spacing w:after="0"/>
              <w:rPr>
                <w:sz w:val="11"/>
                <w:szCs w:val="11"/>
                <w:color w:val="auto"/>
              </w:rPr>
            </w:pP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1,236,832</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10,056,948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and Childcare</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Kadmon Holdings, LLC, Class D</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Healthcare, Education</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1,079,920</w:t>
            </w:r>
          </w:p>
        </w:tc>
        <w:tc>
          <w:tcPr>
            <w:tcW w:w="2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1,028,807</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2"/>
              </w:rPr>
              <w:t>and Childcare</w:t>
            </w: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tcPr>
          <w:p>
            <w:pPr>
              <w:spacing w:after="0" w:line="130" w:lineRule="exact"/>
              <w:rPr>
                <w:sz w:val="20"/>
                <w:szCs w:val="20"/>
                <w:color w:val="auto"/>
              </w:rPr>
            </w:pPr>
            <w:r>
              <w:rPr>
                <w:rFonts w:ascii="Arial" w:cs="Arial" w:eastAsia="Arial" w:hAnsi="Arial"/>
                <w:sz w:val="14"/>
                <w:szCs w:val="14"/>
                <w:color w:val="auto"/>
              </w:rPr>
              <w:t>Lariat ecoserv Co-Invest Holdings, LLC</w:t>
            </w:r>
          </w:p>
        </w:tc>
        <w:tc>
          <w:tcPr>
            <w:tcW w:w="86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Environmental</w:t>
            </w:r>
          </w:p>
        </w:tc>
        <w:tc>
          <w:tcPr>
            <w:tcW w:w="7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w w:val="96"/>
              </w:rPr>
              <w:t>1,000,000</w:t>
            </w:r>
          </w:p>
        </w:tc>
        <w:tc>
          <w:tcPr>
            <w:tcW w:w="280" w:type="dxa"/>
            <w:vAlign w:val="bottom"/>
          </w:tcPr>
          <w:p>
            <w:pPr>
              <w:spacing w:after="0"/>
              <w:rPr>
                <w:sz w:val="11"/>
                <w:szCs w:val="11"/>
                <w:color w:val="auto"/>
              </w:rPr>
            </w:pP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1,000,000</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Services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Magnum Hunter Resources Corporation (Warrants)</w:t>
            </w:r>
          </w:p>
        </w:tc>
        <w:tc>
          <w:tcPr>
            <w:tcW w:w="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04/16/2016</w:t>
            </w: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Oil and Gas</w:t>
            </w:r>
          </w:p>
        </w:tc>
        <w:tc>
          <w:tcPr>
            <w:tcW w:w="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122,192</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182,498</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277,379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MidOcean JF Holdings Corp. (JF Acquisitions, LLC)</w:t>
            </w:r>
          </w:p>
        </w:tc>
        <w:tc>
          <w:tcPr>
            <w:tcW w:w="8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Distribution</w:t>
            </w:r>
          </w:p>
        </w:tc>
        <w:tc>
          <w:tcPr>
            <w:tcW w:w="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1,850</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1,850,294</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881,603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PPL Holdings, Corp.</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1"/>
              </w:rPr>
              <w:t>Personal, Food and</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3,000</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3,000,000</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5,997,138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(Pre-Paid Legal Services, Inc.)</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Miscellaneous</w:t>
            </w: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9"/>
              </w:rPr>
              <w:t>Services</w:t>
            </w: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New Gulf Resources, LLC (Warrants)</w:t>
            </w:r>
          </w:p>
        </w:tc>
        <w:tc>
          <w:tcPr>
            <w:tcW w:w="680" w:type="dxa"/>
            <w:vAlign w:val="bottom"/>
          </w:tcPr>
          <w:p>
            <w:pPr>
              <w:spacing w:after="0" w:line="149" w:lineRule="exact"/>
              <w:rPr>
                <w:sz w:val="20"/>
                <w:szCs w:val="20"/>
                <w:color w:val="auto"/>
              </w:rPr>
            </w:pPr>
            <w:r>
              <w:rPr>
                <w:rFonts w:ascii="Arial" w:cs="Arial" w:eastAsia="Arial" w:hAnsi="Arial"/>
                <w:sz w:val="14"/>
                <w:szCs w:val="14"/>
                <w:color w:val="auto"/>
                <w:w w:val="94"/>
              </w:rPr>
              <w:t>05/09/2024</w:t>
            </w:r>
          </w:p>
        </w:tc>
        <w:tc>
          <w:tcPr>
            <w:tcW w:w="18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Oil and Gas</w:t>
            </w:r>
          </w:p>
        </w:tc>
        <w:tc>
          <w:tcPr>
            <w:tcW w:w="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13,500</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495,000</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1,687,355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Old Guard Risk Services, Inc. (Warrants)</w:t>
            </w:r>
          </w:p>
        </w:tc>
        <w:tc>
          <w:tcPr>
            <w:tcW w:w="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11/27/2023</w:t>
            </w: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Insurance</w:t>
            </w:r>
          </w:p>
        </w:tc>
        <w:tc>
          <w:tcPr>
            <w:tcW w:w="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35,490</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495,086</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876,364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tcPr>
          <w:p>
            <w:pPr>
              <w:spacing w:after="0" w:line="130" w:lineRule="exact"/>
              <w:rPr>
                <w:sz w:val="20"/>
                <w:szCs w:val="20"/>
                <w:color w:val="auto"/>
              </w:rPr>
            </w:pPr>
            <w:r>
              <w:rPr>
                <w:rFonts w:ascii="Arial" w:cs="Arial" w:eastAsia="Arial" w:hAnsi="Arial"/>
                <w:sz w:val="14"/>
                <w:szCs w:val="14"/>
                <w:color w:val="auto"/>
              </w:rPr>
              <w:t>Paradigm Acquisition Corp.</w:t>
            </w:r>
          </w:p>
        </w:tc>
        <w:tc>
          <w:tcPr>
            <w:tcW w:w="86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2"/>
              </w:rPr>
              <w:t>Healthcare, Education</w:t>
            </w:r>
          </w:p>
        </w:tc>
        <w:tc>
          <w:tcPr>
            <w:tcW w:w="7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20,000</w:t>
            </w: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1,171,851</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2,817,200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and Childcare</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Power Products Holdings, LLC, Class A Units</w:t>
            </w:r>
            <w:r>
              <w:rPr>
                <w:rFonts w:ascii="Arial" w:cs="Arial" w:eastAsia="Arial" w:hAnsi="Arial"/>
                <w:sz w:val="12"/>
                <w:szCs w:val="12"/>
                <w:color w:val="auto"/>
              </w:rPr>
              <w:t>(11)</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Electronics</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1,350,000</w:t>
            </w:r>
          </w:p>
        </w:tc>
        <w:tc>
          <w:tcPr>
            <w:tcW w:w="2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1,350,000</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1,289,705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(Power Products, LLC)</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tcPr>
          <w:p>
            <w:pPr>
              <w:spacing w:after="0" w:line="130" w:lineRule="exact"/>
              <w:rPr>
                <w:sz w:val="20"/>
                <w:szCs w:val="20"/>
                <w:color w:val="auto"/>
              </w:rPr>
            </w:pPr>
            <w:r>
              <w:rPr>
                <w:rFonts w:ascii="Arial" w:cs="Arial" w:eastAsia="Arial" w:hAnsi="Arial"/>
                <w:sz w:val="14"/>
                <w:szCs w:val="14"/>
                <w:color w:val="auto"/>
              </w:rPr>
              <w:t>Power Products Holdings, LLC, Class B Units</w:t>
            </w:r>
            <w:r>
              <w:rPr>
                <w:rFonts w:ascii="Arial" w:cs="Arial" w:eastAsia="Arial" w:hAnsi="Arial"/>
                <w:sz w:val="12"/>
                <w:szCs w:val="12"/>
                <w:color w:val="auto"/>
              </w:rPr>
              <w:t>(11)</w:t>
            </w:r>
          </w:p>
        </w:tc>
        <w:tc>
          <w:tcPr>
            <w:tcW w:w="86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Electronics</w:t>
            </w:r>
          </w:p>
        </w:tc>
        <w:tc>
          <w:tcPr>
            <w:tcW w:w="7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150,000</w:t>
            </w: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150,000</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143,301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gridSpan w:val="2"/>
          </w:tcPr>
          <w:p>
            <w:pPr>
              <w:ind w:left="140"/>
              <w:spacing w:after="0"/>
              <w:rPr>
                <w:sz w:val="20"/>
                <w:szCs w:val="20"/>
                <w:color w:val="auto"/>
              </w:rPr>
            </w:pPr>
            <w:r>
              <w:rPr>
                <w:rFonts w:ascii="Arial" w:cs="Arial" w:eastAsia="Arial" w:hAnsi="Arial"/>
                <w:sz w:val="14"/>
                <w:szCs w:val="14"/>
                <w:color w:val="auto"/>
              </w:rPr>
              <w:t>(Power Products, LLC)</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QMG HoldCo, LLC, Class A</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Other Media</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4,325</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1,306,167</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2,743,823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(Questex Media Group, LLC)</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tcPr>
          <w:p>
            <w:pPr>
              <w:spacing w:after="0" w:line="130" w:lineRule="exact"/>
              <w:rPr>
                <w:sz w:val="20"/>
                <w:szCs w:val="20"/>
                <w:color w:val="auto"/>
              </w:rPr>
            </w:pPr>
            <w:r>
              <w:rPr>
                <w:rFonts w:ascii="Arial" w:cs="Arial" w:eastAsia="Arial" w:hAnsi="Arial"/>
                <w:sz w:val="14"/>
                <w:szCs w:val="14"/>
                <w:color w:val="auto"/>
              </w:rPr>
              <w:t>QMG HoldCo, LLC, Class B</w:t>
            </w:r>
          </w:p>
        </w:tc>
        <w:tc>
          <w:tcPr>
            <w:tcW w:w="86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Other Media</w:t>
            </w:r>
          </w:p>
        </w:tc>
        <w:tc>
          <w:tcPr>
            <w:tcW w:w="7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rPr>
              <w:t>531</w:t>
            </w:r>
          </w:p>
        </w:tc>
        <w:tc>
          <w:tcPr>
            <w:tcW w:w="280" w:type="dxa"/>
            <w:vAlign w:val="bottom"/>
          </w:tcPr>
          <w:p>
            <w:pPr>
              <w:spacing w:after="0"/>
              <w:rPr>
                <w:sz w:val="11"/>
                <w:szCs w:val="11"/>
                <w:color w:val="auto"/>
              </w:rPr>
            </w:pPr>
          </w:p>
        </w:tc>
        <w:tc>
          <w:tcPr>
            <w:tcW w:w="1160" w:type="dxa"/>
            <w:vAlign w:val="bottom"/>
            <w:gridSpan w:val="2"/>
          </w:tcPr>
          <w:p>
            <w:pPr>
              <w:ind w:left="6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336,872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gridSpan w:val="2"/>
          </w:tcPr>
          <w:p>
            <w:pPr>
              <w:ind w:left="140"/>
              <w:spacing w:after="0"/>
              <w:rPr>
                <w:sz w:val="20"/>
                <w:szCs w:val="20"/>
                <w:color w:val="auto"/>
              </w:rPr>
            </w:pPr>
            <w:r>
              <w:rPr>
                <w:rFonts w:ascii="Arial" w:cs="Arial" w:eastAsia="Arial" w:hAnsi="Arial"/>
                <w:sz w:val="14"/>
                <w:szCs w:val="14"/>
                <w:color w:val="auto"/>
              </w:rPr>
              <w:t>(Questex Media Group, LLC)</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Red Point, LLC (f/k/a Hanley-Wood Holdings, LLC)</w:t>
            </w:r>
          </w:p>
        </w:tc>
        <w:tc>
          <w:tcPr>
            <w:tcW w:w="8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Other Media</w:t>
            </w:r>
          </w:p>
        </w:tc>
        <w:tc>
          <w:tcPr>
            <w:tcW w:w="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388,378</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1,629,791</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3,810,570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tcPr>
          <w:p>
            <w:pPr>
              <w:spacing w:after="0" w:line="130" w:lineRule="exact"/>
              <w:rPr>
                <w:sz w:val="20"/>
                <w:szCs w:val="20"/>
                <w:color w:val="auto"/>
              </w:rPr>
            </w:pPr>
            <w:r>
              <w:rPr>
                <w:rFonts w:ascii="Arial" w:cs="Arial" w:eastAsia="Arial" w:hAnsi="Arial"/>
                <w:sz w:val="14"/>
                <w:szCs w:val="14"/>
                <w:color w:val="auto"/>
              </w:rPr>
              <w:t>Ride Holdings, Inc. (f/k/a VRide Holdings, Inc.)</w:t>
            </w:r>
          </w:p>
        </w:tc>
        <w:tc>
          <w:tcPr>
            <w:tcW w:w="86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0"/>
              </w:rPr>
              <w:t>Personal</w:t>
            </w:r>
          </w:p>
        </w:tc>
        <w:tc>
          <w:tcPr>
            <w:tcW w:w="7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9,882</w:t>
            </w: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11,314</w:t>
            </w:r>
          </w:p>
        </w:tc>
        <w:tc>
          <w:tcPr>
            <w:tcW w:w="9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Transportation</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SPG Boyd Holdings Corp.</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Chemical, Plastic and</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3,000</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2,419,203</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8,115,035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1"/>
              </w:rPr>
              <w:t>Rubber</w:t>
            </w: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680" w:type="dxa"/>
            <w:vAlign w:val="bottom"/>
          </w:tcPr>
          <w:p>
            <w:pPr>
              <w:spacing w:after="0" w:line="149" w:lineRule="exact"/>
              <w:rPr>
                <w:sz w:val="20"/>
                <w:szCs w:val="20"/>
                <w:color w:val="auto"/>
              </w:rPr>
            </w:pPr>
            <w:r>
              <w:rPr>
                <w:rFonts w:ascii="Arial" w:cs="Arial" w:eastAsia="Arial" w:hAnsi="Arial"/>
                <w:sz w:val="14"/>
                <w:szCs w:val="14"/>
                <w:color w:val="auto"/>
                <w:w w:val="94"/>
              </w:rPr>
              <w:t>12/29/2019</w:t>
            </w:r>
          </w:p>
        </w:tc>
        <w:tc>
          <w:tcPr>
            <w:tcW w:w="18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Business Services</w:t>
            </w:r>
          </w:p>
        </w:tc>
        <w:tc>
          <w:tcPr>
            <w:tcW w:w="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3,500</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29,400</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660,380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Transportation 100 Holdco, L.L.C.</w:t>
            </w:r>
            <w:r>
              <w:rPr>
                <w:rFonts w:ascii="Arial" w:cs="Arial" w:eastAsia="Arial" w:hAnsi="Arial"/>
                <w:sz w:val="12"/>
                <w:szCs w:val="12"/>
                <w:color w:val="auto"/>
              </w:rPr>
              <w:t>(11)</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Cargo Transport</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137,923</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2,111,588</w:t>
            </w:r>
          </w:p>
        </w:tc>
        <w:tc>
          <w:tcPr>
            <w:tcW w:w="9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(Intermediate Transportation 100, L.L.C.)</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w:t>
            </w:r>
          </w:p>
        </w:tc>
        <w:tc>
          <w:tcPr>
            <w:tcW w:w="8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Insurance</w:t>
            </w:r>
          </w:p>
        </w:tc>
        <w:tc>
          <w:tcPr>
            <w:tcW w:w="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9,567</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486,865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Vestcom Parent Holdings, Inc. (Vestcom International, Inc.)</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Printing and</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211,797</w:t>
            </w:r>
          </w:p>
        </w:tc>
        <w:tc>
          <w:tcPr>
            <w:tcW w:w="2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2,325,555</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5,878,900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5"/>
              </w:rPr>
              <w:t>Publishing</w:t>
            </w: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w:t>
            </w:r>
          </w:p>
        </w:tc>
        <w:tc>
          <w:tcPr>
            <w:tcW w:w="8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Business Services</w:t>
            </w:r>
          </w:p>
        </w:tc>
        <w:tc>
          <w:tcPr>
            <w:tcW w:w="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35,526</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4,050,000</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4,897,658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 Wireless Holdings, Inc. (Warrants)</w:t>
            </w:r>
          </w:p>
        </w:tc>
        <w:tc>
          <w:tcPr>
            <w:tcW w:w="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10/21/2021</w:t>
            </w: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Retail</w:t>
            </w:r>
          </w:p>
        </w:tc>
        <w:tc>
          <w:tcPr>
            <w:tcW w:w="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1,736</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168,799</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236,890</w:t>
            </w:r>
          </w:p>
        </w:tc>
        <w:tc>
          <w:tcPr>
            <w:tcW w:w="0" w:type="dxa"/>
            <w:vAlign w:val="bottom"/>
          </w:tcPr>
          <w:p>
            <w:pPr>
              <w:spacing w:after="0"/>
              <w:rPr>
                <w:sz w:val="1"/>
                <w:szCs w:val="1"/>
                <w:color w:val="auto"/>
              </w:rPr>
            </w:pPr>
          </w:p>
        </w:tc>
      </w:tr>
      <w:tr>
        <w:trPr>
          <w:trHeight w:val="163"/>
        </w:trPr>
        <w:tc>
          <w:tcPr>
            <w:tcW w:w="43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Equity/Partnership Interests/Warrants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47,656,091</w:t>
            </w:r>
          </w:p>
        </w:tc>
        <w:tc>
          <w:tcPr>
            <w:tcW w:w="2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79,319,919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1,028,125,032</w:t>
            </w:r>
          </w:p>
        </w:tc>
        <w:tc>
          <w:tcPr>
            <w:tcW w:w="28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1,089,476,729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Basis Point</w:t>
            </w: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Spread</w:t>
            </w: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60" w:type="dxa"/>
            <w:vAlign w:val="bottom"/>
            <w:gridSpan w:val="2"/>
            <w:vMerge w:val="continue"/>
          </w:tcPr>
          <w:p>
            <w:pPr>
              <w:spacing w:after="0"/>
              <w:rPr>
                <w:sz w:val="12"/>
                <w:szCs w:val="12"/>
                <w:color w:val="auto"/>
              </w:rPr>
            </w:pPr>
          </w:p>
        </w:tc>
        <w:tc>
          <w:tcPr>
            <w:tcW w:w="15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Industry</w:t>
            </w:r>
          </w:p>
        </w:tc>
        <w:tc>
          <w:tcPr>
            <w:tcW w:w="118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Above</w:t>
            </w: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0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620" w:type="dxa"/>
            <w:vAlign w:val="bottom"/>
            <w:gridSpan w:val="3"/>
            <w:vMerge w:val="continue"/>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Expiration</w:t>
            </w:r>
          </w:p>
        </w:tc>
        <w:tc>
          <w:tcPr>
            <w:tcW w:w="1580" w:type="dxa"/>
            <w:vAlign w:val="bottom"/>
            <w:gridSpan w:val="2"/>
            <w:vMerge w:val="continue"/>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Index</w:t>
            </w:r>
            <w:r>
              <w:rPr>
                <w:rFonts w:ascii="Arial" w:cs="Arial" w:eastAsia="Arial" w:hAnsi="Arial"/>
                <w:sz w:val="12"/>
                <w:szCs w:val="12"/>
                <w:b w:val="1"/>
                <w:bCs w:val="1"/>
                <w:color w:val="auto"/>
                <w:w w:val="93"/>
              </w:rPr>
              <w:t>(4)</w:t>
            </w: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508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 Non-Controlled, Affiliated Portfolio Companies—9.5%</w:t>
            </w:r>
            <w:r>
              <w:rPr>
                <w:rFonts w:ascii="Arial" w:cs="Arial" w:eastAsia="Arial" w:hAnsi="Arial"/>
                <w:sz w:val="12"/>
                <w:szCs w:val="12"/>
                <w:b w:val="1"/>
                <w:bCs w:val="1"/>
                <w:color w:val="auto"/>
              </w:rPr>
              <w:t>(1),(2)</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Second Lien Secured Debt—1.2%</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Real Property Holdings, Inc.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12/26/2017</w:t>
            </w:r>
          </w:p>
        </w:tc>
        <w:tc>
          <w:tcPr>
            <w:tcW w:w="1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Environmental Services</w:t>
            </w: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9.00%</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L+800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9,409,740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9,154,475</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9,127,448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Notes—5.2%</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DirectBuy Holdings, Inc.</w:t>
            </w:r>
          </w:p>
        </w:tc>
        <w:tc>
          <w:tcPr>
            <w:tcW w:w="6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11/05/2019</w:t>
            </w:r>
          </w:p>
        </w:tc>
        <w:tc>
          <w:tcPr>
            <w:tcW w:w="18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12.00%</w:t>
            </w:r>
          </w:p>
        </w:tc>
        <w:tc>
          <w:tcPr>
            <w:tcW w:w="9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4"/>
              </w:rPr>
              <w:t>11,293,336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11,293,337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11,293,336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(PIK 12.00%)</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10/02/2017</w:t>
            </w:r>
          </w:p>
        </w:tc>
        <w:tc>
          <w:tcPr>
            <w:tcW w:w="180" w:type="dxa"/>
            <w:vAlign w:val="bottom"/>
          </w:tcPr>
          <w:p>
            <w:pPr>
              <w:spacing w:after="0"/>
              <w:rPr>
                <w:sz w:val="13"/>
                <w:szCs w:val="13"/>
                <w:color w:val="auto"/>
              </w:rPr>
            </w:pP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Auto Sector</w:t>
            </w: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12.50%</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4"/>
              </w:rPr>
              <w:t>28,000,000</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27,553,644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28,280,000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38,846,981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39,573,336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Preferred Equity—0.1%</w:t>
            </w:r>
            <w:r>
              <w:rPr>
                <w:rFonts w:ascii="Arial" w:cs="Arial" w:eastAsia="Arial" w:hAnsi="Arial"/>
                <w:sz w:val="12"/>
                <w:szCs w:val="12"/>
                <w:b w:val="1"/>
                <w:bCs w:val="1"/>
                <w:color w:val="auto"/>
              </w:rPr>
              <w:t>(6)</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8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Aerospace and Defense</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53,071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20,059,340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806,679</w:t>
            </w:r>
          </w:p>
        </w:tc>
        <w:tc>
          <w:tcPr>
            <w:tcW w:w="0" w:type="dxa"/>
            <w:vAlign w:val="bottom"/>
          </w:tcPr>
          <w:p>
            <w:pPr>
              <w:spacing w:after="0"/>
              <w:rPr>
                <w:sz w:val="1"/>
                <w:szCs w:val="1"/>
                <w:color w:val="auto"/>
              </w:rPr>
            </w:pPr>
          </w:p>
        </w:tc>
      </w:tr>
      <w:tr>
        <w:trPr>
          <w:trHeight w:val="156"/>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7"/>
              </w:rPr>
              <w:t>Common Equity/Partnership Interest/Warrants—3.0%</w:t>
            </w:r>
            <w:r>
              <w:rPr>
                <w:rFonts w:ascii="Arial" w:cs="Arial" w:eastAsia="Arial" w:hAnsi="Arial"/>
                <w:sz w:val="12"/>
                <w:szCs w:val="12"/>
                <w:b w:val="1"/>
                <w:bCs w:val="1"/>
                <w:color w:val="auto"/>
                <w:w w:val="97"/>
              </w:rPr>
              <w:t>(6)</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p>
        </w:tc>
        <w:tc>
          <w:tcPr>
            <w:tcW w:w="8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104,719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21,492,822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1,275,305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 (Warrants)</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11/05/2022</w:t>
            </w:r>
          </w:p>
        </w:tc>
        <w:tc>
          <w:tcPr>
            <w:tcW w:w="180" w:type="dxa"/>
            <w:vAlign w:val="bottom"/>
          </w:tcPr>
          <w:p>
            <w:pPr>
              <w:spacing w:after="0"/>
              <w:rPr>
                <w:sz w:val="12"/>
                <w:szCs w:val="12"/>
                <w:color w:val="auto"/>
              </w:rPr>
            </w:pP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15,486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188,439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EnviroSolutions Holdings, Inc.</w:t>
            </w:r>
          </w:p>
        </w:tc>
        <w:tc>
          <w:tcPr>
            <w:tcW w:w="86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Environmental Services</w:t>
            </w:r>
          </w:p>
        </w:tc>
        <w:tc>
          <w:tcPr>
            <w:tcW w:w="1180" w:type="dxa"/>
            <w:vAlign w:val="bottom"/>
            <w:gridSpan w:val="2"/>
            <w:shd w:val="clear" w:color="auto" w:fill="CCEEFF"/>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143,668</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11,960,702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15,435,690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(EnviroSolutions Real Property Holdings, Inc.)</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tcPr>
          <w:p>
            <w:pPr>
              <w:spacing w:after="0" w:line="130" w:lineRule="exact"/>
              <w:rPr>
                <w:sz w:val="20"/>
                <w:szCs w:val="20"/>
                <w:color w:val="auto"/>
              </w:rPr>
            </w:pPr>
            <w:r>
              <w:rPr>
                <w:rFonts w:ascii="Arial" w:cs="Arial" w:eastAsia="Arial" w:hAnsi="Arial"/>
                <w:sz w:val="14"/>
                <w:szCs w:val="14"/>
                <w:color w:val="auto"/>
              </w:rPr>
              <w:t>NCP-Performance, L.P.</w:t>
            </w:r>
          </w:p>
        </w:tc>
        <w:tc>
          <w:tcPr>
            <w:tcW w:w="86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Leisure, Amusement,</w:t>
            </w:r>
          </w:p>
        </w:tc>
        <w:tc>
          <w:tcPr>
            <w:tcW w:w="1180" w:type="dxa"/>
            <w:vAlign w:val="bottom"/>
            <w:gridSpan w:val="2"/>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375,000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3,750,000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157,518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Motion Pictures and</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Entertainment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New Service Champ Holdings, Inc.</w:t>
            </w:r>
          </w:p>
        </w:tc>
        <w:tc>
          <w:tcPr>
            <w:tcW w:w="86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5"/>
              </w:rPr>
              <w:t>Auto Sector</w:t>
            </w:r>
          </w:p>
        </w:tc>
        <w:tc>
          <w:tcPr>
            <w:tcW w:w="1180" w:type="dxa"/>
            <w:vAlign w:val="bottom"/>
            <w:gridSpan w:val="2"/>
            <w:shd w:val="clear" w:color="auto" w:fill="CCEEFF"/>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16,800</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2,721,600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5,375,320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 Champ, Inc.)</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Aerospace and Defense</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53,071</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202,620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Interest/Warrants</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40,127,744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22,432,272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48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w w:val="99"/>
              </w:rPr>
              <w:t>Total Investments in Non-Controlled, Affiliated Portfolio Companies</w:t>
            </w: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108,188,540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71,939,735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6"/>
              </w:rPr>
              <w:t>Investments in Controlled, Affiliated Portfolio Companies—5.0%</w:t>
            </w:r>
            <w:r>
              <w:rPr>
                <w:rFonts w:ascii="Arial" w:cs="Arial" w:eastAsia="Arial" w:hAnsi="Arial"/>
                <w:sz w:val="12"/>
                <w:szCs w:val="12"/>
                <w:b w:val="1"/>
                <w:bCs w:val="1"/>
                <w:color w:val="auto"/>
                <w:w w:val="96"/>
              </w:rPr>
              <w:t>(1),(2)</w:t>
            </w: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Debt—4.1%</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Superior Digital Displays, LLC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12/31/2018</w:t>
            </w:r>
          </w:p>
        </w:tc>
        <w:tc>
          <w:tcPr>
            <w:tcW w:w="1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Media</w:t>
            </w: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13.50%</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L+1,250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19,250,000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17,236,708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16,461,023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Superior Digital Displays, LLC</w:t>
            </w:r>
            <w:r>
              <w:rPr>
                <w:rFonts w:ascii="Arial" w:cs="Arial" w:eastAsia="Arial" w:hAnsi="Arial"/>
                <w:sz w:val="12"/>
                <w:szCs w:val="12"/>
                <w:color w:val="auto"/>
              </w:rPr>
              <w:t>(9)</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12/31/2018</w:t>
            </w:r>
          </w:p>
        </w:tc>
        <w:tc>
          <w:tcPr>
            <w:tcW w:w="180" w:type="dxa"/>
            <w:vAlign w:val="bottom"/>
          </w:tcPr>
          <w:p>
            <w:pPr>
              <w:spacing w:after="0"/>
              <w:rPr>
                <w:sz w:val="12"/>
                <w:szCs w:val="12"/>
                <w:color w:val="auto"/>
              </w:rPr>
            </w:pPr>
          </w:p>
        </w:tc>
        <w:tc>
          <w:tcPr>
            <w:tcW w:w="15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Media</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5,750,000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5,159,437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4,916,929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06/30/2020</w:t>
            </w:r>
          </w:p>
        </w:tc>
        <w:tc>
          <w:tcPr>
            <w:tcW w:w="1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9,250,000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9,250,000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9,534,077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31,646,145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30,912,029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6/30/2020</w:t>
            </w:r>
          </w:p>
        </w:tc>
        <w:tc>
          <w:tcPr>
            <w:tcW w:w="180" w:type="dxa"/>
            <w:vAlign w:val="bottom"/>
          </w:tcPr>
          <w:p>
            <w:pPr>
              <w:spacing w:after="0"/>
              <w:rPr>
                <w:sz w:val="13"/>
                <w:szCs w:val="13"/>
                <w:color w:val="auto"/>
              </w:rPr>
            </w:pPr>
          </w:p>
        </w:tc>
        <w:tc>
          <w:tcPr>
            <w:tcW w:w="15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2,250,000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2,250,000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1,979,975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Equity—0.3%</w:t>
            </w:r>
            <w:r>
              <w:rPr>
                <w:rFonts w:ascii="Arial" w:cs="Arial" w:eastAsia="Arial" w:hAnsi="Arial"/>
                <w:sz w:val="12"/>
                <w:szCs w:val="12"/>
                <w:b w:val="1"/>
                <w:bCs w:val="1"/>
                <w:color w:val="auto"/>
              </w:rPr>
              <w:t>(6)</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14.00%</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2,000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1,985,947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Common Equity—0.3%</w:t>
            </w:r>
            <w:r>
              <w:rPr>
                <w:rFonts w:ascii="Arial" w:cs="Arial" w:eastAsia="Arial" w:hAnsi="Arial"/>
                <w:sz w:val="12"/>
                <w:szCs w:val="12"/>
                <w:b w:val="1"/>
                <w:bCs w:val="1"/>
                <w:color w:val="auto"/>
              </w:rPr>
              <w:t>(6)</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tcPr>
          <w:p>
            <w:pPr>
              <w:spacing w:after="0" w:line="130" w:lineRule="exact"/>
              <w:rPr>
                <w:sz w:val="20"/>
                <w:szCs w:val="20"/>
                <w:color w:val="auto"/>
              </w:rPr>
            </w:pPr>
            <w:r>
              <w:rPr>
                <w:rFonts w:ascii="Arial" w:cs="Arial" w:eastAsia="Arial" w:hAnsi="Arial"/>
                <w:sz w:val="14"/>
                <w:szCs w:val="14"/>
                <w:color w:val="auto"/>
              </w:rPr>
              <w:t>Superior Digital Displays Holdings, Inc.</w:t>
            </w:r>
          </w:p>
        </w:tc>
        <w:tc>
          <w:tcPr>
            <w:tcW w:w="86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4"/>
              </w:rPr>
              <w:t>Media</w:t>
            </w:r>
          </w:p>
        </w:tc>
        <w:tc>
          <w:tcPr>
            <w:tcW w:w="1180" w:type="dxa"/>
            <w:vAlign w:val="bottom"/>
            <w:gridSpan w:val="2"/>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4,750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2,211,000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2,113,140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gridSpan w:val="2"/>
          </w:tcPr>
          <w:p>
            <w:pPr>
              <w:ind w:left="140"/>
              <w:spacing w:after="0"/>
              <w:rPr>
                <w:sz w:val="20"/>
                <w:szCs w:val="20"/>
                <w:color w:val="auto"/>
              </w:rPr>
            </w:pPr>
            <w:r>
              <w:rPr>
                <w:rFonts w:ascii="Arial" w:cs="Arial" w:eastAsia="Arial" w:hAnsi="Arial"/>
                <w:sz w:val="14"/>
                <w:szCs w:val="14"/>
                <w:color w:val="auto"/>
              </w:rPr>
              <w:t>(Superior Digital Displays, LLC)</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2,211,100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2,113,140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Controlled, Affiliated Portfolio Companies</w:t>
            </w: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38,107,245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36,991,091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Investments—158.8%</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1,174,420,817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1,198,407,555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Equivalents—8.6%</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tcPr>
          <w:p>
            <w:pPr>
              <w:spacing w:after="0" w:line="130" w:lineRule="exact"/>
              <w:rPr>
                <w:sz w:val="20"/>
                <w:szCs w:val="20"/>
                <w:color w:val="auto"/>
              </w:rPr>
            </w:pPr>
            <w:r>
              <w:rPr>
                <w:rFonts w:ascii="Arial" w:cs="Arial" w:eastAsia="Arial" w:hAnsi="Arial"/>
                <w:sz w:val="14"/>
                <w:szCs w:val="14"/>
                <w:color w:val="auto"/>
              </w:rPr>
              <w:t>BlackRock Liquidity Funds, Temp Cash, Institutional</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1,186,186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1,186,186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gridSpan w:val="2"/>
          </w:tcPr>
          <w:p>
            <w:pPr>
              <w:ind w:left="140"/>
              <w:spacing w:after="0"/>
              <w:rPr>
                <w:sz w:val="20"/>
                <w:szCs w:val="20"/>
                <w:color w:val="auto"/>
              </w:rPr>
            </w:pPr>
            <w:r>
              <w:rPr>
                <w:rFonts w:ascii="Arial" w:cs="Arial" w:eastAsia="Arial" w:hAnsi="Arial"/>
                <w:sz w:val="14"/>
                <w:szCs w:val="14"/>
                <w:color w:val="auto"/>
              </w:rPr>
              <w:t>Shares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BNY Mellon Cash Reserve and Cash</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63,163,423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63,204,601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Cash and Cash Equivalents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64,349,609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64,390,787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Equivalents—167.4%</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1,238,770,426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1,262,798,342</w:t>
            </w:r>
          </w:p>
        </w:tc>
        <w:tc>
          <w:tcPr>
            <w:tcW w:w="0" w:type="dxa"/>
            <w:vAlign w:val="bottom"/>
          </w:tcPr>
          <w:p>
            <w:pPr>
              <w:spacing w:after="0"/>
              <w:rPr>
                <w:sz w:val="1"/>
                <w:szCs w:val="1"/>
                <w:color w:val="auto"/>
              </w:rPr>
            </w:pPr>
          </w:p>
        </w:tc>
      </w:tr>
      <w:tr>
        <w:trPr>
          <w:trHeight w:val="20"/>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Assets—(67.4%)</w:t>
            </w: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w w:val="94"/>
              </w:rPr>
              <w:t>(508,325,549)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754,472,793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40" w:hanging="332"/>
        <w:spacing w:after="0" w:line="248" w:lineRule="auto"/>
        <w:tabs>
          <w:tab w:leader="none" w:pos="3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28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8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or “P” rate. The spread provided includes payment-in-kind, or PIK, interest and other fee rates, if any.</w:t>
      </w:r>
    </w:p>
    <w:p>
      <w:pPr>
        <w:ind w:left="340" w:right="32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34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ind w:left="340" w:right="20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or a revolving line of credit that is currently an unfunded investment. This security does not earn a basis point spread above an index while it is unfunded.</w:t>
      </w:r>
    </w:p>
    <w:p>
      <w:pPr>
        <w:ind w:left="34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Investment is held through a consolidated taxable subsidiary (See Note 1).</w:t>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Par amount is denominated in British Pound.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Current</w:t>
            </w: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Spread</w:t>
            </w: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Par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2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Industry</w:t>
            </w:r>
          </w:p>
        </w:tc>
        <w:tc>
          <w:tcPr>
            <w:tcW w:w="1060" w:type="dxa"/>
            <w:vAlign w:val="bottom"/>
            <w:gridSpan w:val="2"/>
            <w:vMerge w:val="continue"/>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Above</w:t>
            </w: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120" w:type="dxa"/>
            <w:vAlign w:val="bottom"/>
            <w:gridSpan w:val="3"/>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Coupon</w:t>
            </w: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(4)</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530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 Non-Controlled, Non-Affiliated Portfolio Companies—138.9%</w:t>
            </w:r>
            <w:r>
              <w:rPr>
                <w:rFonts w:ascii="Arial" w:cs="Arial" w:eastAsia="Arial" w:hAnsi="Arial"/>
                <w:sz w:val="12"/>
                <w:szCs w:val="12"/>
                <w:b w:val="1"/>
                <w:bCs w:val="1"/>
                <w:color w:val="auto"/>
              </w:rPr>
              <w:t>(1), (2)</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Debt—41.3%</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06/21/2017</w:t>
            </w:r>
          </w:p>
        </w:tc>
        <w:tc>
          <w:tcPr>
            <w:tcW w:w="21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Communications</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11.25%</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23,912,894</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23,012,057</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25,347,668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AKA Diversified Holdings, Inc.</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12/21/2016</w:t>
            </w:r>
          </w:p>
        </w:tc>
        <w:tc>
          <w:tcPr>
            <w:tcW w:w="21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rPr>
              <w:t>Retail</w:t>
            </w:r>
          </w:p>
        </w:tc>
        <w:tc>
          <w:tcPr>
            <w:tcW w:w="10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12.50%</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(PIK 1.50%)</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L+1,225</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14,550,084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14,310,552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14,694,828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CEVA Group PLC</w:t>
            </w:r>
            <w:r>
              <w:rPr>
                <w:rFonts w:ascii="Arial" w:cs="Arial" w:eastAsia="Arial" w:hAnsi="Arial"/>
                <w:sz w:val="12"/>
                <w:szCs w:val="12"/>
                <w:color w:val="auto"/>
              </w:rPr>
              <w:t>(5),(10)</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10/01/2016</w:t>
            </w:r>
          </w:p>
        </w:tc>
        <w:tc>
          <w:tcPr>
            <w:tcW w:w="21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Cargo Transport</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11.63%</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7,385,251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Columbus International, Inc.</w:t>
            </w:r>
            <w:r>
              <w:rPr>
                <w:rFonts w:ascii="Arial" w:cs="Arial" w:eastAsia="Arial" w:hAnsi="Arial"/>
                <w:sz w:val="12"/>
                <w:szCs w:val="12"/>
                <w:color w:val="auto"/>
              </w:rPr>
              <w:t>(5),(10)</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11/20/2014</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Communications</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Cydcor LLC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06/12/2017</w:t>
            </w:r>
          </w:p>
        </w:tc>
        <w:tc>
          <w:tcPr>
            <w:tcW w:w="21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9.75%</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L+725</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7,342,967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7,342,967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7,342,967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Good Sam Enterprises, LLC</w:t>
            </w:r>
            <w:r>
              <w:rPr>
                <w:rFonts w:ascii="Arial" w:cs="Arial" w:eastAsia="Arial" w:hAnsi="Arial"/>
                <w:sz w:val="12"/>
                <w:szCs w:val="12"/>
                <w:color w:val="auto"/>
              </w:rPr>
              <w:t>(5)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12/01/2016</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Consumer Products</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12,000,000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11,835,907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12,900,000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IDQ Holdings, Inc.</w:t>
            </w:r>
            <w:r>
              <w:rPr>
                <w:rFonts w:ascii="Arial" w:cs="Arial" w:eastAsia="Arial" w:hAnsi="Arial"/>
                <w:sz w:val="12"/>
                <w:szCs w:val="12"/>
                <w:color w:val="auto"/>
              </w:rPr>
              <w:t>(5)</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03/30/2017</w:t>
            </w:r>
          </w:p>
        </w:tc>
        <w:tc>
          <w:tcPr>
            <w:tcW w:w="21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2"/>
              </w:rPr>
              <w:t>Auto Sector</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11,500,000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11,326,110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12,391,250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InfuSystem Holdings, Inc.</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11/30/2016</w:t>
            </w:r>
          </w:p>
        </w:tc>
        <w:tc>
          <w:tcPr>
            <w:tcW w:w="21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 and</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Childcare</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11.95%</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P+625</w:t>
            </w:r>
            <w:r>
              <w:rPr>
                <w:rFonts w:ascii="Arial" w:cs="Arial" w:eastAsia="Arial" w:hAnsi="Arial"/>
                <w:sz w:val="12"/>
                <w:szCs w:val="12"/>
                <w:color w:val="auto"/>
              </w:rPr>
              <w:t>(8)</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11,600,000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11,600,000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11,708,430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08/07/2014</w:t>
            </w:r>
          </w:p>
        </w:tc>
        <w:tc>
          <w:tcPr>
            <w:tcW w:w="21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Printing and Publishing</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14.50%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23,934,268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23,788,980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22,976,897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Instant Web, Inc.</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08/07/2014</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Printing and Publishing</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3.55%</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L+338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18,199,679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13,917,288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14,559,743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Interactive Health Solutions, Inc.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10/04/2016</w:t>
            </w:r>
          </w:p>
        </w:tc>
        <w:tc>
          <w:tcPr>
            <w:tcW w:w="21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 and</w:t>
            </w: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4"/>
              </w:rPr>
              <w:t>Childcare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11.50%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18,050,000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17,770,705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18,050,000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Jackson Hewitt Tax Service Inc.</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10/16/2017</w:t>
            </w:r>
          </w:p>
        </w:tc>
        <w:tc>
          <w:tcPr>
            <w:tcW w:w="21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1"/>
              </w:rPr>
              <w:t>Personal, Food and Miscellaneous</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Services</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10.00%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L+850</w:t>
            </w:r>
            <w:r>
              <w:rPr>
                <w:rFonts w:ascii="Arial" w:cs="Arial" w:eastAsia="Arial" w:hAnsi="Arial"/>
                <w:sz w:val="12"/>
                <w:szCs w:val="12"/>
                <w:color w:val="auto"/>
              </w:rPr>
              <w:t>(8)</w:t>
            </w:r>
          </w:p>
        </w:tc>
        <w:tc>
          <w:tcPr>
            <w:tcW w:w="700" w:type="dxa"/>
            <w:vAlign w:val="bottom"/>
          </w:tcPr>
          <w:p>
            <w:pPr>
              <w:jc w:val="right"/>
              <w:spacing w:after="0"/>
              <w:rPr>
                <w:sz w:val="20"/>
                <w:szCs w:val="20"/>
                <w:color w:val="auto"/>
              </w:rPr>
            </w:pPr>
            <w:r>
              <w:rPr>
                <w:rFonts w:ascii="Arial" w:cs="Arial" w:eastAsia="Arial" w:hAnsi="Arial"/>
                <w:sz w:val="14"/>
                <w:szCs w:val="14"/>
                <w:color w:val="auto"/>
              </w:rPr>
              <w:t>8,355,469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8,349,704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8,230,137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08/19/2019</w:t>
            </w:r>
          </w:p>
        </w:tc>
        <w:tc>
          <w:tcPr>
            <w:tcW w:w="21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2"/>
              </w:rPr>
              <w:t>Chemicals, Plastics and Rubber</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L+900</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22,342,352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21,899,258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22,007,217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Penton Media, Inc.</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08/01/2014</w:t>
            </w:r>
          </w:p>
        </w:tc>
        <w:tc>
          <w:tcPr>
            <w:tcW w:w="21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Other Media</w:t>
            </w:r>
          </w:p>
        </w:tc>
        <w:tc>
          <w:tcPr>
            <w:tcW w:w="10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6.00%</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(PIK 2.00%)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L+500</w:t>
            </w:r>
            <w:r>
              <w:rPr>
                <w:rFonts w:ascii="Arial" w:cs="Arial" w:eastAsia="Arial" w:hAnsi="Arial"/>
                <w:sz w:val="12"/>
                <w:szCs w:val="12"/>
                <w:color w:val="auto"/>
              </w:rPr>
              <w:t>(8)</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37,950,152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36,110,124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37,523,212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Prince Mineral Holding Corp.</w:t>
            </w:r>
            <w:r>
              <w:rPr>
                <w:rFonts w:ascii="Arial" w:cs="Arial" w:eastAsia="Arial" w:hAnsi="Arial"/>
                <w:sz w:val="12"/>
                <w:szCs w:val="12"/>
                <w:color w:val="auto"/>
              </w:rPr>
              <w:t>(5)</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12/16/2019</w:t>
            </w:r>
          </w:p>
        </w:tc>
        <w:tc>
          <w:tcPr>
            <w:tcW w:w="21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6"/>
              </w:rPr>
              <w:t>Mining, Steel, Iron and Non-</w:t>
            </w: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Precious Metals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11.50%</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14,250,000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14,096,169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15,176,250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04/30/2018</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L+1,050</w:t>
            </w:r>
            <w:r>
              <w:rPr>
                <w:rFonts w:ascii="Arial" w:cs="Arial" w:eastAsia="Arial" w:hAnsi="Arial"/>
                <w:sz w:val="12"/>
                <w:szCs w:val="12"/>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34,270,800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33,766,321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34,270,800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Worley Claims Services, LLC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07/06/2017</w:t>
            </w:r>
          </w:p>
        </w:tc>
        <w:tc>
          <w:tcPr>
            <w:tcW w:w="21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12.50%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L+1,100</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12,451,096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12,451,096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12,388,840</w:t>
            </w:r>
          </w:p>
        </w:tc>
        <w:tc>
          <w:tcPr>
            <w:tcW w:w="0" w:type="dxa"/>
            <w:vAlign w:val="bottom"/>
          </w:tcPr>
          <w:p>
            <w:pPr>
              <w:spacing w:after="0"/>
              <w:rPr>
                <w:sz w:val="1"/>
                <w:szCs w:val="1"/>
                <w:color w:val="auto"/>
              </w:rPr>
            </w:pPr>
          </w:p>
        </w:tc>
      </w:tr>
      <w:tr>
        <w:trPr>
          <w:trHeight w:val="163"/>
        </w:trPr>
        <w:tc>
          <w:tcPr>
            <w:tcW w:w="3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278,962,489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288,043,239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Debt—48.9%</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American Gilsonite Company</w:t>
            </w:r>
            <w:r>
              <w:rPr>
                <w:rFonts w:ascii="Arial" w:cs="Arial" w:eastAsia="Arial" w:hAnsi="Arial"/>
                <w:sz w:val="12"/>
                <w:szCs w:val="12"/>
                <w:color w:val="auto"/>
              </w:rPr>
              <w:t>(5)</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09/01/2017</w:t>
            </w:r>
          </w:p>
        </w:tc>
        <w:tc>
          <w:tcPr>
            <w:tcW w:w="21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Diversified Natural Resources,</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Precious Metals and Minerals</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11.50%</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25,400,000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25,400,000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25,971,500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Arsloane Acquisition, LLC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10/01/2020</w:t>
            </w:r>
          </w:p>
        </w:tc>
        <w:tc>
          <w:tcPr>
            <w:tcW w:w="21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11.75%</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L+1,050</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18,750,000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18,375,000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18,687,563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10/23/2019</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8"/>
              </w:rPr>
              <w:t>Energy / Utilities</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11.00%</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42,278,570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41,471,524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43,159,233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Carolina Beverage Group, LLC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08/01/2018</w:t>
            </w:r>
          </w:p>
        </w:tc>
        <w:tc>
          <w:tcPr>
            <w:tcW w:w="21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Beverage, Food and Tobacco</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10.63%</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13,125,000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13,125,000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13,420,313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Envision Acquisition Company, LLC</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11/04/2021</w:t>
            </w:r>
          </w:p>
        </w:tc>
        <w:tc>
          <w:tcPr>
            <w:tcW w:w="21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 and</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Childcare</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9.75%</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L+875</w:t>
            </w:r>
            <w:r>
              <w:rPr>
                <w:rFonts w:ascii="Arial" w:cs="Arial" w:eastAsia="Arial" w:hAnsi="Arial"/>
                <w:sz w:val="12"/>
                <w:szCs w:val="12"/>
                <w:color w:val="auto"/>
              </w:rPr>
              <w:t>(8)</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19,000,000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18,620,000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18,905,000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Eureka Hunter Pipeline, LLC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08/16/2018</w:t>
            </w:r>
          </w:p>
        </w:tc>
        <w:tc>
          <w:tcPr>
            <w:tcW w:w="21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8"/>
              </w:rPr>
              <w:t>Energy / Utilities</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12.50%</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45,000,000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44,599,796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46,575,000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ILC Industries, LLC</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06/14/2019</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L+1,000</w:t>
            </w:r>
            <w:r>
              <w:rPr>
                <w:rFonts w:ascii="Arial" w:cs="Arial" w:eastAsia="Arial" w:hAnsi="Arial"/>
                <w:sz w:val="12"/>
                <w:szCs w:val="12"/>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Intermediate Transportation 100, L.L.C.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03/01/2017</w:t>
            </w:r>
          </w:p>
        </w:tc>
        <w:tc>
          <w:tcPr>
            <w:tcW w:w="21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Cargo Transport</w:t>
            </w:r>
          </w:p>
        </w:tc>
        <w:tc>
          <w:tcPr>
            <w:tcW w:w="10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11.00%</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(PIK 11.00%)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L+700</w:t>
            </w:r>
            <w:r>
              <w:rPr>
                <w:rFonts w:ascii="Arial" w:cs="Arial" w:eastAsia="Arial" w:hAnsi="Arial"/>
                <w:sz w:val="12"/>
                <w:szCs w:val="12"/>
                <w:color w:val="auto"/>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3,544,833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3,544,836</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3,544,833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Jacobs Entertainment, Inc.</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10/29/2019</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Hotels, Motels, Inns and Gaming</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13.00%</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L+1,175</w:t>
            </w:r>
            <w:r>
              <w:rPr>
                <w:rFonts w:ascii="Arial" w:cs="Arial" w:eastAsia="Arial" w:hAnsi="Arial"/>
                <w:sz w:val="12"/>
                <w:szCs w:val="12"/>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38,950,000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38,287,499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39,096,063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Language Line, LLC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12/20/2016</w:t>
            </w:r>
          </w:p>
        </w:tc>
        <w:tc>
          <w:tcPr>
            <w:tcW w:w="21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1"/>
              </w:rPr>
              <w:t>Personal, Food and Miscellaneous</w:t>
            </w: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9"/>
              </w:rPr>
              <w:t>Services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10.50%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L+875</w:t>
            </w:r>
            <w:r>
              <w:rPr>
                <w:rFonts w:ascii="Arial" w:cs="Arial" w:eastAsia="Arial" w:hAnsi="Arial"/>
                <w:sz w:val="12"/>
                <w:szCs w:val="12"/>
                <w:color w:val="auto"/>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33,750,000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33,265,829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33,187,388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Linc USA GP and Linc Energy Finance (USA),</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10/31/2017</w:t>
            </w:r>
          </w:p>
        </w:tc>
        <w:tc>
          <w:tcPr>
            <w:tcW w:w="21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1"/>
              </w:rPr>
              <w:t>Oil and Gas</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gridSpan w:val="2"/>
          </w:tcPr>
          <w:p>
            <w:pPr>
              <w:ind w:left="140"/>
              <w:spacing w:after="0"/>
              <w:rPr>
                <w:sz w:val="20"/>
                <w:szCs w:val="20"/>
                <w:color w:val="auto"/>
              </w:rPr>
            </w:pPr>
            <w:r>
              <w:rPr>
                <w:rFonts w:ascii="Arial" w:cs="Arial" w:eastAsia="Arial" w:hAnsi="Arial"/>
                <w:sz w:val="14"/>
                <w:szCs w:val="14"/>
                <w:color w:val="auto"/>
              </w:rPr>
              <w:t>Inc.</w:t>
            </w:r>
            <w:r>
              <w:rPr>
                <w:rFonts w:ascii="Arial" w:cs="Arial" w:eastAsia="Arial" w:hAnsi="Arial"/>
                <w:sz w:val="12"/>
                <w:szCs w:val="12"/>
                <w:color w:val="auto"/>
              </w:rPr>
              <w:t>(5)</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12.50%</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11,875,000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11,511,878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13,062,500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07/01/2020</w:t>
            </w:r>
          </w:p>
        </w:tc>
        <w:tc>
          <w:tcPr>
            <w:tcW w:w="21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1"/>
              </w:rPr>
              <w:t>Personal, Food and Miscellaneous</w:t>
            </w: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9"/>
              </w:rPr>
              <w:t>Services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9.75%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L+850</w:t>
            </w:r>
            <w:r>
              <w:rPr>
                <w:rFonts w:ascii="Arial" w:cs="Arial" w:eastAsia="Arial" w:hAnsi="Arial"/>
                <w:sz w:val="12"/>
                <w:szCs w:val="12"/>
                <w:color w:val="auto"/>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56,750,000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55,923,621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56,040,625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12/15/2014</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Other Media</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9.50%</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L+550</w:t>
            </w:r>
            <w:r>
              <w:rPr>
                <w:rFonts w:ascii="Arial" w:cs="Arial" w:eastAsia="Arial" w:hAnsi="Arial"/>
                <w:sz w:val="12"/>
                <w:szCs w:val="12"/>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2,395,378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2,395,378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2,371,424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Questex Media Group LLC, Term Loan B</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12/15/2015</w:t>
            </w:r>
          </w:p>
        </w:tc>
        <w:tc>
          <w:tcPr>
            <w:tcW w:w="21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Other Media</w:t>
            </w:r>
          </w:p>
        </w:tc>
        <w:tc>
          <w:tcPr>
            <w:tcW w:w="10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11.50%</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(PIK 11.50%)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P+750</w:t>
            </w:r>
            <w:r>
              <w:rPr>
                <w:rFonts w:ascii="Arial" w:cs="Arial" w:eastAsia="Arial" w:hAnsi="Arial"/>
                <w:sz w:val="12"/>
                <w:szCs w:val="12"/>
                <w:color w:val="auto"/>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2,502,333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2,502,333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2,452,286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ROC Finance LLC and ROC Finance 1 Corp.</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08/31/2018</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Hotels, Motels, Inns and Gaming</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12.13%</w:t>
            </w: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16,000,000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15,785,252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17,720,000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2"/>
              </w:rPr>
              <w:t>332,007,946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2"/>
              </w:rPr>
              <w:t>341,093,728</w:t>
            </w:r>
          </w:p>
        </w:tc>
        <w:tc>
          <w:tcPr>
            <w:tcW w:w="0" w:type="dxa"/>
            <w:vAlign w:val="bottom"/>
          </w:tcPr>
          <w:p>
            <w:pPr>
              <w:spacing w:after="0"/>
              <w:rPr>
                <w:sz w:val="1"/>
                <w:szCs w:val="1"/>
                <w:color w:val="auto"/>
              </w:rPr>
            </w:pPr>
          </w:p>
        </w:tc>
      </w:tr>
      <w:tr>
        <w:trPr>
          <w:trHeight w:val="156"/>
        </w:trPr>
        <w:tc>
          <w:tcPr>
            <w:tcW w:w="3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Notes—37.4%</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Acentia, LLC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10/02/2017</w:t>
            </w:r>
          </w:p>
        </w:tc>
        <w:tc>
          <w:tcPr>
            <w:tcW w:w="21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13.75%</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19,000,000</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18,629,082</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18,879,139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11/15/2015</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Consumer Products</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11.63%</w:t>
            </w: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35,552,000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34,570,664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20,442,400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Alegeus Technologies, LLC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02/15/2019</w:t>
            </w:r>
          </w:p>
        </w:tc>
        <w:tc>
          <w:tcPr>
            <w:tcW w:w="21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Financial Services</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8,773,751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8,888,617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Convergint Technologies LLC</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03/26/2018</w:t>
            </w:r>
          </w:p>
        </w:tc>
        <w:tc>
          <w:tcPr>
            <w:tcW w:w="21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Electronics</w:t>
            </w:r>
          </w:p>
        </w:tc>
        <w:tc>
          <w:tcPr>
            <w:tcW w:w="10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12.00%</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(PIK 1.00%)</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23,514,494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23,114,286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23,867,211</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right"/>
              <w:ind w:right="508"/>
              <w:spacing w:after="0"/>
              <w:rPr>
                <w:sz w:val="20"/>
                <w:szCs w:val="20"/>
                <w:color w:val="auto"/>
              </w:rPr>
            </w:pPr>
            <w:r>
              <w:rPr>
                <w:rFonts w:ascii="Arial" w:cs="Arial" w:eastAsia="Arial" w:hAnsi="Arial"/>
                <w:sz w:val="14"/>
                <w:szCs w:val="14"/>
                <w:b w:val="1"/>
                <w:bCs w:val="1"/>
                <w:color w:val="auto"/>
              </w:rPr>
              <w:t>Current</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Spread</w:t>
            </w: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Par /</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Maturity</w:t>
            </w:r>
          </w:p>
        </w:tc>
        <w:tc>
          <w:tcPr>
            <w:tcW w:w="23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Industry</w:t>
            </w:r>
          </w:p>
        </w:tc>
        <w:tc>
          <w:tcPr>
            <w:tcW w:w="1180" w:type="dxa"/>
            <w:vAlign w:val="bottom"/>
            <w:gridSpan w:val="2"/>
            <w:vMerge w:val="continue"/>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Above</w:t>
            </w:r>
          </w:p>
        </w:tc>
        <w:tc>
          <w:tcPr>
            <w:tcW w:w="102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040" w:type="dxa"/>
            <w:vAlign w:val="bottom"/>
            <w:gridSpan w:val="4"/>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118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Coupon</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Index</w:t>
            </w:r>
            <w:r>
              <w:rPr>
                <w:rFonts w:ascii="Arial" w:cs="Arial" w:eastAsia="Arial" w:hAnsi="Arial"/>
                <w:sz w:val="12"/>
                <w:szCs w:val="12"/>
                <w:b w:val="1"/>
                <w:bCs w:val="1"/>
                <w:color w:val="auto"/>
                <w:w w:val="93"/>
              </w:rPr>
              <w:t>(4)</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84"/>
              </w:rPr>
              <w:t>Credit Infonet,</w:t>
            </w:r>
          </w:p>
        </w:tc>
        <w:tc>
          <w:tcPr>
            <w:tcW w:w="2220" w:type="dxa"/>
            <w:vAlign w:val="bottom"/>
            <w:tcBorders>
              <w:top w:val="single" w:sz="8" w:color="CCEEFF"/>
            </w:tcBorders>
            <w:shd w:val="clear" w:color="auto" w:fill="CCEEFF"/>
          </w:tcPr>
          <w:p>
            <w:pPr>
              <w:ind w:left="120"/>
              <w:spacing w:after="0" w:line="123" w:lineRule="exact"/>
              <w:rPr>
                <w:sz w:val="20"/>
                <w:szCs w:val="20"/>
                <w:color w:val="auto"/>
              </w:rPr>
            </w:pPr>
            <w:r>
              <w:rPr>
                <w:rFonts w:ascii="Arial" w:cs="Arial" w:eastAsia="Arial" w:hAnsi="Arial"/>
                <w:sz w:val="14"/>
                <w:szCs w:val="14"/>
                <w:color w:val="auto"/>
              </w:rPr>
              <w:t>Inc.</w:t>
            </w:r>
          </w:p>
        </w:tc>
        <w:tc>
          <w:tcPr>
            <w:tcW w:w="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12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Personal, Food and</w:t>
            </w: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12.25</w:t>
            </w:r>
          </w:p>
        </w:tc>
        <w:tc>
          <w:tcPr>
            <w:tcW w:w="500" w:type="dxa"/>
            <w:vAlign w:val="bottom"/>
            <w:tcBorders>
              <w:top w:val="single" w:sz="8" w:color="CCEEFF"/>
            </w:tcBorders>
            <w:shd w:val="clear" w:color="auto" w:fill="CCEEFF"/>
          </w:tcPr>
          <w:p>
            <w:pPr>
              <w:jc w:val="right"/>
              <w:ind w:right="308"/>
              <w:spacing w:after="0" w:line="123" w:lineRule="exact"/>
              <w:rPr>
                <w:sz w:val="20"/>
                <w:szCs w:val="20"/>
                <w:color w:val="auto"/>
              </w:rPr>
            </w:pPr>
            <w:r>
              <w:rPr>
                <w:rFonts w:ascii="Arial" w:cs="Arial" w:eastAsia="Arial" w:hAnsi="Arial"/>
                <w:sz w:val="14"/>
                <w:szCs w:val="14"/>
                <w:color w:val="auto"/>
                <w:w w:val="79"/>
              </w:rPr>
              <w:t>%</w:t>
            </w:r>
          </w:p>
        </w:tc>
        <w:tc>
          <w:tcPr>
            <w:tcW w:w="680" w:type="dxa"/>
            <w:vAlign w:val="bottom"/>
            <w:tcBorders>
              <w:top w:val="single" w:sz="8" w:color="auto"/>
            </w:tcBorders>
            <w:shd w:val="clear" w:color="auto" w:fill="CCEEFF"/>
          </w:tcPr>
          <w:p>
            <w:pPr>
              <w:ind w:left="460"/>
              <w:spacing w:after="0" w:line="123"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6"/>
              </w:rPr>
              <w:t>10,600,000</w:t>
            </w:r>
          </w:p>
        </w:tc>
        <w:tc>
          <w:tcPr>
            <w:tcW w:w="3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10,399,101</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10,653,423</w:t>
            </w: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1"/>
              </w:rPr>
              <w:t>10/26/2018</w:t>
            </w:r>
          </w:p>
        </w:tc>
        <w:tc>
          <w:tcPr>
            <w:tcW w:w="23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tcPr>
          <w:p>
            <w:pPr>
              <w:spacing w:after="0" w:line="130" w:lineRule="exact"/>
              <w:rPr>
                <w:sz w:val="20"/>
                <w:szCs w:val="20"/>
                <w:color w:val="auto"/>
              </w:rPr>
            </w:pPr>
            <w:r>
              <w:rPr>
                <w:rFonts w:ascii="Arial" w:cs="Arial" w:eastAsia="Arial" w:hAnsi="Arial"/>
                <w:sz w:val="14"/>
                <w:szCs w:val="14"/>
                <w:color w:val="auto"/>
              </w:rPr>
              <w:t>Escort, Inc.</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308"/>
              <w:spacing w:after="0" w:line="130" w:lineRule="exact"/>
              <w:rPr>
                <w:sz w:val="20"/>
                <w:szCs w:val="20"/>
                <w:color w:val="auto"/>
              </w:rPr>
            </w:pPr>
            <w:r>
              <w:rPr>
                <w:rFonts w:ascii="Arial" w:cs="Arial" w:eastAsia="Arial" w:hAnsi="Arial"/>
                <w:sz w:val="14"/>
                <w:szCs w:val="14"/>
                <w:color w:val="auto"/>
              </w:rPr>
              <w:t>14.75%</w:t>
            </w:r>
          </w:p>
        </w:tc>
        <w:tc>
          <w:tcPr>
            <w:tcW w:w="94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25,965,563</w:t>
            </w:r>
          </w:p>
        </w:tc>
        <w:tc>
          <w:tcPr>
            <w:tcW w:w="3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25,579,621</w:t>
            </w:r>
          </w:p>
        </w:tc>
        <w:tc>
          <w:tcPr>
            <w:tcW w:w="108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26,484,875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06/01/2016</w:t>
            </w:r>
          </w:p>
        </w:tc>
        <w:tc>
          <w:tcPr>
            <w:tcW w:w="230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Electronics</w:t>
            </w:r>
          </w:p>
        </w:tc>
        <w:tc>
          <w:tcPr>
            <w:tcW w:w="1180" w:type="dxa"/>
            <w:vAlign w:val="bottom"/>
            <w:gridSpan w:val="2"/>
          </w:tcPr>
          <w:p>
            <w:pPr>
              <w:jc w:val="right"/>
              <w:ind w:right="248"/>
              <w:spacing w:after="0"/>
              <w:rPr>
                <w:sz w:val="20"/>
                <w:szCs w:val="20"/>
                <w:color w:val="auto"/>
              </w:rPr>
            </w:pPr>
            <w:r>
              <w:rPr>
                <w:rFonts w:ascii="Arial" w:cs="Arial" w:eastAsia="Arial" w:hAnsi="Arial"/>
                <w:sz w:val="14"/>
                <w:szCs w:val="14"/>
                <w:color w:val="auto"/>
              </w:rPr>
              <w:t>(PIK 2.75%)</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JF Acquisition, LLC</w:t>
            </w: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08"/>
              <w:spacing w:after="0" w:line="130" w:lineRule="exact"/>
              <w:rPr>
                <w:sz w:val="20"/>
                <w:szCs w:val="20"/>
                <w:color w:val="auto"/>
              </w:rPr>
            </w:pPr>
            <w:r>
              <w:rPr>
                <w:rFonts w:ascii="Arial" w:cs="Arial" w:eastAsia="Arial" w:hAnsi="Arial"/>
                <w:sz w:val="14"/>
                <w:szCs w:val="14"/>
                <w:color w:val="auto"/>
              </w:rPr>
              <w:t>14.00%</w:t>
            </w:r>
          </w:p>
        </w:tc>
        <w:tc>
          <w:tcPr>
            <w:tcW w:w="94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17,517,386</w:t>
            </w:r>
          </w:p>
        </w:tc>
        <w:tc>
          <w:tcPr>
            <w:tcW w:w="3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17,160,955</w:t>
            </w:r>
          </w:p>
        </w:tc>
        <w:tc>
          <w:tcPr>
            <w:tcW w:w="108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17,517,386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1"/>
              </w:rPr>
              <w:t>06/30/2017</w:t>
            </w:r>
          </w:p>
        </w:tc>
        <w:tc>
          <w:tcPr>
            <w:tcW w:w="23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9"/>
              </w:rPr>
              <w:t>Distribution</w:t>
            </w:r>
          </w:p>
        </w:tc>
        <w:tc>
          <w:tcPr>
            <w:tcW w:w="11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(PIK 2.00%)</w:t>
            </w: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tcPr>
          <w:p>
            <w:pPr>
              <w:spacing w:after="0" w:line="130" w:lineRule="exact"/>
              <w:rPr>
                <w:sz w:val="20"/>
                <w:szCs w:val="20"/>
                <w:color w:val="auto"/>
              </w:rPr>
            </w:pPr>
            <w:r>
              <w:rPr>
                <w:rFonts w:ascii="Arial" w:cs="Arial" w:eastAsia="Arial" w:hAnsi="Arial"/>
                <w:sz w:val="14"/>
                <w:szCs w:val="14"/>
                <w:color w:val="auto"/>
              </w:rPr>
              <w:t>Learning Care Group (US) Inc.</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308"/>
              <w:spacing w:after="0" w:line="130" w:lineRule="exact"/>
              <w:rPr>
                <w:sz w:val="20"/>
                <w:szCs w:val="20"/>
                <w:color w:val="auto"/>
              </w:rPr>
            </w:pPr>
            <w:r>
              <w:rPr>
                <w:rFonts w:ascii="Arial" w:cs="Arial" w:eastAsia="Arial" w:hAnsi="Arial"/>
                <w:sz w:val="14"/>
                <w:szCs w:val="14"/>
                <w:color w:val="auto"/>
              </w:rPr>
              <w:t>15.00%</w:t>
            </w:r>
          </w:p>
        </w:tc>
        <w:tc>
          <w:tcPr>
            <w:tcW w:w="94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7,215,989</w:t>
            </w:r>
          </w:p>
        </w:tc>
        <w:tc>
          <w:tcPr>
            <w:tcW w:w="3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6,754,246</w:t>
            </w:r>
          </w:p>
        </w:tc>
        <w:tc>
          <w:tcPr>
            <w:tcW w:w="108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7,215,989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05/08/2020</w:t>
            </w:r>
          </w:p>
        </w:tc>
        <w:tc>
          <w:tcPr>
            <w:tcW w:w="230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Education</w:t>
            </w:r>
          </w:p>
        </w:tc>
        <w:tc>
          <w:tcPr>
            <w:tcW w:w="1180" w:type="dxa"/>
            <w:vAlign w:val="bottom"/>
            <w:gridSpan w:val="2"/>
          </w:tcPr>
          <w:p>
            <w:pPr>
              <w:jc w:val="right"/>
              <w:ind w:right="248"/>
              <w:spacing w:after="0"/>
              <w:rPr>
                <w:sz w:val="20"/>
                <w:szCs w:val="20"/>
                <w:color w:val="auto"/>
              </w:rPr>
            </w:pPr>
            <w:r>
              <w:rPr>
                <w:rFonts w:ascii="Arial" w:cs="Arial" w:eastAsia="Arial" w:hAnsi="Arial"/>
                <w:sz w:val="14"/>
                <w:szCs w:val="14"/>
                <w:color w:val="auto"/>
              </w:rPr>
              <w:t>(PIK 15.00%)</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LTI Flexible Products, Inc.</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01/19/2019</w:t>
            </w:r>
          </w:p>
        </w:tc>
        <w:tc>
          <w:tcPr>
            <w:tcW w:w="23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Chemicals, Plastics and Rubber</w:t>
            </w:r>
          </w:p>
        </w:tc>
        <w:tc>
          <w:tcPr>
            <w:tcW w:w="118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12.50%</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30,000,000</w:t>
            </w: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30,000,000</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30,525,000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spacing w:after="0" w:line="149" w:lineRule="exact"/>
              <w:rPr>
                <w:sz w:val="20"/>
                <w:szCs w:val="20"/>
                <w:color w:val="auto"/>
              </w:rPr>
            </w:pPr>
            <w:r>
              <w:rPr>
                <w:rFonts w:ascii="Arial" w:cs="Arial" w:eastAsia="Arial" w:hAnsi="Arial"/>
                <w:sz w:val="14"/>
                <w:szCs w:val="14"/>
                <w:color w:val="auto"/>
              </w:rPr>
              <w:t>LTI Flexible Products, Inc.</w:t>
            </w:r>
            <w:r>
              <w:rPr>
                <w:rFonts w:ascii="Arial" w:cs="Arial" w:eastAsia="Arial" w:hAnsi="Arial"/>
                <w:sz w:val="12"/>
                <w:szCs w:val="12"/>
                <w:color w:val="auto"/>
              </w:rPr>
              <w:t>(9)</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01/11/2014</w:t>
            </w:r>
          </w:p>
        </w:tc>
        <w:tc>
          <w:tcPr>
            <w:tcW w:w="23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Chemicals, Plastics and Rubber</w:t>
            </w:r>
          </w:p>
        </w:tc>
        <w:tc>
          <w:tcPr>
            <w:tcW w:w="1180" w:type="dxa"/>
            <w:vAlign w:val="bottom"/>
            <w:gridSpan w:val="2"/>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3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4,825,000</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5,087,500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MSPark, Inc.</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06/15/2017</w:t>
            </w:r>
          </w:p>
        </w:tc>
        <w:tc>
          <w:tcPr>
            <w:tcW w:w="23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Printing and Publishing</w:t>
            </w:r>
          </w:p>
        </w:tc>
        <w:tc>
          <w:tcPr>
            <w:tcW w:w="11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14.50%</w:t>
            </w:r>
            <w:r>
              <w:rPr>
                <w:rFonts w:ascii="Arial" w:cs="Arial" w:eastAsia="Arial" w:hAnsi="Arial"/>
                <w:sz w:val="12"/>
                <w:szCs w:val="12"/>
                <w:color w:val="auto"/>
              </w:rPr>
              <w:t>(7)</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15,000,000</w:t>
            </w: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14,691,342</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14,700,000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tcPr>
          <w:p>
            <w:pPr>
              <w:spacing w:after="0" w:line="130" w:lineRule="exact"/>
              <w:rPr>
                <w:sz w:val="20"/>
                <w:szCs w:val="20"/>
                <w:color w:val="auto"/>
              </w:rPr>
            </w:pPr>
            <w:r>
              <w:rPr>
                <w:rFonts w:ascii="Arial" w:cs="Arial" w:eastAsia="Arial" w:hAnsi="Arial"/>
                <w:sz w:val="14"/>
                <w:szCs w:val="14"/>
                <w:color w:val="auto"/>
              </w:rPr>
              <w:t>Varel International Energy Mezzanine Funding</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308"/>
              <w:spacing w:after="0" w:line="130" w:lineRule="exact"/>
              <w:rPr>
                <w:sz w:val="20"/>
                <w:szCs w:val="20"/>
                <w:color w:val="auto"/>
              </w:rPr>
            </w:pPr>
            <w:r>
              <w:rPr>
                <w:rFonts w:ascii="Arial" w:cs="Arial" w:eastAsia="Arial" w:hAnsi="Arial"/>
                <w:sz w:val="14"/>
                <w:szCs w:val="14"/>
                <w:color w:val="auto"/>
              </w:rPr>
              <w:t>14.00%</w:t>
            </w:r>
          </w:p>
        </w:tc>
        <w:tc>
          <w:tcPr>
            <w:tcW w:w="94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37,070,637</w:t>
            </w:r>
          </w:p>
        </w:tc>
        <w:tc>
          <w:tcPr>
            <w:tcW w:w="3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36,441,726</w:t>
            </w:r>
          </w:p>
        </w:tc>
        <w:tc>
          <w:tcPr>
            <w:tcW w:w="108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36,720,586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20" w:type="dxa"/>
            <w:vAlign w:val="bottom"/>
            <w:gridSpan w:val="3"/>
          </w:tcPr>
          <w:p>
            <w:pPr>
              <w:ind w:left="140"/>
              <w:spacing w:after="0"/>
              <w:rPr>
                <w:sz w:val="20"/>
                <w:szCs w:val="20"/>
                <w:color w:val="auto"/>
              </w:rPr>
            </w:pPr>
            <w:r>
              <w:rPr>
                <w:rFonts w:ascii="Arial" w:cs="Arial" w:eastAsia="Arial" w:hAnsi="Arial"/>
                <w:sz w:val="14"/>
                <w:szCs w:val="14"/>
                <w:color w:val="auto"/>
              </w:rPr>
              <w:t>Corp.</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01/15/2018</w:t>
            </w:r>
          </w:p>
        </w:tc>
        <w:tc>
          <w:tcPr>
            <w:tcW w:w="230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Oil and Gas</w:t>
            </w:r>
          </w:p>
        </w:tc>
        <w:tc>
          <w:tcPr>
            <w:tcW w:w="1180" w:type="dxa"/>
            <w:vAlign w:val="bottom"/>
            <w:gridSpan w:val="2"/>
          </w:tcPr>
          <w:p>
            <w:pPr>
              <w:jc w:val="right"/>
              <w:ind w:right="248"/>
              <w:spacing w:after="0"/>
              <w:rPr>
                <w:sz w:val="20"/>
                <w:szCs w:val="20"/>
                <w:color w:val="auto"/>
              </w:rPr>
            </w:pPr>
            <w:r>
              <w:rPr>
                <w:rFonts w:ascii="Arial" w:cs="Arial" w:eastAsia="Arial" w:hAnsi="Arial"/>
                <w:sz w:val="14"/>
                <w:szCs w:val="14"/>
                <w:color w:val="auto"/>
              </w:rPr>
              <w:t>(PIK 4.00%)</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Vestcom International, Inc.</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06/27/2019</w:t>
            </w:r>
          </w:p>
        </w:tc>
        <w:tc>
          <w:tcPr>
            <w:tcW w:w="23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Printing and Publishing</w:t>
            </w:r>
          </w:p>
        </w:tc>
        <w:tc>
          <w:tcPr>
            <w:tcW w:w="118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12.00%</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39,892,933</w:t>
            </w: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39,147,926</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39,827,248</w:t>
            </w:r>
          </w:p>
        </w:tc>
        <w:tc>
          <w:tcPr>
            <w:tcW w:w="0" w:type="dxa"/>
            <w:vAlign w:val="bottom"/>
          </w:tcPr>
          <w:p>
            <w:pPr>
              <w:spacing w:after="0"/>
              <w:rPr>
                <w:sz w:val="1"/>
                <w:szCs w:val="1"/>
                <w:color w:val="auto"/>
              </w:rPr>
            </w:pPr>
          </w:p>
        </w:tc>
      </w:tr>
      <w:tr>
        <w:trPr>
          <w:trHeight w:val="163"/>
        </w:trPr>
        <w:tc>
          <w:tcPr>
            <w:tcW w:w="304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270,087,700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260,809,374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Preferred Equity/Partnership Interests—1.2%</w:t>
            </w:r>
            <w:r>
              <w:rPr>
                <w:rFonts w:ascii="Arial" w:cs="Arial" w:eastAsia="Arial" w:hAnsi="Arial"/>
                <w:sz w:val="12"/>
                <w:szCs w:val="12"/>
                <w:b w:val="1"/>
                <w:bCs w:val="1"/>
                <w:color w:val="auto"/>
                <w:w w:val="95"/>
              </w:rPr>
              <w:t>(6)</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spacing w:after="0" w:line="149" w:lineRule="exact"/>
              <w:rPr>
                <w:sz w:val="20"/>
                <w:szCs w:val="20"/>
                <w:color w:val="auto"/>
              </w:rPr>
            </w:pPr>
            <w:r>
              <w:rPr>
                <w:rFonts w:ascii="Arial" w:cs="Arial" w:eastAsia="Arial" w:hAnsi="Arial"/>
                <w:sz w:val="14"/>
                <w:szCs w:val="14"/>
                <w:color w:val="auto"/>
              </w:rPr>
              <w:t>AH Holdings, Inc.</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Healthcare, Education and Childcare</w:t>
            </w:r>
          </w:p>
        </w:tc>
        <w:tc>
          <w:tcPr>
            <w:tcW w:w="118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6.00%</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211</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500,000</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815,133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AHC Mezzanine, LLC</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1180" w:type="dxa"/>
            <w:vAlign w:val="bottom"/>
            <w:gridSpan w:val="2"/>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7,505</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318,896</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tcPr>
          <w:p>
            <w:pPr>
              <w:spacing w:after="0" w:line="130" w:lineRule="exact"/>
              <w:rPr>
                <w:sz w:val="20"/>
                <w:szCs w:val="20"/>
                <w:color w:val="auto"/>
              </w:rPr>
            </w:pPr>
            <w:r>
              <w:rPr>
                <w:rFonts w:ascii="Arial" w:cs="Arial" w:eastAsia="Arial" w:hAnsi="Arial"/>
                <w:sz w:val="14"/>
                <w:szCs w:val="14"/>
                <w:color w:val="auto"/>
              </w:rPr>
              <w:t>Alegeus Technologies Holdings Corp., Series A</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48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949</w:t>
            </w:r>
          </w:p>
        </w:tc>
        <w:tc>
          <w:tcPr>
            <w:tcW w:w="3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949,050</w:t>
            </w:r>
          </w:p>
        </w:tc>
        <w:tc>
          <w:tcPr>
            <w:tcW w:w="108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805,697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gridSpan w:val="3"/>
          </w:tcPr>
          <w:p>
            <w:pPr>
              <w:ind w:left="140"/>
              <w:spacing w:after="0"/>
              <w:rPr>
                <w:sz w:val="20"/>
                <w:szCs w:val="20"/>
                <w:color w:val="auto"/>
              </w:rPr>
            </w:pPr>
            <w:r>
              <w:rPr>
                <w:rFonts w:ascii="Arial" w:cs="Arial" w:eastAsia="Arial" w:hAnsi="Arial"/>
                <w:sz w:val="14"/>
                <w:szCs w:val="14"/>
                <w:color w:val="auto"/>
              </w:rPr>
              <w:t>(Alegeus Technologies, LLC)</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Financial Services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 (Interactive</w:t>
            </w: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08"/>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76,357</w:t>
            </w: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765,307</w:t>
            </w:r>
          </w:p>
        </w:tc>
        <w:tc>
          <w:tcPr>
            <w:tcW w:w="108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1,187,410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Health Solutions, Inc.)</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Healthcare, Education and Childcare</w:t>
            </w: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tcPr>
          <w:p>
            <w:pPr>
              <w:spacing w:after="0" w:line="130" w:lineRule="exact"/>
              <w:rPr>
                <w:sz w:val="20"/>
                <w:szCs w:val="20"/>
                <w:color w:val="auto"/>
              </w:rPr>
            </w:pPr>
            <w:r>
              <w:rPr>
                <w:rFonts w:ascii="Arial" w:cs="Arial" w:eastAsia="Arial" w:hAnsi="Arial"/>
                <w:sz w:val="14"/>
                <w:szCs w:val="14"/>
                <w:color w:val="auto"/>
              </w:rPr>
              <w:t>CI (IHS) Investment Holdings, LLC</w:t>
            </w:r>
            <w:r>
              <w:rPr>
                <w:rFonts w:ascii="Arial" w:cs="Arial" w:eastAsia="Arial" w:hAnsi="Arial"/>
                <w:sz w:val="12"/>
                <w:szCs w:val="12"/>
                <w:color w:val="auto"/>
              </w:rPr>
              <w:t>(9)</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48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38,179</w:t>
            </w: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382,654</w:t>
            </w:r>
          </w:p>
        </w:tc>
        <w:tc>
          <w:tcPr>
            <w:tcW w:w="108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593,705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gridSpan w:val="3"/>
          </w:tcPr>
          <w:p>
            <w:pPr>
              <w:ind w:left="140"/>
              <w:spacing w:after="0"/>
              <w:rPr>
                <w:sz w:val="20"/>
                <w:szCs w:val="20"/>
                <w:color w:val="auto"/>
              </w:rPr>
            </w:pPr>
            <w:r>
              <w:rPr>
                <w:rFonts w:ascii="Arial" w:cs="Arial" w:eastAsia="Arial" w:hAnsi="Arial"/>
                <w:sz w:val="14"/>
                <w:szCs w:val="14"/>
                <w:color w:val="auto"/>
              </w:rPr>
              <w:t>(Interactive Health Solutions, Inc.)</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Healthcare, Education and Childcare</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w:t>
            </w: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08"/>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2,375</w:t>
            </w: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2,375,000</w:t>
            </w:r>
          </w:p>
        </w:tc>
        <w:tc>
          <w:tcPr>
            <w:tcW w:w="108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2,584,106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(Convergint Technologies LLC)</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3"/>
              </w:rPr>
              <w:t>Electronics</w:t>
            </w: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8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9.00%</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326,215</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326,215</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326,215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HW Topco, Inc.</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118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3,591</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24,177</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spacing w:after="0" w:line="149" w:lineRule="exact"/>
              <w:rPr>
                <w:sz w:val="20"/>
                <w:szCs w:val="20"/>
                <w:color w:val="auto"/>
              </w:rPr>
            </w:pPr>
            <w:r>
              <w:rPr>
                <w:rFonts w:ascii="Arial" w:cs="Arial" w:eastAsia="Arial" w:hAnsi="Arial"/>
                <w:sz w:val="14"/>
                <w:szCs w:val="14"/>
                <w:color w:val="auto"/>
              </w:rPr>
              <w:t>TZ Holdings, L.P., Series A</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180" w:type="dxa"/>
            <w:vAlign w:val="bottom"/>
            <w:gridSpan w:val="2"/>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c>
          <w:tcPr>
            <w:tcW w:w="3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685,820</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18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6.50%</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1,312</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1,312,006</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862,664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spacing w:after="0" w:line="149" w:lineRule="exact"/>
              <w:rPr>
                <w:sz w:val="20"/>
                <w:szCs w:val="20"/>
                <w:color w:val="auto"/>
              </w:rPr>
            </w:pPr>
            <w:r>
              <w:rPr>
                <w:rFonts w:ascii="Arial" w:cs="Arial" w:eastAsia="Arial" w:hAnsi="Arial"/>
                <w:sz w:val="14"/>
                <w:szCs w:val="14"/>
                <w:color w:val="auto"/>
              </w:rPr>
              <w:t>VRide Holdings, Inc.</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Personal Transportation</w:t>
            </w:r>
          </w:p>
        </w:tc>
        <w:tc>
          <w:tcPr>
            <w:tcW w:w="118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1,824,167</w:t>
            </w:r>
          </w:p>
        </w:tc>
        <w:tc>
          <w:tcPr>
            <w:tcW w:w="3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1,824,167</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156,029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9,463,292</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8,051,870</w:t>
            </w:r>
          </w:p>
        </w:tc>
        <w:tc>
          <w:tcPr>
            <w:tcW w:w="0" w:type="dxa"/>
            <w:vAlign w:val="bottom"/>
          </w:tcPr>
          <w:p>
            <w:pPr>
              <w:spacing w:after="0"/>
              <w:rPr>
                <w:sz w:val="1"/>
                <w:szCs w:val="1"/>
                <w:color w:val="auto"/>
              </w:rPr>
            </w:pPr>
          </w:p>
        </w:tc>
      </w:tr>
      <w:tr>
        <w:trPr>
          <w:trHeight w:val="156"/>
        </w:trPr>
        <w:tc>
          <w:tcPr>
            <w:tcW w:w="3960" w:type="dxa"/>
            <w:vAlign w:val="bottom"/>
            <w:gridSpan w:val="6"/>
          </w:tcPr>
          <w:p>
            <w:pPr>
              <w:spacing w:after="0" w:line="155" w:lineRule="exact"/>
              <w:rPr>
                <w:sz w:val="20"/>
                <w:szCs w:val="20"/>
                <w:color w:val="auto"/>
              </w:rPr>
            </w:pPr>
            <w:r>
              <w:rPr>
                <w:rFonts w:ascii="Arial" w:cs="Arial" w:eastAsia="Arial" w:hAnsi="Arial"/>
                <w:sz w:val="14"/>
                <w:szCs w:val="14"/>
                <w:b w:val="1"/>
                <w:bCs w:val="1"/>
                <w:color w:val="auto"/>
              </w:rPr>
              <w:t>Common Equity/Warrants/Partnership Interests—10.1%</w:t>
            </w:r>
            <w:r>
              <w:rPr>
                <w:rFonts w:ascii="Arial" w:cs="Arial" w:eastAsia="Arial" w:hAnsi="Arial"/>
                <w:sz w:val="12"/>
                <w:szCs w:val="12"/>
                <w:b w:val="1"/>
                <w:bCs w:val="1"/>
                <w:color w:val="auto"/>
              </w:rPr>
              <w:t>(6)</w:t>
            </w:r>
          </w:p>
        </w:tc>
        <w:tc>
          <w:tcPr>
            <w:tcW w:w="2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Acentia, LLC, Class A Units</w:t>
            </w:r>
            <w:r>
              <w:rPr>
                <w:rFonts w:ascii="Arial" w:cs="Arial" w:eastAsia="Arial" w:hAnsi="Arial"/>
                <w:sz w:val="12"/>
                <w:szCs w:val="12"/>
                <w:color w:val="auto"/>
              </w:rPr>
              <w:t>(12)</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1,998</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2,000,000</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1,572,603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spacing w:after="0" w:line="149" w:lineRule="exact"/>
              <w:rPr>
                <w:sz w:val="20"/>
                <w:szCs w:val="20"/>
                <w:color w:val="auto"/>
              </w:rPr>
            </w:pPr>
            <w:r>
              <w:rPr>
                <w:rFonts w:ascii="Arial" w:cs="Arial" w:eastAsia="Arial" w:hAnsi="Arial"/>
                <w:sz w:val="14"/>
                <w:szCs w:val="14"/>
                <w:color w:val="auto"/>
              </w:rPr>
              <w:t>AH Holdings, Inc. (Warrants)</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03/23/2021</w:t>
            </w:r>
          </w:p>
        </w:tc>
        <w:tc>
          <w:tcPr>
            <w:tcW w:w="23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Healthcare, Education and Childcare</w:t>
            </w:r>
          </w:p>
        </w:tc>
        <w:tc>
          <w:tcPr>
            <w:tcW w:w="1180" w:type="dxa"/>
            <w:vAlign w:val="bottom"/>
            <w:gridSpan w:val="2"/>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753</w:t>
            </w:r>
          </w:p>
        </w:tc>
        <w:tc>
          <w:tcPr>
            <w:tcW w:w="3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2,499,319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Alegeus Technologies Holding Corp., Class A</w:t>
            </w: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48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950</w:t>
            </w:r>
          </w:p>
        </w:tc>
        <w:tc>
          <w:tcPr>
            <w:tcW w:w="108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(Alegeus Technologies, LLC)</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3"/>
              </w:rPr>
              <w:t>Financial Services</w:t>
            </w: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spacing w:after="0" w:line="149" w:lineRule="exact"/>
              <w:rPr>
                <w:sz w:val="20"/>
                <w:szCs w:val="20"/>
                <w:color w:val="auto"/>
              </w:rPr>
            </w:pPr>
            <w:r>
              <w:rPr>
                <w:rFonts w:ascii="Arial" w:cs="Arial" w:eastAsia="Arial" w:hAnsi="Arial"/>
                <w:sz w:val="14"/>
                <w:szCs w:val="14"/>
                <w:color w:val="auto"/>
              </w:rPr>
              <w:t>Autumn Games, LLC</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Broadcasting and Entertainment</w:t>
            </w:r>
          </w:p>
        </w:tc>
        <w:tc>
          <w:tcPr>
            <w:tcW w:w="1180" w:type="dxa"/>
            <w:vAlign w:val="bottom"/>
            <w:gridSpan w:val="2"/>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1,333,330</w:t>
            </w:r>
          </w:p>
        </w:tc>
        <w:tc>
          <w:tcPr>
            <w:tcW w:w="3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 (Galls) Prime Investment Holdings, LLC</w:t>
            </w:r>
            <w:r>
              <w:rPr>
                <w:rFonts w:ascii="Arial" w:cs="Arial" w:eastAsia="Arial" w:hAnsi="Arial"/>
                <w:sz w:val="12"/>
                <w:szCs w:val="12"/>
                <w:color w:val="auto"/>
              </w:rPr>
              <w:t>(11)</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9"/>
              </w:rPr>
              <w:t>Distribution</w:t>
            </w:r>
          </w:p>
        </w:tc>
        <w:tc>
          <w:tcPr>
            <w:tcW w:w="1180" w:type="dxa"/>
            <w:vAlign w:val="bottom"/>
            <w:gridSpan w:val="2"/>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1,505,000</w:t>
            </w: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1,505,000</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2,308,777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tcPr>
          <w:p>
            <w:pPr>
              <w:spacing w:after="0" w:line="130" w:lineRule="exact"/>
              <w:rPr>
                <w:sz w:val="20"/>
                <w:szCs w:val="20"/>
                <w:color w:val="auto"/>
              </w:rPr>
            </w:pPr>
            <w:r>
              <w:rPr>
                <w:rFonts w:ascii="Arial" w:cs="Arial" w:eastAsia="Arial" w:hAnsi="Arial"/>
                <w:sz w:val="14"/>
                <w:szCs w:val="14"/>
                <w:color w:val="auto"/>
              </w:rPr>
              <w:t>CI (IHS) Investment Holdings, LLC (Interactive</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48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23,416</w:t>
            </w: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234,693</w:t>
            </w:r>
          </w:p>
        </w:tc>
        <w:tc>
          <w:tcPr>
            <w:tcW w:w="108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364,156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gridSpan w:val="3"/>
          </w:tcPr>
          <w:p>
            <w:pPr>
              <w:ind w:left="140"/>
              <w:spacing w:after="0"/>
              <w:rPr>
                <w:sz w:val="20"/>
                <w:szCs w:val="20"/>
                <w:color w:val="auto"/>
              </w:rPr>
            </w:pPr>
            <w:r>
              <w:rPr>
                <w:rFonts w:ascii="Arial" w:cs="Arial" w:eastAsia="Arial" w:hAnsi="Arial"/>
                <w:sz w:val="14"/>
                <w:szCs w:val="14"/>
                <w:color w:val="auto"/>
              </w:rPr>
              <w:t>Health Solutions, Inc.)</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Healthcare, Education and Childcare</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w:t>
            </w:r>
            <w:r>
              <w:rPr>
                <w:rFonts w:ascii="Arial" w:cs="Arial" w:eastAsia="Arial" w:hAnsi="Arial"/>
                <w:sz w:val="12"/>
                <w:szCs w:val="12"/>
                <w:color w:val="auto"/>
              </w:rPr>
              <w:t>(9)</w:t>
            </w: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48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11,708</w:t>
            </w: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117,346</w:t>
            </w:r>
          </w:p>
        </w:tc>
        <w:tc>
          <w:tcPr>
            <w:tcW w:w="108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182,078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(Interactive Health Solutions, Inc.)</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Healthcare, Education and Childcare</w:t>
            </w: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tcPr>
          <w:p>
            <w:pPr>
              <w:spacing w:after="0" w:line="130" w:lineRule="exact"/>
              <w:rPr>
                <w:sz w:val="20"/>
                <w:szCs w:val="20"/>
                <w:color w:val="auto"/>
              </w:rPr>
            </w:pPr>
            <w:r>
              <w:rPr>
                <w:rFonts w:ascii="Arial" w:cs="Arial" w:eastAsia="Arial" w:hAnsi="Arial"/>
                <w:sz w:val="14"/>
                <w:szCs w:val="14"/>
                <w:color w:val="auto"/>
              </w:rPr>
              <w:t>Convergint Technologies Holdings, LLC</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48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2,375</w:t>
            </w:r>
          </w:p>
        </w:tc>
        <w:tc>
          <w:tcPr>
            <w:tcW w:w="9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212,881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gridSpan w:val="3"/>
          </w:tcPr>
          <w:p>
            <w:pPr>
              <w:ind w:left="140"/>
              <w:spacing w:after="0"/>
              <w:rPr>
                <w:sz w:val="20"/>
                <w:szCs w:val="20"/>
                <w:color w:val="auto"/>
              </w:rPr>
            </w:pPr>
            <w:r>
              <w:rPr>
                <w:rFonts w:ascii="Arial" w:cs="Arial" w:eastAsia="Arial" w:hAnsi="Arial"/>
                <w:sz w:val="14"/>
                <w:szCs w:val="14"/>
                <w:color w:val="auto"/>
              </w:rPr>
              <w:t>(Convergint Technologies LLC)</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Electronics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80" w:type="dxa"/>
            <w:vAlign w:val="bottom"/>
            <w:gridSpan w:val="2"/>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5,556</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1,918,346</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7,285,399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spacing w:after="0" w:line="149" w:lineRule="exact"/>
              <w:rPr>
                <w:sz w:val="20"/>
                <w:szCs w:val="20"/>
                <w:color w:val="auto"/>
              </w:rPr>
            </w:pPr>
            <w:r>
              <w:rPr>
                <w:rFonts w:ascii="Arial" w:cs="Arial" w:eastAsia="Arial" w:hAnsi="Arial"/>
                <w:sz w:val="14"/>
                <w:szCs w:val="14"/>
                <w:color w:val="auto"/>
              </w:rPr>
              <w:t>HW Topco, Inc.</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1180" w:type="dxa"/>
            <w:vAlign w:val="bottom"/>
            <w:gridSpan w:val="2"/>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386,770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2,697,835</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3,400,855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Kadmon Holdings, LLC, Class A</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2"/>
              </w:rPr>
              <w:t>Healthcare, Education and Childcare</w:t>
            </w:r>
          </w:p>
        </w:tc>
        <w:tc>
          <w:tcPr>
            <w:tcW w:w="1180" w:type="dxa"/>
            <w:vAlign w:val="bottom"/>
            <w:gridSpan w:val="2"/>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1,079,920</w:t>
            </w: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1,236,832</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11,085,403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spacing w:after="0" w:line="149" w:lineRule="exact"/>
              <w:rPr>
                <w:sz w:val="20"/>
                <w:szCs w:val="20"/>
                <w:color w:val="auto"/>
              </w:rPr>
            </w:pPr>
            <w:r>
              <w:rPr>
                <w:rFonts w:ascii="Arial" w:cs="Arial" w:eastAsia="Arial" w:hAnsi="Arial"/>
                <w:sz w:val="14"/>
                <w:szCs w:val="14"/>
                <w:color w:val="auto"/>
              </w:rPr>
              <w:t>Kadmon Holdings, LLC, Class D</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Healthcare, Education and Childcare</w:t>
            </w:r>
          </w:p>
        </w:tc>
        <w:tc>
          <w:tcPr>
            <w:tcW w:w="1180" w:type="dxa"/>
            <w:vAlign w:val="bottom"/>
            <w:gridSpan w:val="2"/>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1,079,920</w:t>
            </w:r>
          </w:p>
        </w:tc>
        <w:tc>
          <w:tcPr>
            <w:tcW w:w="3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1,028,807</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04/27/2020</w:t>
            </w:r>
          </w:p>
        </w:tc>
        <w:tc>
          <w:tcPr>
            <w:tcW w:w="23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Education</w:t>
            </w:r>
          </w:p>
        </w:tc>
        <w:tc>
          <w:tcPr>
            <w:tcW w:w="1180" w:type="dxa"/>
            <w:vAlign w:val="bottom"/>
            <w:gridSpan w:val="2"/>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6,649</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779,920</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4,300,696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tcPr>
          <w:p>
            <w:pPr>
              <w:spacing w:after="0" w:line="130" w:lineRule="exact"/>
              <w:rPr>
                <w:sz w:val="20"/>
                <w:szCs w:val="20"/>
                <w:color w:val="auto"/>
              </w:rPr>
            </w:pPr>
            <w:r>
              <w:rPr>
                <w:rFonts w:ascii="Arial" w:cs="Arial" w:eastAsia="Arial" w:hAnsi="Arial"/>
                <w:sz w:val="14"/>
                <w:szCs w:val="14"/>
                <w:color w:val="auto"/>
                <w:w w:val="99"/>
              </w:rPr>
              <w:t>Magnum Hunter Resources Corporation (Eureka</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48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1,221,932</w:t>
            </w:r>
          </w:p>
        </w:tc>
        <w:tc>
          <w:tcPr>
            <w:tcW w:w="3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3,057,500</w:t>
            </w:r>
          </w:p>
        </w:tc>
        <w:tc>
          <w:tcPr>
            <w:tcW w:w="108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7,539,320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20" w:type="dxa"/>
            <w:vAlign w:val="bottom"/>
            <w:gridSpan w:val="3"/>
          </w:tcPr>
          <w:p>
            <w:pPr>
              <w:ind w:left="140"/>
              <w:spacing w:after="0"/>
              <w:rPr>
                <w:sz w:val="20"/>
                <w:szCs w:val="20"/>
                <w:color w:val="auto"/>
              </w:rPr>
            </w:pPr>
            <w:r>
              <w:rPr>
                <w:rFonts w:ascii="Arial" w:cs="Arial" w:eastAsia="Arial" w:hAnsi="Arial"/>
                <w:sz w:val="14"/>
                <w:szCs w:val="14"/>
                <w:color w:val="auto"/>
              </w:rPr>
              <w:t>Hunter Pipeline, LLC)</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Oil and Gas</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Current</w:t>
            </w: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Spread</w:t>
            </w: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Par /</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Maturity</w:t>
            </w: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Industry</w:t>
            </w:r>
          </w:p>
        </w:tc>
        <w:tc>
          <w:tcPr>
            <w:tcW w:w="1080" w:type="dxa"/>
            <w:vAlign w:val="bottom"/>
            <w:gridSpan w:val="2"/>
            <w:vMerge w:val="continue"/>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Above</w:t>
            </w:r>
          </w:p>
        </w:tc>
        <w:tc>
          <w:tcPr>
            <w:tcW w:w="1020" w:type="dxa"/>
            <w:vAlign w:val="bottom"/>
            <w:gridSpan w:val="2"/>
            <w:vMerge w:val="continue"/>
          </w:tcPr>
          <w:p>
            <w:pPr>
              <w:spacing w:after="0"/>
              <w:rPr>
                <w:sz w:val="12"/>
                <w:szCs w:val="12"/>
                <w:color w:val="auto"/>
              </w:rPr>
            </w:pPr>
          </w:p>
        </w:tc>
        <w:tc>
          <w:tcPr>
            <w:tcW w:w="8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920" w:type="dxa"/>
            <w:vAlign w:val="bottom"/>
            <w:gridSpan w:val="3"/>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Coupon</w:t>
            </w: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Index</w:t>
            </w:r>
            <w:r>
              <w:rPr>
                <w:rFonts w:ascii="Arial" w:cs="Arial" w:eastAsia="Arial" w:hAnsi="Arial"/>
                <w:sz w:val="12"/>
                <w:szCs w:val="12"/>
                <w:b w:val="1"/>
                <w:bCs w:val="1"/>
                <w:color w:val="auto"/>
                <w:w w:val="93"/>
              </w:rPr>
              <w:t>(4)</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3900" w:type="dxa"/>
            <w:vAlign w:val="bottom"/>
            <w:gridSpan w:val="2"/>
            <w:shd w:val="clear" w:color="auto" w:fill="CCEEFF"/>
          </w:tcPr>
          <w:p>
            <w:pPr>
              <w:spacing w:after="0" w:line="110" w:lineRule="exact"/>
              <w:rPr>
                <w:sz w:val="20"/>
                <w:szCs w:val="20"/>
                <w:color w:val="auto"/>
              </w:rPr>
            </w:pPr>
            <w:r>
              <w:rPr>
                <w:rFonts w:ascii="Arial" w:cs="Arial" w:eastAsia="Arial" w:hAnsi="Arial"/>
                <w:sz w:val="12"/>
                <w:szCs w:val="12"/>
                <w:color w:val="auto"/>
              </w:rPr>
              <w:t>Magnum Hunter Resources Corporation (Warrants)</w:t>
            </w: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2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(Eureka Hunter Pipeline, LLC)</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6"/>
              </w:rPr>
              <w:t>10/14/2013</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1"/>
              </w:rPr>
              <w:t>Oil and Gas</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122,193</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105,697</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tcPr>
          <w:p>
            <w:pPr>
              <w:spacing w:after="0" w:line="130" w:lineRule="exact"/>
              <w:rPr>
                <w:sz w:val="20"/>
                <w:szCs w:val="20"/>
                <w:color w:val="auto"/>
              </w:rPr>
            </w:pPr>
            <w:r>
              <w:rPr>
                <w:rFonts w:ascii="Arial" w:cs="Arial" w:eastAsia="Arial" w:hAnsi="Arial"/>
                <w:sz w:val="14"/>
                <w:szCs w:val="14"/>
                <w:color w:val="auto"/>
              </w:rPr>
              <w:t>Magnum Hunter Resources Corporation (Warrants)</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00" w:type="dxa"/>
            <w:vAlign w:val="bottom"/>
            <w:gridSpan w:val="2"/>
          </w:tcPr>
          <w:p>
            <w:pPr>
              <w:ind w:left="140"/>
              <w:spacing w:after="0"/>
              <w:rPr>
                <w:sz w:val="20"/>
                <w:szCs w:val="20"/>
                <w:color w:val="auto"/>
              </w:rPr>
            </w:pPr>
            <w:r>
              <w:rPr>
                <w:rFonts w:ascii="Arial" w:cs="Arial" w:eastAsia="Arial" w:hAnsi="Arial"/>
                <w:sz w:val="14"/>
                <w:szCs w:val="14"/>
                <w:color w:val="auto"/>
              </w:rPr>
              <w:t>(Eureka Hunter Pipeline, LLC)</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w w:val="96"/>
              </w:rPr>
              <w:t>04/16/2016</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122,193</w:t>
            </w:r>
          </w:p>
        </w:tc>
        <w:tc>
          <w:tcPr>
            <w:tcW w:w="820" w:type="dxa"/>
            <w:vAlign w:val="bottom"/>
          </w:tcPr>
          <w:p>
            <w:pPr>
              <w:jc w:val="right"/>
              <w:spacing w:after="0"/>
              <w:rPr>
                <w:sz w:val="20"/>
                <w:szCs w:val="20"/>
                <w:color w:val="auto"/>
              </w:rPr>
            </w:pPr>
            <w:r>
              <w:rPr>
                <w:rFonts w:ascii="Arial" w:cs="Arial" w:eastAsia="Arial" w:hAnsi="Arial"/>
                <w:sz w:val="14"/>
                <w:szCs w:val="14"/>
                <w:color w:val="auto"/>
              </w:rPr>
              <w:t>182,499</w:t>
            </w:r>
          </w:p>
        </w:tc>
        <w:tc>
          <w:tcPr>
            <w:tcW w:w="1200" w:type="dxa"/>
            <w:vAlign w:val="bottom"/>
            <w:gridSpan w:val="3"/>
          </w:tcPr>
          <w:p>
            <w:pPr>
              <w:jc w:val="right"/>
              <w:ind w:right="140"/>
              <w:spacing w:after="0"/>
              <w:rPr>
                <w:sz w:val="20"/>
                <w:szCs w:val="20"/>
                <w:color w:val="auto"/>
              </w:rPr>
            </w:pPr>
            <w:r>
              <w:rPr>
                <w:rFonts w:ascii="Arial" w:cs="Arial" w:eastAsia="Arial" w:hAnsi="Arial"/>
                <w:sz w:val="14"/>
                <w:szCs w:val="14"/>
                <w:color w:val="auto"/>
              </w:rPr>
              <w:t>205,667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JF Holdings Corp.</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(JF Acquisition, LLC)</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7"/>
              </w:rPr>
              <w:t>Distribution</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1,850</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1,850,294</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1,845,784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tcPr>
          <w:p>
            <w:pPr>
              <w:spacing w:after="0" w:line="130" w:lineRule="exact"/>
              <w:rPr>
                <w:sz w:val="20"/>
                <w:szCs w:val="20"/>
                <w:color w:val="auto"/>
              </w:rPr>
            </w:pPr>
            <w:r>
              <w:rPr>
                <w:rFonts w:ascii="Arial" w:cs="Arial" w:eastAsia="Arial" w:hAnsi="Arial"/>
                <w:sz w:val="14"/>
                <w:szCs w:val="14"/>
                <w:color w:val="auto"/>
              </w:rPr>
              <w:t>MidOcean PPL Holdings, Corp.</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1"/>
              </w:rPr>
              <w:t>Personal, Food and</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(Pre-Paid Legal Services, Inc.)</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Miscellaneous</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Services</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3,000</w:t>
            </w:r>
          </w:p>
        </w:tc>
        <w:tc>
          <w:tcPr>
            <w:tcW w:w="820" w:type="dxa"/>
            <w:vAlign w:val="bottom"/>
          </w:tcPr>
          <w:p>
            <w:pPr>
              <w:jc w:val="right"/>
              <w:spacing w:after="0"/>
              <w:rPr>
                <w:sz w:val="20"/>
                <w:szCs w:val="20"/>
                <w:color w:val="auto"/>
              </w:rPr>
            </w:pPr>
            <w:r>
              <w:rPr>
                <w:rFonts w:ascii="Arial" w:cs="Arial" w:eastAsia="Arial" w:hAnsi="Arial"/>
                <w:sz w:val="14"/>
                <w:szCs w:val="14"/>
                <w:color w:val="auto"/>
              </w:rPr>
              <w:t>3,000,000</w:t>
            </w:r>
          </w:p>
        </w:tc>
        <w:tc>
          <w:tcPr>
            <w:tcW w:w="1200" w:type="dxa"/>
            <w:vAlign w:val="bottom"/>
            <w:gridSpan w:val="3"/>
          </w:tcPr>
          <w:p>
            <w:pPr>
              <w:jc w:val="right"/>
              <w:ind w:right="140"/>
              <w:spacing w:after="0"/>
              <w:rPr>
                <w:sz w:val="20"/>
                <w:szCs w:val="20"/>
                <w:color w:val="auto"/>
              </w:rPr>
            </w:pPr>
            <w:r>
              <w:rPr>
                <w:rFonts w:ascii="Arial" w:cs="Arial" w:eastAsia="Arial" w:hAnsi="Arial"/>
                <w:sz w:val="14"/>
                <w:szCs w:val="14"/>
                <w:color w:val="auto"/>
              </w:rPr>
              <w:t>5,441,976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Paradigm Acquisition Corp.</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2"/>
              </w:rPr>
              <w:t>Healthcare,</w:t>
            </w: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Education</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2"/>
              </w:rPr>
              <w:t>and Childcare</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20,000</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3,720,481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tcPr>
          <w:p>
            <w:pPr>
              <w:spacing w:after="0" w:line="130" w:lineRule="exact"/>
              <w:rPr>
                <w:sz w:val="20"/>
                <w:szCs w:val="20"/>
                <w:color w:val="auto"/>
              </w:rPr>
            </w:pPr>
            <w:r>
              <w:rPr>
                <w:rFonts w:ascii="Arial" w:cs="Arial" w:eastAsia="Arial" w:hAnsi="Arial"/>
                <w:sz w:val="14"/>
                <w:szCs w:val="14"/>
                <w:color w:val="auto"/>
              </w:rPr>
              <w:t>QMG HoldCo, LLC, Class A</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00" w:type="dxa"/>
            <w:vAlign w:val="bottom"/>
            <w:gridSpan w:val="2"/>
          </w:tcPr>
          <w:p>
            <w:pPr>
              <w:ind w:left="140"/>
              <w:spacing w:after="0"/>
              <w:rPr>
                <w:sz w:val="20"/>
                <w:szCs w:val="20"/>
                <w:color w:val="auto"/>
              </w:rPr>
            </w:pPr>
            <w:r>
              <w:rPr>
                <w:rFonts w:ascii="Arial" w:cs="Arial" w:eastAsia="Arial" w:hAnsi="Arial"/>
                <w:sz w:val="14"/>
                <w:szCs w:val="14"/>
                <w:color w:val="auto"/>
              </w:rPr>
              <w:t>(Questex Media Group, LLC)</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Other Media</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4,325</w:t>
            </w:r>
          </w:p>
        </w:tc>
        <w:tc>
          <w:tcPr>
            <w:tcW w:w="820" w:type="dxa"/>
            <w:vAlign w:val="bottom"/>
          </w:tcPr>
          <w:p>
            <w:pPr>
              <w:jc w:val="right"/>
              <w:spacing w:after="0"/>
              <w:rPr>
                <w:sz w:val="20"/>
                <w:szCs w:val="20"/>
                <w:color w:val="auto"/>
              </w:rPr>
            </w:pPr>
            <w:r>
              <w:rPr>
                <w:rFonts w:ascii="Arial" w:cs="Arial" w:eastAsia="Arial" w:hAnsi="Arial"/>
                <w:sz w:val="14"/>
                <w:szCs w:val="14"/>
                <w:color w:val="auto"/>
              </w:rPr>
              <w:t>1,306,167</w:t>
            </w:r>
          </w:p>
        </w:tc>
        <w:tc>
          <w:tcPr>
            <w:tcW w:w="1200" w:type="dxa"/>
            <w:vAlign w:val="bottom"/>
            <w:gridSpan w:val="3"/>
          </w:tcPr>
          <w:p>
            <w:pPr>
              <w:jc w:val="right"/>
              <w:ind w:right="140"/>
              <w:spacing w:after="0"/>
              <w:rPr>
                <w:sz w:val="20"/>
                <w:szCs w:val="20"/>
                <w:color w:val="auto"/>
              </w:rPr>
            </w:pPr>
            <w:r>
              <w:rPr>
                <w:rFonts w:ascii="Arial" w:cs="Arial" w:eastAsia="Arial" w:hAnsi="Arial"/>
                <w:sz w:val="14"/>
                <w:szCs w:val="14"/>
                <w:color w:val="auto"/>
              </w:rPr>
              <w:t>2,073,419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QMG HoldCo, LLC, Class B</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(Questex Media Group, LLC)</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3"/>
              </w:rPr>
              <w:t>Other Media</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32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254,563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tcPr>
          <w:p>
            <w:pPr>
              <w:spacing w:after="0" w:line="130" w:lineRule="exact"/>
              <w:rPr>
                <w:sz w:val="20"/>
                <w:szCs w:val="20"/>
                <w:color w:val="auto"/>
              </w:rPr>
            </w:pPr>
            <w:r>
              <w:rPr>
                <w:rFonts w:ascii="Arial" w:cs="Arial" w:eastAsia="Arial" w:hAnsi="Arial"/>
                <w:sz w:val="14"/>
                <w:szCs w:val="14"/>
                <w:color w:val="auto"/>
              </w:rPr>
              <w:t>SPG Boyd Holdings Corp.</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Chemical, Plastic</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(LTI Flexible Products, Inc.)</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and</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Rubber</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300,000</w:t>
            </w:r>
          </w:p>
        </w:tc>
        <w:tc>
          <w:tcPr>
            <w:tcW w:w="820" w:type="dxa"/>
            <w:vAlign w:val="bottom"/>
          </w:tcPr>
          <w:p>
            <w:pPr>
              <w:jc w:val="right"/>
              <w:spacing w:after="0"/>
              <w:rPr>
                <w:sz w:val="20"/>
                <w:szCs w:val="20"/>
                <w:color w:val="auto"/>
              </w:rPr>
            </w:pPr>
            <w:r>
              <w:rPr>
                <w:rFonts w:ascii="Arial" w:cs="Arial" w:eastAsia="Arial" w:hAnsi="Arial"/>
                <w:sz w:val="14"/>
                <w:szCs w:val="14"/>
                <w:color w:val="auto"/>
              </w:rPr>
              <w:t>3,000,000</w:t>
            </w:r>
          </w:p>
        </w:tc>
        <w:tc>
          <w:tcPr>
            <w:tcW w:w="1200" w:type="dxa"/>
            <w:vAlign w:val="bottom"/>
            <w:gridSpan w:val="3"/>
          </w:tcPr>
          <w:p>
            <w:pPr>
              <w:jc w:val="right"/>
              <w:ind w:right="140"/>
              <w:spacing w:after="0"/>
              <w:rPr>
                <w:sz w:val="20"/>
                <w:szCs w:val="20"/>
                <w:color w:val="auto"/>
              </w:rPr>
            </w:pPr>
            <w:r>
              <w:rPr>
                <w:rFonts w:ascii="Arial" w:cs="Arial" w:eastAsia="Arial" w:hAnsi="Arial"/>
                <w:sz w:val="14"/>
                <w:szCs w:val="14"/>
                <w:color w:val="auto"/>
              </w:rPr>
              <w:t>5,571,120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12/29/2019</w:t>
            </w:r>
          </w:p>
        </w:tc>
        <w:tc>
          <w:tcPr>
            <w:tcW w:w="1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3,500</w:t>
            </w: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606,681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tcPr>
          <w:p>
            <w:pPr>
              <w:spacing w:after="0" w:line="130" w:lineRule="exact"/>
              <w:rPr>
                <w:sz w:val="20"/>
                <w:szCs w:val="20"/>
                <w:color w:val="auto"/>
              </w:rPr>
            </w:pPr>
            <w:r>
              <w:rPr>
                <w:rFonts w:ascii="Arial" w:cs="Arial" w:eastAsia="Arial" w:hAnsi="Arial"/>
                <w:sz w:val="14"/>
                <w:szCs w:val="14"/>
                <w:color w:val="auto"/>
              </w:rPr>
              <w:t>Transportation 100 Holdco, L.L.C.</w:t>
            </w:r>
            <w:r>
              <w:rPr>
                <w:rFonts w:ascii="Arial" w:cs="Arial" w:eastAsia="Arial" w:hAnsi="Arial"/>
                <w:sz w:val="12"/>
                <w:szCs w:val="12"/>
                <w:color w:val="auto"/>
              </w:rPr>
              <w:t>(13)</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00" w:type="dxa"/>
            <w:vAlign w:val="bottom"/>
            <w:gridSpan w:val="2"/>
          </w:tcPr>
          <w:p>
            <w:pPr>
              <w:ind w:left="140"/>
              <w:spacing w:after="0"/>
              <w:rPr>
                <w:sz w:val="20"/>
                <w:szCs w:val="20"/>
                <w:color w:val="auto"/>
              </w:rPr>
            </w:pPr>
            <w:r>
              <w:rPr>
                <w:rFonts w:ascii="Arial" w:cs="Arial" w:eastAsia="Arial" w:hAnsi="Arial"/>
                <w:sz w:val="14"/>
                <w:szCs w:val="14"/>
                <w:color w:val="auto"/>
              </w:rPr>
              <w:t>(Intermediate Transportation 100, L.L.C.)</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Cargo Transport</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137,923</w:t>
            </w:r>
          </w:p>
        </w:tc>
        <w:tc>
          <w:tcPr>
            <w:tcW w:w="820" w:type="dxa"/>
            <w:vAlign w:val="bottom"/>
          </w:tcPr>
          <w:p>
            <w:pPr>
              <w:jc w:val="right"/>
              <w:spacing w:after="0"/>
              <w:rPr>
                <w:sz w:val="20"/>
                <w:szCs w:val="20"/>
                <w:color w:val="auto"/>
              </w:rPr>
            </w:pPr>
            <w:r>
              <w:rPr>
                <w:rFonts w:ascii="Arial" w:cs="Arial" w:eastAsia="Arial" w:hAnsi="Arial"/>
                <w:sz w:val="14"/>
                <w:szCs w:val="14"/>
                <w:color w:val="auto"/>
              </w:rPr>
              <w:t>2,111,588</w:t>
            </w:r>
          </w:p>
        </w:tc>
        <w:tc>
          <w:tcPr>
            <w:tcW w:w="1200" w:type="dxa"/>
            <w:vAlign w:val="bottom"/>
            <w:gridSpan w:val="3"/>
          </w:tcPr>
          <w:p>
            <w:pPr>
              <w:jc w:val="right"/>
              <w:ind w:right="140"/>
              <w:spacing w:after="0"/>
              <w:rPr>
                <w:sz w:val="20"/>
                <w:szCs w:val="20"/>
                <w:color w:val="auto"/>
              </w:rPr>
            </w:pPr>
            <w:r>
              <w:rPr>
                <w:rFonts w:ascii="Arial" w:cs="Arial" w:eastAsia="Arial" w:hAnsi="Arial"/>
                <w:sz w:val="14"/>
                <w:szCs w:val="14"/>
                <w:color w:val="auto"/>
              </w:rPr>
              <w:t>379,453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Insurance</w:t>
            </w:r>
          </w:p>
        </w:tc>
        <w:tc>
          <w:tcPr>
            <w:tcW w:w="10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9,567</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tcPr>
          <w:p>
            <w:pPr>
              <w:spacing w:after="0" w:line="130" w:lineRule="exact"/>
              <w:rPr>
                <w:sz w:val="20"/>
                <w:szCs w:val="20"/>
                <w:color w:val="auto"/>
              </w:rPr>
            </w:pPr>
            <w:r>
              <w:rPr>
                <w:rFonts w:ascii="Arial" w:cs="Arial" w:eastAsia="Arial" w:hAnsi="Arial"/>
                <w:sz w:val="14"/>
                <w:szCs w:val="14"/>
                <w:color w:val="auto"/>
              </w:rPr>
              <w:t>Vestcom Parent Holdings, Inc. (Vestcom International, Inc.)</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6"/>
              </w:rPr>
              <w:t>Printing and</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Publishing</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211,797</w:t>
            </w:r>
          </w:p>
        </w:tc>
        <w:tc>
          <w:tcPr>
            <w:tcW w:w="820" w:type="dxa"/>
            <w:vAlign w:val="bottom"/>
          </w:tcPr>
          <w:p>
            <w:pPr>
              <w:jc w:val="right"/>
              <w:spacing w:after="0"/>
              <w:rPr>
                <w:sz w:val="20"/>
                <w:szCs w:val="20"/>
                <w:color w:val="auto"/>
              </w:rPr>
            </w:pPr>
            <w:r>
              <w:rPr>
                <w:rFonts w:ascii="Arial" w:cs="Arial" w:eastAsia="Arial" w:hAnsi="Arial"/>
                <w:sz w:val="14"/>
                <w:szCs w:val="14"/>
                <w:color w:val="auto"/>
              </w:rPr>
              <w:t>2,325,555</w:t>
            </w:r>
          </w:p>
        </w:tc>
        <w:tc>
          <w:tcPr>
            <w:tcW w:w="1200" w:type="dxa"/>
            <w:vAlign w:val="bottom"/>
            <w:gridSpan w:val="3"/>
          </w:tcPr>
          <w:p>
            <w:pPr>
              <w:jc w:val="right"/>
              <w:ind w:right="140"/>
              <w:spacing w:after="0"/>
              <w:rPr>
                <w:sz w:val="20"/>
                <w:szCs w:val="20"/>
                <w:color w:val="auto"/>
              </w:rPr>
            </w:pPr>
            <w:r>
              <w:rPr>
                <w:rFonts w:ascii="Arial" w:cs="Arial" w:eastAsia="Arial" w:hAnsi="Arial"/>
                <w:sz w:val="14"/>
                <w:szCs w:val="14"/>
                <w:color w:val="auto"/>
              </w:rPr>
              <w:t>2,626,512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VRide Holdings Inc.</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6"/>
              </w:rPr>
              <w:t>Personal</w:t>
            </w: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3"/>
              </w:rPr>
              <w:t>Transportation</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9,166</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9,166</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35,526</w:t>
            </w: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4,050,000</w:t>
            </w:r>
          </w:p>
        </w:tc>
        <w:tc>
          <w:tcPr>
            <w:tcW w:w="2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5,966,074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37,557,162</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70,472,831</w:t>
            </w:r>
          </w:p>
        </w:tc>
        <w:tc>
          <w:tcPr>
            <w:tcW w:w="0" w:type="dxa"/>
            <w:vAlign w:val="bottom"/>
          </w:tcPr>
          <w:p>
            <w:pPr>
              <w:spacing w:after="0"/>
              <w:rPr>
                <w:sz w:val="1"/>
                <w:szCs w:val="1"/>
                <w:color w:val="auto"/>
              </w:rPr>
            </w:pPr>
          </w:p>
        </w:tc>
      </w:tr>
      <w:tr>
        <w:trPr>
          <w:trHeight w:val="163"/>
        </w:trPr>
        <w:tc>
          <w:tcPr>
            <w:tcW w:w="496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928,078,589</w:t>
            </w:r>
          </w:p>
        </w:tc>
        <w:tc>
          <w:tcPr>
            <w:tcW w:w="2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968,471,042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Investments in Non-Controlled, Affiliated Portfolio Companies—11.0%</w:t>
            </w:r>
            <w:r>
              <w:rPr>
                <w:rFonts w:ascii="Arial" w:cs="Arial" w:eastAsia="Arial" w:hAnsi="Arial"/>
                <w:sz w:val="12"/>
                <w:szCs w:val="12"/>
                <w:b w:val="1"/>
                <w:bCs w:val="1"/>
                <w:color w:val="auto"/>
                <w:w w:val="98"/>
              </w:rPr>
              <w:t>(1), (2)</w:t>
            </w: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Notes—5.7%</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DirectBuy Holdings, Inc.</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360"/>
              <w:spacing w:after="0" w:line="130" w:lineRule="exact"/>
              <w:rPr>
                <w:sz w:val="20"/>
                <w:szCs w:val="20"/>
                <w:color w:val="auto"/>
              </w:rPr>
            </w:pPr>
            <w:r>
              <w:rPr>
                <w:rFonts w:ascii="Arial" w:cs="Arial" w:eastAsia="Arial" w:hAnsi="Arial"/>
                <w:sz w:val="14"/>
                <w:szCs w:val="14"/>
                <w:color w:val="auto"/>
              </w:rPr>
              <w:t>12.00%</w:t>
            </w: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11/05/2019</w:t>
            </w:r>
          </w:p>
        </w:tc>
        <w:tc>
          <w:tcPr>
            <w:tcW w:w="3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0"/>
              </w:rPr>
              <w:t>Consumer Products</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(PIK 12.00%)</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6"/>
              </w:rPr>
              <w:t>11,428,224</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  11,428,224</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  11,428,224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10/02/2017</w:t>
            </w:r>
          </w:p>
        </w:tc>
        <w:tc>
          <w:tcPr>
            <w:tcW w:w="340" w:type="dxa"/>
            <w:vAlign w:val="bottom"/>
          </w:tcPr>
          <w:p>
            <w:pPr>
              <w:spacing w:after="0"/>
              <w:rPr>
                <w:sz w:val="13"/>
                <w:szCs w:val="13"/>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Auto Sector</w:t>
            </w:r>
          </w:p>
        </w:tc>
        <w:tc>
          <w:tcPr>
            <w:tcW w:w="10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12.50%</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28,000,000</w:t>
            </w:r>
          </w:p>
        </w:tc>
        <w:tc>
          <w:tcPr>
            <w:tcW w:w="32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27,474,713</w:t>
            </w:r>
          </w:p>
        </w:tc>
        <w:tc>
          <w:tcPr>
            <w:tcW w:w="2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28,248,043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38,902,937</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39,676,267</w:t>
            </w:r>
          </w:p>
        </w:tc>
        <w:tc>
          <w:tcPr>
            <w:tcW w:w="0" w:type="dxa"/>
            <w:vAlign w:val="bottom"/>
          </w:tcPr>
          <w:p>
            <w:pPr>
              <w:spacing w:after="0"/>
              <w:rPr>
                <w:sz w:val="1"/>
                <w:szCs w:val="1"/>
                <w:color w:val="auto"/>
              </w:rPr>
            </w:pPr>
          </w:p>
        </w:tc>
      </w:tr>
      <w:tr>
        <w:trPr>
          <w:trHeight w:val="156"/>
        </w:trPr>
        <w:tc>
          <w:tcPr>
            <w:tcW w:w="39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Preferred Equity – 0.2%</w:t>
            </w:r>
            <w:r>
              <w:rPr>
                <w:rFonts w:ascii="Arial" w:cs="Arial" w:eastAsia="Arial" w:hAnsi="Arial"/>
                <w:sz w:val="12"/>
                <w:szCs w:val="12"/>
                <w:b w:val="1"/>
                <w:bCs w:val="1"/>
                <w:color w:val="auto"/>
              </w:rPr>
              <w:t>(6)</w:t>
            </w: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PAS International Holdings, Inc.</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Aerospace</w:t>
            </w: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0"/>
              </w:rPr>
              <w:t>and Defense</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53,071</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20,059,340</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1,694,296</w:t>
            </w:r>
          </w:p>
        </w:tc>
        <w:tc>
          <w:tcPr>
            <w:tcW w:w="0" w:type="dxa"/>
            <w:vAlign w:val="bottom"/>
          </w:tcPr>
          <w:p>
            <w:pPr>
              <w:spacing w:after="0"/>
              <w:rPr>
                <w:sz w:val="1"/>
                <w:szCs w:val="1"/>
                <w:color w:val="auto"/>
              </w:rPr>
            </w:pPr>
          </w:p>
        </w:tc>
      </w:tr>
      <w:tr>
        <w:trPr>
          <w:trHeight w:val="156"/>
        </w:trPr>
        <w:tc>
          <w:tcPr>
            <w:tcW w:w="39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Common Equity/Partnership Interest—5.1%</w:t>
            </w:r>
            <w:r>
              <w:rPr>
                <w:rFonts w:ascii="Arial" w:cs="Arial" w:eastAsia="Arial" w:hAnsi="Arial"/>
                <w:sz w:val="12"/>
                <w:szCs w:val="12"/>
                <w:b w:val="1"/>
                <w:bCs w:val="1"/>
                <w:color w:val="auto"/>
              </w:rPr>
              <w:t>(6)</w:t>
            </w: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p>
        </w:tc>
        <w:tc>
          <w:tcPr>
            <w:tcW w:w="10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Consumer Products</w:t>
            </w:r>
          </w:p>
        </w:tc>
        <w:tc>
          <w:tcPr>
            <w:tcW w:w="10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104,719</w:t>
            </w: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21,492,822</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5,556,207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 (Warrants)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4"/>
              </w:rPr>
              <w:t>11/05/2022</w:t>
            </w:r>
          </w:p>
        </w:tc>
        <w:tc>
          <w:tcPr>
            <w:tcW w:w="34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Consumer Products</w:t>
            </w: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15,486</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821,505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EnviroSolutions Holdings, Inc.</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Environmental</w:t>
            </w: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9"/>
              </w:rPr>
              <w:t>Services</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142,684</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11,891,822</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21,265,345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tcPr>
          <w:p>
            <w:pPr>
              <w:spacing w:after="0" w:line="130" w:lineRule="exact"/>
              <w:rPr>
                <w:sz w:val="20"/>
                <w:szCs w:val="20"/>
                <w:color w:val="auto"/>
              </w:rPr>
            </w:pPr>
            <w:r>
              <w:rPr>
                <w:rFonts w:ascii="Arial" w:cs="Arial" w:eastAsia="Arial" w:hAnsi="Arial"/>
                <w:sz w:val="14"/>
                <w:szCs w:val="14"/>
                <w:color w:val="auto"/>
              </w:rPr>
              <w:t>NCP-Performance, L.P.</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6"/>
              </w:rPr>
              <w:t>Leisure,</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Amusement,</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Motion Pictures</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and</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Entertainment</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375,000</w:t>
            </w:r>
          </w:p>
        </w:tc>
        <w:tc>
          <w:tcPr>
            <w:tcW w:w="820" w:type="dxa"/>
            <w:vAlign w:val="bottom"/>
          </w:tcPr>
          <w:p>
            <w:pPr>
              <w:jc w:val="right"/>
              <w:spacing w:after="0"/>
              <w:rPr>
                <w:sz w:val="20"/>
                <w:szCs w:val="20"/>
                <w:color w:val="auto"/>
              </w:rPr>
            </w:pPr>
            <w:r>
              <w:rPr>
                <w:rFonts w:ascii="Arial" w:cs="Arial" w:eastAsia="Arial" w:hAnsi="Arial"/>
                <w:sz w:val="14"/>
                <w:szCs w:val="14"/>
                <w:color w:val="auto"/>
              </w:rPr>
              <w:t>3,750,000</w:t>
            </w:r>
          </w:p>
        </w:tc>
        <w:tc>
          <w:tcPr>
            <w:tcW w:w="1200" w:type="dxa"/>
            <w:vAlign w:val="bottom"/>
            <w:gridSpan w:val="3"/>
          </w:tcPr>
          <w:p>
            <w:pPr>
              <w:jc w:val="right"/>
              <w:ind w:right="140"/>
              <w:spacing w:after="0"/>
              <w:rPr>
                <w:sz w:val="20"/>
                <w:szCs w:val="20"/>
                <w:color w:val="auto"/>
              </w:rPr>
            </w:pPr>
            <w:r>
              <w:rPr>
                <w:rFonts w:ascii="Arial" w:cs="Arial" w:eastAsia="Arial" w:hAnsi="Arial"/>
                <w:sz w:val="14"/>
                <w:szCs w:val="14"/>
                <w:color w:val="auto"/>
              </w:rPr>
              <w:t>2,500,165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Service Champ Holdings, Inc. (Service Champ, Inc.)</w:t>
            </w:r>
          </w:p>
        </w:tc>
        <w:tc>
          <w:tcPr>
            <w:tcW w:w="10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Auto Sector</w:t>
            </w:r>
          </w:p>
        </w:tc>
        <w:tc>
          <w:tcPr>
            <w:tcW w:w="10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16,800</w:t>
            </w: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2,721,600</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tcPr>
          <w:p>
            <w:pPr>
              <w:spacing w:after="0" w:line="130" w:lineRule="exact"/>
              <w:rPr>
                <w:sz w:val="20"/>
                <w:szCs w:val="20"/>
                <w:color w:val="auto"/>
              </w:rPr>
            </w:pPr>
            <w:r>
              <w:rPr>
                <w:rFonts w:ascii="Arial" w:cs="Arial" w:eastAsia="Arial" w:hAnsi="Arial"/>
                <w:sz w:val="14"/>
                <w:szCs w:val="14"/>
                <w:color w:val="auto"/>
              </w:rPr>
              <w:t>PAS International Holdings, Inc.</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89"/>
              </w:rPr>
              <w:t>Aerospace and</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Defense</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53,071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202,620</w:t>
            </w:r>
          </w:p>
        </w:tc>
        <w:tc>
          <w:tcPr>
            <w:tcW w:w="240" w:type="dxa"/>
            <w:vAlign w:val="bottom"/>
          </w:tcPr>
          <w:p>
            <w:pPr>
              <w:spacing w:after="0"/>
              <w:rPr>
                <w:sz w:val="15"/>
                <w:szCs w:val="15"/>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40,058,864</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35,365,237</w:t>
            </w:r>
          </w:p>
        </w:tc>
        <w:tc>
          <w:tcPr>
            <w:tcW w:w="0" w:type="dxa"/>
            <w:vAlign w:val="bottom"/>
          </w:tcPr>
          <w:p>
            <w:pPr>
              <w:spacing w:after="0"/>
              <w:rPr>
                <w:sz w:val="1"/>
                <w:szCs w:val="1"/>
                <w:color w:val="auto"/>
              </w:rPr>
            </w:pPr>
          </w:p>
        </w:tc>
      </w:tr>
      <w:tr>
        <w:trPr>
          <w:trHeight w:val="156"/>
        </w:trPr>
        <w:tc>
          <w:tcPr>
            <w:tcW w:w="496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99,021,141</w:t>
            </w:r>
          </w:p>
        </w:tc>
        <w:tc>
          <w:tcPr>
            <w:tcW w:w="24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76,735,800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Basis Point</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Spread</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 /</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Maturity</w:t>
            </w: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Industry</w:t>
            </w:r>
          </w:p>
        </w:tc>
        <w:tc>
          <w:tcPr>
            <w:tcW w:w="1160" w:type="dxa"/>
            <w:vAlign w:val="bottom"/>
            <w:gridSpan w:val="2"/>
            <w:vMerge w:val="continue"/>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Above</w:t>
            </w: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0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380" w:type="dxa"/>
            <w:vAlign w:val="bottom"/>
            <w:gridSpan w:val="3"/>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(4)</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36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5"/>
              </w:rPr>
              <w:t>in Controlled, Affiliated Portfolio Companies—4.7%</w:t>
            </w:r>
            <w:r>
              <w:rPr>
                <w:rFonts w:ascii="Arial" w:cs="Arial" w:eastAsia="Arial" w:hAnsi="Arial"/>
                <w:sz w:val="12"/>
                <w:szCs w:val="12"/>
                <w:b w:val="1"/>
                <w:bCs w:val="1"/>
                <w:color w:val="auto"/>
                <w:w w:val="95"/>
              </w:rPr>
              <w:t>(1),(2)</w:t>
            </w:r>
          </w:p>
        </w:tc>
        <w:tc>
          <w:tcPr>
            <w:tcW w:w="7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Debt—1.6%</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SuttonPark Holdings, Inc.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87"/>
              </w:rPr>
              <w:t>Business</w:t>
            </w:r>
          </w:p>
        </w:tc>
        <w:tc>
          <w:tcPr>
            <w:tcW w:w="6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06/30/2020</w:t>
            </w:r>
          </w:p>
        </w:tc>
        <w:tc>
          <w:tcPr>
            <w:tcW w:w="3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3"/>
              </w:rPr>
              <w:t>Services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9,250,000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9,250,000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9,556,385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gridSpan w:val="2"/>
          </w:tcPr>
          <w:p>
            <w:pPr>
              <w:spacing w:after="0" w:line="130" w:lineRule="exact"/>
              <w:rPr>
                <w:sz w:val="20"/>
                <w:szCs w:val="20"/>
                <w:color w:val="auto"/>
              </w:rPr>
            </w:pPr>
            <w:r>
              <w:rPr>
                <w:rFonts w:ascii="Arial" w:cs="Arial" w:eastAsia="Arial" w:hAnsi="Arial"/>
                <w:sz w:val="14"/>
                <w:szCs w:val="14"/>
                <w:color w:val="auto"/>
              </w:rPr>
              <w:t>Universal Pegasus International, LLC</w:t>
            </w:r>
            <w:r>
              <w:rPr>
                <w:rFonts w:ascii="Arial" w:cs="Arial" w:eastAsia="Arial" w:hAnsi="Arial"/>
                <w:sz w:val="12"/>
                <w:szCs w:val="12"/>
                <w:color w:val="auto"/>
              </w:rPr>
              <w:t>(9)</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4"/>
              </w:rPr>
              <w:t>Oil and</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4"/>
              </w:rPr>
              <w:t>12/31/2015</w:t>
            </w:r>
          </w:p>
        </w:tc>
        <w:tc>
          <w:tcPr>
            <w:tcW w:w="32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Gas</w:t>
            </w:r>
          </w:p>
        </w:tc>
        <w:tc>
          <w:tcPr>
            <w:tcW w:w="116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1,916,667</w:t>
            </w:r>
          </w:p>
        </w:tc>
        <w:tc>
          <w:tcPr>
            <w:tcW w:w="1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1,787,941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1,916,667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11,037,941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11,473,052</w:t>
            </w:r>
          </w:p>
        </w:tc>
        <w:tc>
          <w:tcPr>
            <w:tcW w:w="0" w:type="dxa"/>
            <w:vAlign w:val="bottom"/>
          </w:tcPr>
          <w:p>
            <w:pPr>
              <w:spacing w:after="0"/>
              <w:rPr>
                <w:sz w:val="1"/>
                <w:szCs w:val="1"/>
                <w:color w:val="auto"/>
              </w:rPr>
            </w:pPr>
          </w:p>
        </w:tc>
      </w:tr>
      <w:tr>
        <w:trPr>
          <w:trHeight w:val="156"/>
        </w:trPr>
        <w:tc>
          <w:tcPr>
            <w:tcW w:w="4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Debt—2.4%</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Universal Pegasus International, LLC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4"/>
                <w:szCs w:val="14"/>
                <w:color w:val="auto"/>
                <w:w w:val="94"/>
              </w:rPr>
              <w:t>Oil and</w:t>
            </w:r>
          </w:p>
        </w:tc>
        <w:tc>
          <w:tcPr>
            <w:tcW w:w="11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4"/>
                <w:szCs w:val="14"/>
                <w:color w:val="auto"/>
              </w:rPr>
              <w:t>15.00%</w:t>
            </w: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12/31/2015</w:t>
            </w:r>
          </w:p>
        </w:tc>
        <w:tc>
          <w:tcPr>
            <w:tcW w:w="3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5"/>
              </w:rPr>
              <w:t>Gas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8"/>
              </w:rPr>
              <w:t>(PIK 15.00%)</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16,615,645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14,709,502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16,449,489</w:t>
            </w:r>
          </w:p>
        </w:tc>
        <w:tc>
          <w:tcPr>
            <w:tcW w:w="0" w:type="dxa"/>
            <w:vAlign w:val="bottom"/>
          </w:tcPr>
          <w:p>
            <w:pPr>
              <w:spacing w:after="0"/>
              <w:rPr>
                <w:sz w:val="1"/>
                <w:szCs w:val="1"/>
                <w:color w:val="auto"/>
              </w:rPr>
            </w:pPr>
          </w:p>
        </w:tc>
      </w:tr>
      <w:tr>
        <w:trPr>
          <w:trHeight w:val="156"/>
        </w:trPr>
        <w:tc>
          <w:tcPr>
            <w:tcW w:w="4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Notes—0.3%</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SuttonPark Holdings, Inc.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87"/>
              </w:rPr>
              <w:t>Business</w:t>
            </w:r>
          </w:p>
        </w:tc>
        <w:tc>
          <w:tcPr>
            <w:tcW w:w="6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06/30/2020</w:t>
            </w:r>
          </w:p>
        </w:tc>
        <w:tc>
          <w:tcPr>
            <w:tcW w:w="3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3"/>
              </w:rPr>
              <w:t>Services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2,250,000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2,250,000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1,961,667</w:t>
            </w:r>
          </w:p>
        </w:tc>
        <w:tc>
          <w:tcPr>
            <w:tcW w:w="0" w:type="dxa"/>
            <w:vAlign w:val="bottom"/>
          </w:tcPr>
          <w:p>
            <w:pPr>
              <w:spacing w:after="0"/>
              <w:rPr>
                <w:sz w:val="1"/>
                <w:szCs w:val="1"/>
                <w:color w:val="auto"/>
              </w:rPr>
            </w:pPr>
          </w:p>
        </w:tc>
      </w:tr>
      <w:tr>
        <w:trPr>
          <w:trHeight w:val="156"/>
        </w:trPr>
        <w:tc>
          <w:tcPr>
            <w:tcW w:w="4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Preferred Equity—0.4%</w:t>
            </w:r>
            <w:r>
              <w:rPr>
                <w:rFonts w:ascii="Arial" w:cs="Arial" w:eastAsia="Arial" w:hAnsi="Arial"/>
                <w:sz w:val="12"/>
                <w:szCs w:val="12"/>
                <w:b w:val="1"/>
                <w:bCs w:val="1"/>
                <w:color w:val="auto"/>
              </w:rPr>
              <w:t>(6)</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SuttonPark Holdings, Inc.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87"/>
              </w:rPr>
              <w:t>Business</w:t>
            </w:r>
          </w:p>
        </w:tc>
        <w:tc>
          <w:tcPr>
            <w:tcW w:w="6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3"/>
              </w:rPr>
              <w:t>Services</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14.00%</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1,981,948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gridSpan w:val="2"/>
          </w:tcPr>
          <w:p>
            <w:pPr>
              <w:spacing w:after="0" w:line="130" w:lineRule="exact"/>
              <w:rPr>
                <w:sz w:val="20"/>
                <w:szCs w:val="20"/>
                <w:color w:val="auto"/>
              </w:rPr>
            </w:pPr>
            <w:r>
              <w:rPr>
                <w:rFonts w:ascii="Arial" w:cs="Arial" w:eastAsia="Arial" w:hAnsi="Arial"/>
                <w:sz w:val="14"/>
                <w:szCs w:val="14"/>
                <w:color w:val="auto"/>
              </w:rPr>
              <w:t>Universal Pegasus International Holdings, Inc. (Universal Pegasus</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4"/>
              </w:rPr>
              <w:t>Oil and</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gridSpan w:val="2"/>
          </w:tcPr>
          <w:p>
            <w:pPr>
              <w:ind w:left="140"/>
              <w:spacing w:after="0"/>
              <w:rPr>
                <w:sz w:val="20"/>
                <w:szCs w:val="20"/>
                <w:color w:val="auto"/>
              </w:rPr>
            </w:pPr>
            <w:r>
              <w:rPr>
                <w:rFonts w:ascii="Arial" w:cs="Arial" w:eastAsia="Arial" w:hAnsi="Arial"/>
                <w:sz w:val="14"/>
                <w:szCs w:val="14"/>
                <w:color w:val="auto"/>
              </w:rPr>
              <w:t>International, LLC)</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Gas</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8.00%</w:t>
            </w:r>
          </w:p>
        </w:tc>
        <w:tc>
          <w:tcPr>
            <w:tcW w:w="9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376,988</w:t>
            </w:r>
          </w:p>
        </w:tc>
        <w:tc>
          <w:tcPr>
            <w:tcW w:w="1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34,420,612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1,102,555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36,420,612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3,084,503</w:t>
            </w:r>
          </w:p>
        </w:tc>
        <w:tc>
          <w:tcPr>
            <w:tcW w:w="0" w:type="dxa"/>
            <w:vAlign w:val="bottom"/>
          </w:tcPr>
          <w:p>
            <w:pPr>
              <w:spacing w:after="0"/>
              <w:rPr>
                <w:sz w:val="1"/>
                <w:szCs w:val="1"/>
                <w:color w:val="auto"/>
              </w:rPr>
            </w:pPr>
          </w:p>
        </w:tc>
      </w:tr>
      <w:tr>
        <w:trPr>
          <w:trHeight w:val="156"/>
        </w:trPr>
        <w:tc>
          <w:tcPr>
            <w:tcW w:w="4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Common Equity—0.0</w:t>
            </w:r>
            <w:r>
              <w:rPr>
                <w:rFonts w:ascii="Arial" w:cs="Arial" w:eastAsia="Arial" w:hAnsi="Arial"/>
                <w:sz w:val="14"/>
                <w:szCs w:val="14"/>
                <w:color w:val="auto"/>
              </w:rPr>
              <w:t>%</w:t>
            </w:r>
            <w:r>
              <w:rPr>
                <w:rFonts w:ascii="Arial" w:cs="Arial" w:eastAsia="Arial" w:hAnsi="Arial"/>
                <w:sz w:val="12"/>
                <w:szCs w:val="12"/>
                <w:color w:val="auto"/>
              </w:rPr>
              <w:t>(6)</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SuttonPark Holdings, Inc.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87"/>
              </w:rPr>
              <w:t>Business</w:t>
            </w:r>
          </w:p>
        </w:tc>
        <w:tc>
          <w:tcPr>
            <w:tcW w:w="6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3"/>
              </w:rPr>
              <w:t>Services</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in Controlled, Affiliated Portfolio Companies</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64,418,155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32,968,711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Investments—154.6%</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1,091,517,885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1,078,175,553</w:t>
            </w:r>
          </w:p>
        </w:tc>
        <w:tc>
          <w:tcPr>
            <w:tcW w:w="0" w:type="dxa"/>
            <w:vAlign w:val="bottom"/>
          </w:tcPr>
          <w:p>
            <w:pPr>
              <w:spacing w:after="0"/>
              <w:rPr>
                <w:sz w:val="1"/>
                <w:szCs w:val="1"/>
                <w:color w:val="auto"/>
              </w:rPr>
            </w:pPr>
          </w:p>
        </w:tc>
      </w:tr>
      <w:tr>
        <w:trPr>
          <w:trHeight w:val="156"/>
        </w:trPr>
        <w:tc>
          <w:tcPr>
            <w:tcW w:w="4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and Cash Equivalents—8.4%</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2,667,511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2,667,511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BlackRock Liquidity Funds, Temp Cash, Institutional Shares</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2,446,232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2,446,232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BNY Mellon Cash Reserve</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53,327,086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53,327,086</w:t>
            </w:r>
          </w:p>
        </w:tc>
        <w:tc>
          <w:tcPr>
            <w:tcW w:w="0" w:type="dxa"/>
            <w:vAlign w:val="bottom"/>
          </w:tcPr>
          <w:p>
            <w:pPr>
              <w:spacing w:after="0"/>
              <w:rPr>
                <w:sz w:val="1"/>
                <w:szCs w:val="1"/>
                <w:color w:val="auto"/>
              </w:rPr>
            </w:pPr>
          </w:p>
        </w:tc>
      </w:tr>
      <w:tr>
        <w:trPr>
          <w:trHeight w:val="163"/>
        </w:trPr>
        <w:tc>
          <w:tcPr>
            <w:tcW w:w="4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Cash Equivalents</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58,440,829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58,440,829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Equivalents—163.0%</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$ 1,149,958,714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1,136,616,382</w:t>
            </w: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Assets—(63.0%)</w:t>
            </w: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8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w w:val="94"/>
              </w:rPr>
              <w:t>(439,110,183)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697,506,199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20" w:hanging="332"/>
        <w:spacing w:after="0" w:line="248" w:lineRule="auto"/>
        <w:tabs>
          <w:tab w:leader="none" w:pos="3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0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or “P” rate.</w:t>
      </w:r>
    </w:p>
    <w:p>
      <w:pPr>
        <w:ind w:left="340" w:right="6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34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investments). This security does not have a basis point spread above an index.</w:t>
      </w:r>
    </w:p>
    <w:p>
      <w:pPr>
        <w:ind w:left="34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34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Investment is held through PNNT Transportation 100 Holdco, L.L.C., a consolidated subsidiary.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 On April 24, 2007, we closed our initial public offering and our common stock trades on the NASDAQ Global Select Market under the symbol “PNNT.” Our 2025 Notes trade on the New York Stock Exchange, or the NYSE, under the symbol “PNTA.”</w:t>
      </w:r>
    </w:p>
    <w:p>
      <w:pPr>
        <w:spacing w:after="0" w:line="193" w:lineRule="exact"/>
        <w:rPr>
          <w:sz w:val="20"/>
          <w:szCs w:val="20"/>
          <w:color w:val="auto"/>
        </w:rPr>
      </w:pPr>
    </w:p>
    <w:p>
      <w:pPr>
        <w:ind w:right="340" w:firstLine="456"/>
        <w:spacing w:after="0" w:line="273" w:lineRule="auto"/>
        <w:rPr>
          <w:sz w:val="20"/>
          <w:szCs w:val="20"/>
          <w:color w:val="auto"/>
        </w:rPr>
      </w:pPr>
      <w:r>
        <w:rPr>
          <w:rFonts w:ascii="Arial" w:cs="Arial" w:eastAsia="Arial" w:hAnsi="Arial"/>
          <w:sz w:val="17"/>
          <w:szCs w:val="17"/>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our controlled affiliate SuttonPark Holdings, Inc. and its subsidiaries, or SPH, under separate administration agreements. See Note 3.</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small business investment companies, or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88"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These Taxable Subsidiaries allow us to hold equity securities of certain portfolio companies organized as pass-through entities while continuing to satisfy the requirements of a RIC under the Code.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reclassified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6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4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Article 6-09 of Regulation S-X, we have provided a Consolidated Statement of Changes in Net Assets in lieu of a Consolidated Statement of Changes in Stockholders’ Equity.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14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right="580" w:hanging="446"/>
        <w:spacing w:after="0" w:line="279"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900" w:right="200" w:hanging="446"/>
        <w:spacing w:after="0" w:line="286"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34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by a principal market maker or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7"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and our 2025 Notes during the reporting period, including any reversal of previously recorded unrealized appreciation or depreciation, when gains or losses are realized.</w:t>
      </w:r>
    </w:p>
    <w:p>
      <w:pPr>
        <w:spacing w:after="0" w:line="17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are capitalized, on liabilities which we do not fair value, and then accreted or amortized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6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Although we are not subject to tax on our income as a RIC, we may elect to retain a portion of our calendar year income. As a result, for both the three and nine months ended June 30, 2014, we accrued estimated taxes of less than $0.1 million. For the three and nine months ended June 30, 2013, we accrued a tax expense (benefit) of less than $0.1 million and $(0.1) million, respectively.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40" w:right="27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2010 remain subject to examination by the Internal Revenue Service.</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79" w:lineRule="exact"/>
        <w:rPr>
          <w:sz w:val="20"/>
          <w:szCs w:val="20"/>
          <w:color w:val="auto"/>
        </w:rPr>
      </w:pPr>
    </w:p>
    <w:p>
      <w:pPr>
        <w:ind w:left="480" w:hanging="244"/>
        <w:spacing w:after="0"/>
        <w:tabs>
          <w:tab w:leader="none" w:pos="48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 Translation</w:t>
      </w:r>
    </w:p>
    <w:p>
      <w:pPr>
        <w:spacing w:after="0" w:line="117"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rFonts w:ascii="Arial" w:cs="Arial" w:eastAsia="Arial" w:hAnsi="Arial"/>
          <w:sz w:val="18"/>
          <w:szCs w:val="18"/>
          <w:b w:val="1"/>
          <w:bCs w:val="1"/>
          <w:i w:val="1"/>
          <w:iCs w:val="1"/>
          <w:color w:val="auto"/>
        </w:rPr>
      </w:pPr>
    </w:p>
    <w:p>
      <w:pPr>
        <w:ind w:left="1480" w:hanging="567"/>
        <w:spacing w:after="0"/>
        <w:tabs>
          <w:tab w:leader="none" w:pos="14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153" w:lineRule="exact"/>
        <w:rPr>
          <w:rFonts w:ascii="Arial" w:cs="Arial" w:eastAsia="Arial" w:hAnsi="Arial"/>
          <w:sz w:val="16"/>
          <w:szCs w:val="16"/>
          <w:color w:val="auto"/>
        </w:rPr>
      </w:pPr>
    </w:p>
    <w:p>
      <w:pPr>
        <w:ind w:left="1480" w:right="340" w:hanging="567"/>
        <w:spacing w:after="0" w:line="277"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w:t>
      </w:r>
    </w:p>
    <w:p>
      <w:pPr>
        <w:spacing w:after="0" w:line="170"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320"/>
          </w:cols>
          <w:pgMar w:left="24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Recent Accounting Pronouncements</w:t>
      </w:r>
    </w:p>
    <w:p>
      <w:pPr>
        <w:spacing w:after="0" w:line="11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In June 2013, the Financial Accounting Standards Board (“FASB”) issued Accounting Standards Update 2013-08, Financial Services—Investment Companies (Topic 946): Amendments to the Scope, Measurement, and Disclosure Requirements (“ASU 2013-08”). ASU 2013-08 provides an approach to assess whether a company is an investment company, clarifies the characteristics of an investment company, and provides new measurement and disclosure requirements. ASU 2013-08 is effective for interim and annual reporting periods in fiscal years that begin after December 15, 2013. Earlier application is prohibited. We are currently evaluating ASU 2013-08 to determine the effect, if any, on our Consolidated Financial Statements and disclosures.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 in February 2014.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19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base management fee is calculated at an annual rate of 2.00% of our “average adjusted gross assets,” which equals our gross assets (net of U.S. Treasury Bills, temporary draws under any credit facility,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2014, the Investment Adviser earned base management fees of $6.1 million and $17.9 million, respectively, from us. For the three and nine months ended June 30, 2013, the Investment Adviser earned base management fees of $5.4 million and $15.9 million, respectively, from us.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One part is calculated and payable quarterly in arrears based on our Pre-Incentive Fee Net Investment Income for the immediately preceding calendar quarter. For this purpose, Pre-Incentive Fee Net Investment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on investments,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relevant quarter. For the three and nine months ended June 30, 2014, the Investment Adviser earned an incentive fee on net investment income as calculated under the Investment Management Agreement of $3.7 million and $13.2 million, respectively, from us. For the three and nine months ended June 30, 2013, the Investment Adviser earned an incentive fee on net investment income as calculated under the Investment Management Agreement of $4.4 million and $12.5 million, respectively, from us.</w:t>
      </w:r>
    </w:p>
    <w:p>
      <w:pPr>
        <w:spacing w:after="0" w:line="17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 of our realized capital gains on investments,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nine months ended June 30, 2014 and 2013, the Investment Adviser did not earn an incentive fee on capital gains as calculated under the Investment Management Agreement (as described above).</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each of the three and nine months ended June 30, 2014, the Investment Adviser accrued an incentive fee on unrealized and realized capital gains as calculated under GAAP of $1.7 million. For each of the three and nine months ended June 30, 2013, the Investment Adviser did not accrue an incentive fee on capital gains as calculated under GAAP.</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our directors who are not interested persons of us, in February 2014.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three and nine months ended June 30, 2014, the Investment Adviser was reimbursed $0.6 million and $2.7 million, respectively, from us, including expenses incurred on behalf of the Administrator, for the services described above. For the three and nine months ended June 30, 2013, the Investment Adviser was reimbursed $0.5 million and $2.5 million, respectively, from us, including expenses incurred on behalf of the Administrator, for the services described above.</w:t>
      </w:r>
    </w:p>
    <w:p>
      <w:pPr>
        <w:spacing w:after="0" w:line="18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PennantPark Investment has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three and nine months ended June 30, 2014, PennantPark Investment was reimbursed $0.1 million and $0.4 million, respectively, for the services described above. For the three and nine months ended June 30, 2013, PennantPark Investment was reimbursed $0.1 million and $0.3 million, respectively, for the services described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Purchases of investments, including PIK, for the three and nine months ended June 30, 2014 totaled $193.7 million and $568.4 million, respectively. For the same periods in the prior year, purchases of investments, including PIK, totaled $76.6 million and $326.8 million, respectively. Sales and repayments of investments for the three and nine months ended June 30, 2014 totaled $273.6 million and $534.4 million, respectively. For the same periods in the prior year, sales and repayments of investments totaled $117.8 million and $271.2 million, respectively.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6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 2014</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6"/>
          </w:tcPr>
          <w:p>
            <w:pPr>
              <w:ind w:left="720"/>
              <w:spacing w:after="0"/>
              <w:rPr>
                <w:sz w:val="20"/>
                <w:szCs w:val="20"/>
                <w:color w:val="auto"/>
              </w:rPr>
            </w:pPr>
            <w:r>
              <w:rPr>
                <w:rFonts w:ascii="Arial" w:cs="Arial" w:eastAsia="Arial" w:hAnsi="Arial"/>
                <w:sz w:val="14"/>
                <w:szCs w:val="14"/>
                <w:b w:val="1"/>
                <w:bCs w:val="1"/>
                <w:color w:val="auto"/>
              </w:rPr>
              <w:t>September 30, 2013</w:t>
            </w: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2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297,962,276</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310,190,839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290,000,430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299,516,291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475,288,084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486,110,731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346,717,448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357,543,217</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276,156,571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282,432,876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311,240,637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302,447,308</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Preferred equity and partnership interests</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35,018,951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15,807,778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65,943,244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12,830,669</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 and partnership interests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89,994,935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103,865,331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77,616,126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105,838,068</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1,174,420,817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1,198,407,555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1,091,517,885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1,078,175,553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64,349,609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64,390,787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58,440,829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58,440,829</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Total investments, cash and cash equivalents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1,238,770,426</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1,262,798,342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1,149,958,714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1,136,616,382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27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June 30, 2014</w:t>
            </w:r>
          </w:p>
        </w:tc>
        <w:tc>
          <w:tcPr>
            <w:tcW w:w="1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2013</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2540" w:type="dxa"/>
            <w:vAlign w:val="bottom"/>
            <w:vMerge w:val="restart"/>
            <w:shd w:val="clear" w:color="auto" w:fill="CCEEFF"/>
          </w:tcPr>
          <w:p>
            <w:pPr>
              <w:spacing w:after="0" w:line="20" w:lineRule="exact"/>
              <w:rPr>
                <w:sz w:val="1"/>
                <w:szCs w:val="1"/>
                <w:color w:val="auto"/>
              </w:rPr>
            </w:pPr>
          </w:p>
        </w:tc>
        <w:tc>
          <w:tcPr>
            <w:tcW w:w="12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86"/>
              </w:rPr>
              <w:t>Consumer Products</w:t>
            </w:r>
          </w:p>
        </w:tc>
        <w:tc>
          <w:tcPr>
            <w:tcW w:w="25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58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Buildings Materials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Diversified Natural Resources, Precious Metals and</w:t>
            </w:r>
          </w:p>
        </w:tc>
        <w:tc>
          <w:tcPr>
            <w:tcW w:w="1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Minerals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Energy/Utilities</w:t>
            </w:r>
          </w:p>
        </w:tc>
        <w:tc>
          <w:tcPr>
            <w:tcW w:w="1200" w:type="dxa"/>
            <w:vAlign w:val="bottom"/>
          </w:tcPr>
          <w:p>
            <w:pPr>
              <w:spacing w:after="0"/>
              <w:rPr>
                <w:sz w:val="18"/>
                <w:szCs w:val="18"/>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760" w:type="dxa"/>
            <w:vAlign w:val="bottom"/>
            <w:gridSpan w:val="3"/>
          </w:tcPr>
          <w:p>
            <w:pPr>
              <w:jc w:val="right"/>
              <w:ind w:right="2200"/>
              <w:spacing w:after="0"/>
              <w:rPr>
                <w:sz w:val="20"/>
                <w:szCs w:val="20"/>
                <w:color w:val="auto"/>
              </w:rPr>
            </w:pPr>
            <w:r>
              <w:rPr>
                <w:rFonts w:ascii="Arial" w:cs="Arial" w:eastAsia="Arial" w:hAnsi="Arial"/>
                <w:sz w:val="18"/>
                <w:szCs w:val="18"/>
                <w:color w:val="auto"/>
              </w:rPr>
              <w:t>S-77</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620" w:right="520" w:hanging="1160"/>
        <w:spacing w:after="0" w:line="277" w:lineRule="auto"/>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-293370</wp:posOffset>
            </wp:positionV>
            <wp:extent cx="666369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spacing w:after="0" w:line="110" w:lineRule="exact"/>
        <w:rPr>
          <w:sz w:val="20"/>
          <w:szCs w:val="20"/>
          <w:color w:val="auto"/>
        </w:rPr>
      </w:pPr>
    </w:p>
    <w:p>
      <w:pPr>
        <w:ind w:left="1620" w:right="800" w:hanging="1160"/>
        <w:spacing w:after="0" w:line="264"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1" w:lineRule="exact"/>
        <w:rPr>
          <w:sz w:val="20"/>
          <w:szCs w:val="20"/>
          <w:color w:val="auto"/>
        </w:rPr>
      </w:pPr>
    </w:p>
    <w:p>
      <w:pPr>
        <w:ind w:left="1620" w:right="1240" w:hanging="1160"/>
        <w:spacing w:after="0" w:line="277"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-293370</wp:posOffset>
            </wp:positionV>
            <wp:extent cx="666369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spacing w:after="0" w:line="15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Within our fair value hierarchy table, our investments are generally categorized as first lien, second lien, subordinated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S-78</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nine months ended June 30, 2014, our ability to observe valuation inputs has resulted in no reclassification of assets between any levels. This compares to the nine months ended June 30, 2013, which resulted in the reclassification of one asset from Level 3 to 2 and no other transfers between levels.</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2025 Notes and our long-term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8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rPr>
              <w:t>Fair Value at</w:t>
            </w:r>
          </w:p>
        </w:tc>
        <w:tc>
          <w:tcPr>
            <w:tcW w:w="200" w:type="dxa"/>
            <w:vAlign w:val="bottom"/>
          </w:tcPr>
          <w:p>
            <w:pPr>
              <w:spacing w:after="0"/>
              <w:rPr>
                <w:sz w:val="14"/>
                <w:szCs w:val="14"/>
                <w:color w:val="auto"/>
              </w:rPr>
            </w:pPr>
          </w:p>
        </w:tc>
        <w:tc>
          <w:tcPr>
            <w:tcW w:w="21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Pr>
          <w:p>
            <w:pPr>
              <w:spacing w:after="0"/>
              <w:rPr>
                <w:sz w:val="14"/>
                <w:szCs w:val="14"/>
                <w:color w:val="auto"/>
              </w:rPr>
            </w:pPr>
          </w:p>
        </w:tc>
        <w:tc>
          <w:tcPr>
            <w:tcW w:w="2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Unobservable Input</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46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8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4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investments</w:t>
            </w: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379,984,051</w:t>
            </w:r>
          </w:p>
        </w:tc>
        <w:tc>
          <w:tcPr>
            <w:tcW w:w="18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Market Comparable</w:t>
            </w:r>
          </w:p>
        </w:tc>
        <w:tc>
          <w:tcPr>
            <w:tcW w:w="1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80" w:type="dxa"/>
            <w:vAlign w:val="bottom"/>
            <w:tcBorders>
              <w:right w:val="single" w:sz="8" w:color="CCEEFF"/>
            </w:tcBorders>
            <w:shd w:val="clear" w:color="auto" w:fill="CCEEFF"/>
          </w:tcPr>
          <w:p>
            <w:pPr>
              <w:jc w:val="center"/>
              <w:ind w:right="101"/>
              <w:spacing w:after="0"/>
              <w:rPr>
                <w:sz w:val="20"/>
                <w:szCs w:val="20"/>
                <w:color w:val="auto"/>
              </w:rPr>
            </w:pPr>
            <w:r>
              <w:rPr>
                <w:rFonts w:ascii="Arial" w:cs="Arial" w:eastAsia="Arial" w:hAnsi="Arial"/>
                <w:sz w:val="16"/>
                <w:szCs w:val="16"/>
                <w:color w:val="auto"/>
                <w:w w:val="92"/>
              </w:rPr>
              <w:t>Broker/Dealer bid quotes</w:t>
            </w:r>
          </w:p>
        </w:tc>
        <w:tc>
          <w:tcPr>
            <w:tcW w:w="280" w:type="dxa"/>
            <w:vAlign w:val="bottom"/>
            <w:vMerge w:val="continue"/>
            <w:shd w:val="clear" w:color="auto" w:fill="CCEEFF"/>
          </w:tcPr>
          <w:p>
            <w:pPr>
              <w:spacing w:after="0"/>
              <w:rPr>
                <w:sz w:val="17"/>
                <w:szCs w:val="17"/>
                <w:color w:val="auto"/>
              </w:rPr>
            </w:pPr>
          </w:p>
        </w:tc>
        <w:tc>
          <w:tcPr>
            <w:tcW w:w="184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Debt investments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650,956,240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3"/>
          </w:tcPr>
          <w:p>
            <w:pPr>
              <w:ind w:left="160"/>
              <w:spacing w:after="0"/>
              <w:rPr>
                <w:sz w:val="20"/>
                <w:szCs w:val="20"/>
                <w:color w:val="auto"/>
              </w:rPr>
            </w:pPr>
            <w:r>
              <w:rPr>
                <w:rFonts w:ascii="Arial" w:cs="Arial" w:eastAsia="Arial" w:hAnsi="Arial"/>
                <w:sz w:val="16"/>
                <w:szCs w:val="16"/>
                <w:color w:val="auto"/>
              </w:rPr>
              <w:t>Market Comparable</w:t>
            </w:r>
          </w:p>
        </w:tc>
        <w:tc>
          <w:tcPr>
            <w:tcW w:w="120" w:type="dxa"/>
            <w:vAlign w:val="bottom"/>
          </w:tcPr>
          <w:p>
            <w:pPr>
              <w:spacing w:after="0"/>
              <w:rPr>
                <w:sz w:val="17"/>
                <w:szCs w:val="17"/>
                <w:color w:val="auto"/>
              </w:rPr>
            </w:pPr>
          </w:p>
        </w:tc>
        <w:tc>
          <w:tcPr>
            <w:tcW w:w="2260" w:type="dxa"/>
            <w:vAlign w:val="bottom"/>
            <w:gridSpan w:val="2"/>
          </w:tcPr>
          <w:p>
            <w:pPr>
              <w:jc w:val="center"/>
              <w:ind w:right="460"/>
              <w:spacing w:after="0"/>
              <w:rPr>
                <w:sz w:val="20"/>
                <w:szCs w:val="20"/>
                <w:color w:val="auto"/>
              </w:rPr>
            </w:pPr>
            <w:r>
              <w:rPr>
                <w:rFonts w:ascii="Arial" w:cs="Arial" w:eastAsia="Arial" w:hAnsi="Arial"/>
                <w:sz w:val="16"/>
                <w:szCs w:val="16"/>
                <w:color w:val="auto"/>
                <w:w w:val="94"/>
              </w:rPr>
              <w:t>Market Yield</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7.4% - 21.4% (13.1%)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investments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12,912,799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Market Comparable</w:t>
            </w:r>
          </w:p>
        </w:tc>
        <w:tc>
          <w:tcPr>
            <w:tcW w:w="1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2"/>
              </w:rPr>
              <w:t>Broker/Dealer bid quotes</w:t>
            </w:r>
          </w:p>
        </w:tc>
        <w:tc>
          <w:tcPr>
            <w:tcW w:w="184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Equity investments</w:t>
            </w: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106,482,931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3"/>
          </w:tcPr>
          <w:p>
            <w:pPr>
              <w:ind w:left="20"/>
              <w:spacing w:after="0"/>
              <w:rPr>
                <w:sz w:val="20"/>
                <w:szCs w:val="20"/>
                <w:color w:val="auto"/>
              </w:rPr>
            </w:pPr>
            <w:r>
              <w:rPr>
                <w:rFonts w:ascii="Arial" w:cs="Arial" w:eastAsia="Arial" w:hAnsi="Arial"/>
                <w:sz w:val="16"/>
                <w:szCs w:val="16"/>
                <w:color w:val="auto"/>
              </w:rPr>
              <w:t>Enterprise Market Value</w:t>
            </w:r>
          </w:p>
        </w:tc>
        <w:tc>
          <w:tcPr>
            <w:tcW w:w="120" w:type="dxa"/>
            <w:vAlign w:val="bottom"/>
          </w:tcPr>
          <w:p>
            <w:pPr>
              <w:spacing w:after="0"/>
              <w:rPr>
                <w:sz w:val="18"/>
                <w:szCs w:val="18"/>
                <w:color w:val="auto"/>
              </w:rPr>
            </w:pPr>
          </w:p>
        </w:tc>
        <w:tc>
          <w:tcPr>
            <w:tcW w:w="2260" w:type="dxa"/>
            <w:vAlign w:val="bottom"/>
            <w:gridSpan w:val="2"/>
          </w:tcPr>
          <w:p>
            <w:pPr>
              <w:jc w:val="center"/>
              <w:ind w:right="460"/>
              <w:spacing w:after="0"/>
              <w:rPr>
                <w:sz w:val="20"/>
                <w:szCs w:val="20"/>
                <w:color w:val="auto"/>
              </w:rPr>
            </w:pPr>
            <w:r>
              <w:rPr>
                <w:rFonts w:ascii="Arial" w:cs="Arial" w:eastAsia="Arial" w:hAnsi="Arial"/>
                <w:sz w:val="16"/>
                <w:szCs w:val="16"/>
                <w:color w:val="auto"/>
                <w:w w:val="98"/>
              </w:rPr>
              <w:t>EBITDA multiple</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3.8x - 13.0x (8.5x)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Level 3 investments</w:t>
            </w:r>
          </w:p>
        </w:tc>
        <w:tc>
          <w:tcPr>
            <w:tcW w:w="7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1,150,336,021</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gridSpan w:val="3"/>
            <w:vMerge w:val="restart"/>
          </w:tcPr>
          <w:p>
            <w:pPr>
              <w:spacing w:after="0"/>
              <w:rPr>
                <w:sz w:val="20"/>
                <w:szCs w:val="20"/>
                <w:color w:val="auto"/>
              </w:rPr>
            </w:pPr>
            <w:r>
              <w:rPr>
                <w:rFonts w:ascii="Arial" w:cs="Arial" w:eastAsia="Arial" w:hAnsi="Arial"/>
                <w:sz w:val="16"/>
                <w:szCs w:val="16"/>
                <w:color w:val="auto"/>
              </w:rPr>
              <w:t>Long-Term Credit Facility</w:t>
            </w: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gridSpan w:val="3"/>
            <w:vMerge w:val="restart"/>
          </w:tcPr>
          <w:p>
            <w:pPr>
              <w:ind w:left="160"/>
              <w:spacing w:after="0"/>
              <w:rPr>
                <w:sz w:val="20"/>
                <w:szCs w:val="20"/>
                <w:color w:val="auto"/>
              </w:rPr>
            </w:pPr>
            <w:r>
              <w:rPr>
                <w:rFonts w:ascii="Arial" w:cs="Arial" w:eastAsia="Arial" w:hAnsi="Arial"/>
                <w:sz w:val="16"/>
                <w:szCs w:val="16"/>
                <w:color w:val="auto"/>
              </w:rPr>
              <w:t>Market Comparable</w:t>
            </w:r>
          </w:p>
        </w:tc>
        <w:tc>
          <w:tcPr>
            <w:tcW w:w="120" w:type="dxa"/>
            <w:vAlign w:val="bottom"/>
          </w:tcPr>
          <w:p>
            <w:pPr>
              <w:spacing w:after="0" w:line="20" w:lineRule="exact"/>
              <w:rPr>
                <w:sz w:val="1"/>
                <w:szCs w:val="1"/>
                <w:color w:val="auto"/>
              </w:rPr>
            </w:pPr>
          </w:p>
        </w:tc>
        <w:tc>
          <w:tcPr>
            <w:tcW w:w="2260" w:type="dxa"/>
            <w:vAlign w:val="bottom"/>
            <w:gridSpan w:val="2"/>
            <w:vMerge w:val="restart"/>
          </w:tcPr>
          <w:p>
            <w:pPr>
              <w:jc w:val="center"/>
              <w:ind w:right="480"/>
              <w:spacing w:after="0"/>
              <w:rPr>
                <w:sz w:val="20"/>
                <w:szCs w:val="20"/>
                <w:color w:val="auto"/>
              </w:rPr>
            </w:pPr>
            <w:r>
              <w:rPr>
                <w:rFonts w:ascii="Arial" w:cs="Arial" w:eastAsia="Arial" w:hAnsi="Arial"/>
                <w:sz w:val="16"/>
                <w:szCs w:val="16"/>
                <w:color w:val="auto"/>
                <w:w w:val="96"/>
              </w:rPr>
              <w:t>Market Yield</w:t>
            </w:r>
          </w:p>
        </w:tc>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3"/>
              </w:rPr>
              <w:t>3.3%</w:t>
            </w:r>
          </w:p>
        </w:tc>
        <w:tc>
          <w:tcPr>
            <w:tcW w:w="0" w:type="dxa"/>
            <w:vAlign w:val="bottom"/>
          </w:tcPr>
          <w:p>
            <w:pPr>
              <w:spacing w:after="0" w:line="20" w:lineRule="exact"/>
              <w:rPr>
                <w:sz w:val="1"/>
                <w:szCs w:val="1"/>
                <w:color w:val="auto"/>
              </w:rPr>
            </w:pPr>
          </w:p>
        </w:tc>
      </w:tr>
      <w:tr>
        <w:trPr>
          <w:trHeight w:val="194"/>
        </w:trPr>
        <w:tc>
          <w:tcPr>
            <w:tcW w:w="2460" w:type="dxa"/>
            <w:vAlign w:val="bottom"/>
            <w:gridSpan w:val="3"/>
            <w:vMerge w:val="continue"/>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257,187,292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ind w:left="220"/>
              <w:spacing w:after="0"/>
              <w:rPr>
                <w:sz w:val="20"/>
                <w:szCs w:val="20"/>
                <w:color w:val="auto"/>
              </w:rPr>
            </w:pPr>
            <w:r>
              <w:rPr>
                <w:rFonts w:ascii="Arial" w:cs="Arial" w:eastAsia="Arial" w:hAnsi="Arial"/>
                <w:sz w:val="14"/>
                <w:szCs w:val="14"/>
                <w:b w:val="1"/>
                <w:bCs w:val="1"/>
                <w:color w:val="auto"/>
              </w:rPr>
              <w:t>Fair Value at</w:t>
            </w:r>
          </w:p>
        </w:tc>
        <w:tc>
          <w:tcPr>
            <w:tcW w:w="200" w:type="dxa"/>
            <w:vAlign w:val="bottom"/>
          </w:tcPr>
          <w:p>
            <w:pPr>
              <w:spacing w:after="0"/>
              <w:rPr>
                <w:sz w:val="24"/>
                <w:szCs w:val="24"/>
                <w:color w:val="auto"/>
              </w:rPr>
            </w:pPr>
          </w:p>
        </w:tc>
        <w:tc>
          <w:tcPr>
            <w:tcW w:w="21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Pr>
          <w:p>
            <w:pPr>
              <w:spacing w:after="0"/>
              <w:rPr>
                <w:sz w:val="24"/>
                <w:szCs w:val="24"/>
                <w:color w:val="auto"/>
              </w:rPr>
            </w:pPr>
          </w:p>
        </w:tc>
        <w:tc>
          <w:tcPr>
            <w:tcW w:w="2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Unobservable Input</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246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2013</w:t>
            </w:r>
          </w:p>
        </w:tc>
        <w:tc>
          <w:tcPr>
            <w:tcW w:w="20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9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40" w:type="dxa"/>
            <w:vAlign w:val="bottom"/>
            <w:tcBorders>
              <w:lef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investments</w:t>
            </w: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w w:val="87"/>
              </w:rPr>
              <w:t>448,842,468</w:t>
            </w:r>
          </w:p>
        </w:tc>
        <w:tc>
          <w:tcPr>
            <w:tcW w:w="24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9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Market Comparable</w:t>
            </w:r>
          </w:p>
        </w:tc>
        <w:tc>
          <w:tcPr>
            <w:tcW w:w="22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9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Broker/Dealer bid quotes</w:t>
            </w:r>
          </w:p>
        </w:tc>
        <w:tc>
          <w:tcPr>
            <w:tcW w:w="280" w:type="dxa"/>
            <w:vAlign w:val="bottom"/>
            <w:vMerge w:val="continue"/>
            <w:shd w:val="clear" w:color="auto" w:fill="CCEEFF"/>
          </w:tcPr>
          <w:p>
            <w:pPr>
              <w:spacing w:after="0"/>
              <w:rPr>
                <w:sz w:val="17"/>
                <w:szCs w:val="17"/>
                <w:color w:val="auto"/>
              </w:rPr>
            </w:pPr>
          </w:p>
        </w:tc>
        <w:tc>
          <w:tcPr>
            <w:tcW w:w="184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Debt investments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ind w:left="520"/>
              <w:spacing w:after="0"/>
              <w:rPr>
                <w:sz w:val="20"/>
                <w:szCs w:val="20"/>
                <w:color w:val="auto"/>
              </w:rPr>
            </w:pPr>
            <w:r>
              <w:rPr>
                <w:rFonts w:ascii="Arial" w:cs="Arial" w:eastAsia="Arial" w:hAnsi="Arial"/>
                <w:sz w:val="16"/>
                <w:szCs w:val="16"/>
                <w:color w:val="auto"/>
                <w:w w:val="87"/>
              </w:rPr>
              <w:t>466,571,947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3"/>
          </w:tcPr>
          <w:p>
            <w:pPr>
              <w:ind w:left="300"/>
              <w:spacing w:after="0"/>
              <w:rPr>
                <w:sz w:val="20"/>
                <w:szCs w:val="20"/>
                <w:color w:val="auto"/>
              </w:rPr>
            </w:pPr>
            <w:r>
              <w:rPr>
                <w:rFonts w:ascii="Arial" w:cs="Arial" w:eastAsia="Arial" w:hAnsi="Arial"/>
                <w:sz w:val="16"/>
                <w:szCs w:val="16"/>
                <w:color w:val="auto"/>
              </w:rPr>
              <w:t>Market Comparable</w:t>
            </w:r>
          </w:p>
        </w:tc>
        <w:tc>
          <w:tcPr>
            <w:tcW w:w="120" w:type="dxa"/>
            <w:vAlign w:val="bottom"/>
          </w:tcPr>
          <w:p>
            <w:pPr>
              <w:spacing w:after="0"/>
              <w:rPr>
                <w:sz w:val="17"/>
                <w:szCs w:val="17"/>
                <w:color w:val="auto"/>
              </w:rPr>
            </w:pPr>
          </w:p>
        </w:tc>
        <w:tc>
          <w:tcPr>
            <w:tcW w:w="226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Market Yield</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9.5% - 21.5% (13.5%)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investments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110,923,751</w:t>
            </w:r>
          </w:p>
        </w:tc>
        <w:tc>
          <w:tcPr>
            <w:tcW w:w="20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Enterprise Market Value</w:t>
            </w:r>
          </w:p>
        </w:tc>
        <w:tc>
          <w:tcPr>
            <w:tcW w:w="1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rPr>
              <w:t>EBITDA multiple</w:t>
            </w:r>
          </w:p>
        </w:tc>
        <w:tc>
          <w:tcPr>
            <w:tcW w:w="184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6.0x - 15.0x (9.0x)</w:t>
            </w:r>
          </w:p>
        </w:tc>
        <w:tc>
          <w:tcPr>
            <w:tcW w:w="0" w:type="dxa"/>
            <w:vAlign w:val="bottom"/>
          </w:tcPr>
          <w:p>
            <w:pPr>
              <w:spacing w:after="0"/>
              <w:rPr>
                <w:sz w:val="1"/>
                <w:szCs w:val="1"/>
                <w:color w:val="auto"/>
              </w:rPr>
            </w:pPr>
          </w:p>
        </w:tc>
      </w:tr>
      <w:tr>
        <w:trPr>
          <w:trHeight w:val="207"/>
        </w:trPr>
        <w:tc>
          <w:tcPr>
            <w:tcW w:w="2460" w:type="dxa"/>
            <w:vAlign w:val="bottom"/>
            <w:gridSpan w:val="3"/>
          </w:tcPr>
          <w:p>
            <w:pPr>
              <w:spacing w:after="0"/>
              <w:rPr>
                <w:sz w:val="20"/>
                <w:szCs w:val="20"/>
                <w:color w:val="auto"/>
              </w:rPr>
            </w:pPr>
            <w:r>
              <w:rPr>
                <w:rFonts w:ascii="Arial" w:cs="Arial" w:eastAsia="Arial" w:hAnsi="Arial"/>
                <w:sz w:val="16"/>
                <w:szCs w:val="16"/>
                <w:color w:val="auto"/>
              </w:rPr>
              <w:t>Total Level 3 investments</w:t>
            </w:r>
          </w:p>
        </w:tc>
        <w:tc>
          <w:tcPr>
            <w:tcW w:w="7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2"/>
          </w:tcPr>
          <w:p>
            <w:pPr>
              <w:ind w:left="400"/>
              <w:spacing w:after="0"/>
              <w:rPr>
                <w:sz w:val="20"/>
                <w:szCs w:val="20"/>
                <w:color w:val="auto"/>
              </w:rPr>
            </w:pPr>
            <w:r>
              <w:rPr>
                <w:rFonts w:ascii="Arial" w:cs="Arial" w:eastAsia="Arial" w:hAnsi="Arial"/>
                <w:sz w:val="16"/>
                <w:szCs w:val="16"/>
                <w:color w:val="auto"/>
                <w:w w:val="87"/>
              </w:rPr>
              <w:t>1,026,338,166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117,500,000</w:t>
            </w:r>
          </w:p>
        </w:tc>
        <w:tc>
          <w:tcPr>
            <w:tcW w:w="20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Market Comparable</w:t>
            </w:r>
          </w:p>
        </w:tc>
        <w:tc>
          <w:tcPr>
            <w:tcW w:w="1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96"/>
              </w:rPr>
              <w:t>Market Yield</w:t>
            </w:r>
          </w:p>
        </w:tc>
        <w:tc>
          <w:tcPr>
            <w:tcW w:w="184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cash and cash equivalents, investments, the 2025 Notes and Credit Facility were categorized as follows in the fair value hierarchy for ASC 820 purposes: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840" w:type="dxa"/>
            <w:vAlign w:val="bottom"/>
            <w:vMerge w:val="restart"/>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Fair Value</w:t>
            </w:r>
          </w:p>
        </w:tc>
        <w:tc>
          <w:tcPr>
            <w:tcW w:w="44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4"/>
                <w:szCs w:val="14"/>
                <w:b w:val="1"/>
                <w:bCs w:val="1"/>
                <w:color w:val="auto"/>
                <w:w w:val="98"/>
              </w:rPr>
              <w:t>Fair Value at June 30, 2014</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 w:type="dxa"/>
            <w:vAlign w:val="bottom"/>
            <w:tcBorders>
              <w:bottom w:val="single" w:sz="8" w:color="auto"/>
            </w:tcBorders>
            <w:vMerge w:val="continue"/>
          </w:tcPr>
          <w:p>
            <w:pPr>
              <w:spacing w:after="0"/>
              <w:rPr>
                <w:sz w:val="12"/>
                <w:szCs w:val="12"/>
                <w:color w:val="auto"/>
              </w:rPr>
            </w:pPr>
          </w:p>
        </w:tc>
        <w:tc>
          <w:tcPr>
            <w:tcW w:w="3840" w:type="dxa"/>
            <w:vAlign w:val="bottom"/>
            <w:tcBorders>
              <w:bottom w:val="single" w:sz="8" w:color="CCEEFF"/>
            </w:tcBorders>
            <w:vMerge w:val="continue"/>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1,078,734,446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47,794,155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1,030,940,291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119,673,109</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277,379</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119,395,730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1,198,407,555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48,071,534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1,150,336,021</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64,390,787</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64,390,787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cash and cash equivalents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1,262,798,342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64,390,787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48,071,534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1,150,336,021</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257,187,292</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257,187,292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72,532,500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72,532,500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329,719,792</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72,532,500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257,187,292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680" w:type="dxa"/>
            <w:vAlign w:val="bottom"/>
            <w:gridSpan w:val="5"/>
          </w:tcPr>
          <w:p>
            <w:pPr>
              <w:jc w:val="right"/>
              <w:ind w:right="1360"/>
              <w:spacing w:after="0"/>
              <w:rPr>
                <w:sz w:val="20"/>
                <w:szCs w:val="20"/>
                <w:color w:val="auto"/>
              </w:rPr>
            </w:pPr>
            <w:r>
              <w:rPr>
                <w:rFonts w:ascii="Arial" w:cs="Arial" w:eastAsia="Arial" w:hAnsi="Arial"/>
                <w:sz w:val="18"/>
                <w:szCs w:val="18"/>
                <w:color w:val="auto"/>
              </w:rPr>
              <w:t>S-80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Fair Value</w:t>
            </w:r>
          </w:p>
        </w:tc>
        <w:tc>
          <w:tcPr>
            <w:tcW w:w="440" w:type="dxa"/>
            <w:vAlign w:val="bottom"/>
            <w:gridSpan w:val="2"/>
            <w:vMerge w:val="restart"/>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gridSpan w:val="7"/>
          </w:tcPr>
          <w:p>
            <w:pPr>
              <w:ind w:left="40"/>
              <w:spacing w:after="0"/>
              <w:rPr>
                <w:sz w:val="20"/>
                <w:szCs w:val="20"/>
                <w:color w:val="auto"/>
              </w:rPr>
            </w:pPr>
            <w:r>
              <w:rPr>
                <w:rFonts w:ascii="Arial" w:cs="Arial" w:eastAsia="Arial" w:hAnsi="Arial"/>
                <w:sz w:val="14"/>
                <w:szCs w:val="14"/>
                <w:b w:val="1"/>
                <w:bCs w:val="1"/>
                <w:color w:val="auto"/>
              </w:rPr>
              <w:t>Fair Value at September 30, 2013</w:t>
            </w:r>
          </w:p>
        </w:tc>
        <w:tc>
          <w:tcPr>
            <w:tcW w:w="0" w:type="dxa"/>
            <w:vAlign w:val="bottom"/>
          </w:tcPr>
          <w:p>
            <w:pPr>
              <w:spacing w:after="0"/>
              <w:rPr>
                <w:sz w:val="1"/>
                <w:szCs w:val="1"/>
                <w:color w:val="auto"/>
              </w:rPr>
            </w:pPr>
          </w:p>
        </w:tc>
      </w:tr>
      <w:tr>
        <w:trPr>
          <w:trHeight w:val="142"/>
        </w:trPr>
        <w:tc>
          <w:tcPr>
            <w:tcW w:w="720" w:type="dxa"/>
            <w:vAlign w:val="bottom"/>
            <w:tcBorders>
              <w:bottom w:val="single" w:sz="8" w:color="auto"/>
            </w:tcBorders>
            <w:vMerge w:val="continue"/>
          </w:tcPr>
          <w:p>
            <w:pPr>
              <w:spacing w:after="0"/>
              <w:rPr>
                <w:sz w:val="12"/>
                <w:szCs w:val="12"/>
                <w:color w:val="auto"/>
              </w:rPr>
            </w:pPr>
          </w:p>
        </w:tc>
        <w:tc>
          <w:tcPr>
            <w:tcW w:w="48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CCEEFF"/>
            </w:tcBorders>
            <w:gridSpan w:val="2"/>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Level 2</w:t>
            </w:r>
          </w:p>
        </w:tc>
        <w:tc>
          <w:tcPr>
            <w:tcW w:w="4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959,506,815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44,092,400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915,414,415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118,668,738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7,539,320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205,667</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110,923,751</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2"/>
              </w:rPr>
              <w:t>1,078,175,553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7,539,320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44,298,067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1,026,338,166</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58,440,829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58,440,829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cash and cash equivalents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2"/>
              </w:rPr>
              <w:t>1,136,616,382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65,980,149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44,298,067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1,026,338,166</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w w:val="99"/>
              </w:rPr>
              <w:t>Long-Term Credit Facility (excluding temporary draws of $28,000,000)</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117,500,000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68,400,000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68,400,000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185,900,000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68,400,000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Nine Months Ended June 30, 2014</w:t>
            </w:r>
          </w:p>
        </w:tc>
        <w:tc>
          <w:tcPr>
            <w:tcW w:w="1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Debt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0"/>
                <w:szCs w:val="10"/>
                <w:color w:val="auto"/>
              </w:rPr>
            </w:pPr>
          </w:p>
        </w:tc>
        <w:tc>
          <w:tcPr>
            <w:tcW w:w="12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40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56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915,414,415</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110,923,751</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1,026,338,166</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Realized gains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18,101,010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3,875,493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21,976,503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appreciation</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470,447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23,854,264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24,324,711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Purchases, PIK, net discount accretion and non-cash exchanges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554,355,726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23,424,660</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577,780,386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(457,401,305)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(42,682,440)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(500,083,745)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Transfers in and/or out of Level 3</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1,030,940,293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119,395,728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1,150,336,021</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color w:val="auto"/>
                <w:w w:val="97"/>
              </w:rPr>
              <w:t>Net change in unrealized appreciation reported within the net change in unrealized</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160"/>
              <w:spacing w:after="0"/>
              <w:rPr>
                <w:sz w:val="20"/>
                <w:szCs w:val="20"/>
                <w:color w:val="auto"/>
              </w:rPr>
            </w:pPr>
            <w:r>
              <w:rPr>
                <w:rFonts w:ascii="Arial" w:cs="Arial" w:eastAsia="Arial" w:hAnsi="Arial"/>
                <w:sz w:val="18"/>
                <w:szCs w:val="18"/>
                <w:color w:val="auto"/>
              </w:rPr>
              <w:t>appreciation (depreciation) on investments in our Consolidated Statement of</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gridSpan w:val="2"/>
          </w:tcPr>
          <w:p>
            <w:pPr>
              <w:ind w:left="160"/>
              <w:spacing w:after="0"/>
              <w:rPr>
                <w:sz w:val="20"/>
                <w:szCs w:val="20"/>
                <w:color w:val="auto"/>
              </w:rPr>
            </w:pPr>
            <w:r>
              <w:rPr>
                <w:rFonts w:ascii="Arial" w:cs="Arial" w:eastAsia="Arial" w:hAnsi="Arial"/>
                <w:sz w:val="18"/>
                <w:szCs w:val="18"/>
                <w:color w:val="auto"/>
              </w:rPr>
              <w:t>Operations attributable to our Level 3 assets still held at the reporting date.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12,355,525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(9,463,794)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2,891,731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80" w:type="dxa"/>
            <w:vAlign w:val="bottom"/>
            <w:vMerge w:val="restart"/>
          </w:tcPr>
          <w:p>
            <w:pPr>
              <w:ind w:left="4820"/>
              <w:spacing w:after="0"/>
              <w:rPr>
                <w:sz w:val="20"/>
                <w:szCs w:val="20"/>
                <w:color w:val="auto"/>
              </w:rPr>
            </w:pPr>
            <w:r>
              <w:rPr>
                <w:rFonts w:ascii="Arial" w:cs="Arial" w:eastAsia="Arial" w:hAnsi="Arial"/>
                <w:sz w:val="18"/>
                <w:szCs w:val="18"/>
                <w:color w:val="auto"/>
              </w:rPr>
              <w:t>S-81</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Nine Months Ended June 30, 2013</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3"/>
          </w:tcPr>
          <w:p>
            <w:pPr>
              <w:jc w:val="right"/>
              <w:ind w:right="640"/>
              <w:spacing w:after="0" w:line="119" w:lineRule="exact"/>
              <w:rPr>
                <w:sz w:val="20"/>
                <w:szCs w:val="20"/>
                <w:color w:val="auto"/>
              </w:rPr>
            </w:pPr>
            <w:r>
              <w:rPr>
                <w:rFonts w:ascii="Arial" w:cs="Arial" w:eastAsia="Arial" w:hAnsi="Arial"/>
                <w:sz w:val="13"/>
                <w:szCs w:val="13"/>
                <w:b w:val="1"/>
                <w:bCs w:val="1"/>
                <w:color w:val="auto"/>
              </w:rPr>
              <w:t>Debt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Equity</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2"/>
              </w:rPr>
              <w:t>investments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63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848,424,071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101,323,123</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949,747,194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Realized gains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3,757,501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3,311,652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7,069,153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appreciation (depreciation)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34,351,022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(21,019,509)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13,331,513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Purchases, PIK, net discount accretion and non-cash exchanges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321,218,848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46,591,490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367,810,338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0"/>
              </w:rPr>
              <w:t>(294,037,878)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(10,606,534)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(304,644,412)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(12,840,000)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(12,840,000)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900,873,564</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119,600,222</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1,020,473,786</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8"/>
                <w:szCs w:val="18"/>
                <w:color w:val="auto"/>
              </w:rPr>
              <w:t>Net change in unrealized appreciation (depreciation) reported within the net change in</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w w:val="99"/>
              </w:rPr>
              <w:t>unrealized appreciation (depreciation) on investments in our Consolidated Statement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Operations attributable to our Level 3 assets still held at the reporting date.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36,781,749</w:t>
            </w:r>
          </w:p>
        </w:tc>
        <w:tc>
          <w:tcPr>
            <w:tcW w:w="2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(18,334,568)</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18,447,181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6"/>
              </w:rPr>
              <w:t>Carrying/Fair Value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1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Long–Term Credit Facility</w:t>
            </w:r>
          </w:p>
        </w:tc>
        <w:tc>
          <w:tcPr>
            <w:tcW w:w="5280" w:type="dxa"/>
            <w:vAlign w:val="bottom"/>
            <w:vMerge w:val="restart"/>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80" w:type="dxa"/>
            <w:vAlign w:val="bottom"/>
            <w:tcBorders>
              <w:bottom w:val="single" w:sz="8" w:color="auto"/>
            </w:tcBorders>
            <w:gridSpan w:val="3"/>
            <w:vMerge w:val="continue"/>
          </w:tcPr>
          <w:p>
            <w:pPr>
              <w:spacing w:after="0"/>
              <w:rPr>
                <w:sz w:val="12"/>
                <w:szCs w:val="12"/>
                <w:color w:val="auto"/>
              </w:rPr>
            </w:pPr>
          </w:p>
        </w:tc>
        <w:tc>
          <w:tcPr>
            <w:tcW w:w="5280" w:type="dxa"/>
            <w:vAlign w:val="bottom"/>
            <w:tcBorders>
              <w:bottom w:val="single" w:sz="8" w:color="CCEEFF"/>
            </w:tcBorders>
            <w:vMerge w:val="continue"/>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Beginning Balance (cost – $117,500,000 and $109,500,000, respectively)</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117,500,000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108,952,500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680" w:type="dxa"/>
            <w:vAlign w:val="bottom"/>
            <w:gridSpan w:val="3"/>
          </w:tcPr>
          <w:p>
            <w:pPr>
              <w:ind w:left="80"/>
              <w:spacing w:after="0"/>
              <w:rPr>
                <w:sz w:val="20"/>
                <w:szCs w:val="20"/>
                <w:color w:val="auto"/>
              </w:rPr>
            </w:pPr>
            <w:r>
              <w:rPr>
                <w:rFonts w:ascii="Arial" w:cs="Arial" w:eastAsia="Arial" w:hAnsi="Arial"/>
                <w:sz w:val="18"/>
                <w:szCs w:val="18"/>
                <w:color w:val="auto"/>
              </w:rPr>
              <w:t>Net change in fair value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88"/>
              <w:spacing w:after="0"/>
              <w:rPr>
                <w:sz w:val="20"/>
                <w:szCs w:val="20"/>
                <w:color w:val="auto"/>
              </w:rPr>
            </w:pPr>
            <w:r>
              <w:rPr>
                <w:rFonts w:ascii="Arial" w:cs="Arial" w:eastAsia="Arial" w:hAnsi="Arial"/>
                <w:sz w:val="18"/>
                <w:szCs w:val="18"/>
                <w:color w:val="auto"/>
              </w:rPr>
              <w:t>1,288,592</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6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Borrowings</w:t>
            </w:r>
            <w:r>
              <w:rPr>
                <w:rFonts w:ascii="Arial" w:cs="Arial" w:eastAsia="Arial" w:hAnsi="Arial"/>
                <w:sz w:val="15"/>
                <w:szCs w:val="15"/>
                <w:color w:val="auto"/>
              </w:rPr>
              <w:t>(1)</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93"/>
              </w:rPr>
              <w:t>591,053,100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532,800,000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680" w:type="dxa"/>
            <w:vAlign w:val="bottom"/>
            <w:gridSpan w:val="3"/>
          </w:tcPr>
          <w:p>
            <w:pPr>
              <w:ind w:left="80"/>
              <w:spacing w:after="0"/>
              <w:rPr>
                <w:sz w:val="20"/>
                <w:szCs w:val="20"/>
                <w:color w:val="auto"/>
              </w:rPr>
            </w:pPr>
            <w:r>
              <w:rPr>
                <w:rFonts w:ascii="Arial" w:cs="Arial" w:eastAsia="Arial" w:hAnsi="Arial"/>
                <w:sz w:val="18"/>
                <w:szCs w:val="18"/>
                <w:color w:val="auto"/>
              </w:rPr>
              <w:t>Repayments</w:t>
            </w:r>
            <w:r>
              <w:rPr>
                <w:rFonts w:ascii="Arial" w:cs="Arial" w:eastAsia="Arial" w:hAnsi="Arial"/>
                <w:sz w:val="15"/>
                <w:szCs w:val="15"/>
                <w:color w:val="auto"/>
              </w:rPr>
              <w:t>(1)</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28"/>
              <w:spacing w:after="0"/>
              <w:rPr>
                <w:sz w:val="20"/>
                <w:szCs w:val="20"/>
                <w:color w:val="auto"/>
              </w:rPr>
            </w:pPr>
            <w:r>
              <w:rPr>
                <w:rFonts w:ascii="Arial" w:cs="Arial" w:eastAsia="Arial" w:hAnsi="Arial"/>
                <w:sz w:val="18"/>
                <w:szCs w:val="18"/>
                <w:color w:val="auto"/>
                <w:w w:val="89"/>
              </w:rPr>
              <w:t>(452,654,400)</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(538,800,000)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6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Transfers in and/or out of Level 3</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60" w:type="dxa"/>
            <w:vAlign w:val="bottom"/>
            <w:gridSpan w:val="4"/>
          </w:tcPr>
          <w:p>
            <w:pPr>
              <w:spacing w:after="0"/>
              <w:rPr>
                <w:sz w:val="20"/>
                <w:szCs w:val="20"/>
                <w:color w:val="auto"/>
              </w:rPr>
            </w:pPr>
            <w:r>
              <w:rPr>
                <w:rFonts w:ascii="Arial" w:cs="Arial" w:eastAsia="Arial" w:hAnsi="Arial"/>
                <w:sz w:val="18"/>
                <w:szCs w:val="18"/>
                <w:color w:val="auto"/>
              </w:rPr>
              <w:t>Ending Balance (cost – $255,898,700 and $103,500,000, respectively)</w:t>
            </w:r>
          </w:p>
        </w:tc>
        <w:tc>
          <w:tcPr>
            <w:tcW w:w="16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257,187,292</w:t>
            </w:r>
          </w:p>
        </w:tc>
        <w:tc>
          <w:tcPr>
            <w:tcW w:w="5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103,500,000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6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Temporary draws outstanding, at cost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23"/>
        </w:trPr>
        <w:tc>
          <w:tcPr>
            <w:tcW w:w="6960" w:type="dxa"/>
            <w:vAlign w:val="bottom"/>
            <w:gridSpan w:val="4"/>
          </w:tcPr>
          <w:p>
            <w:pPr>
              <w:spacing w:after="0"/>
              <w:rPr>
                <w:sz w:val="20"/>
                <w:szCs w:val="20"/>
                <w:color w:val="auto"/>
              </w:rPr>
            </w:pPr>
            <w:r>
              <w:rPr>
                <w:rFonts w:ascii="Arial" w:cs="Arial" w:eastAsia="Arial" w:hAnsi="Arial"/>
                <w:sz w:val="18"/>
                <w:szCs w:val="18"/>
                <w:color w:val="auto"/>
              </w:rPr>
              <w:t>Ending Balance (cost – $255,898,700 and $114,500,000, respectively)</w:t>
            </w:r>
          </w:p>
        </w:tc>
        <w:tc>
          <w:tcPr>
            <w:tcW w:w="1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257,187,292</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114,500,000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800" w:type="dxa"/>
            <w:vAlign w:val="bottom"/>
            <w:gridSpan w:val="2"/>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80" w:type="dxa"/>
            <w:vAlign w:val="bottom"/>
          </w:tcPr>
          <w:p>
            <w:pPr>
              <w:spacing w:after="0"/>
              <w:rPr>
                <w:sz w:val="20"/>
                <w:szCs w:val="20"/>
                <w:color w:val="auto"/>
              </w:rPr>
            </w:pPr>
            <w:r>
              <w:rPr>
                <w:rFonts w:ascii="Arial" w:cs="Arial" w:eastAsia="Arial" w:hAnsi="Arial"/>
                <w:sz w:val="15"/>
                <w:szCs w:val="15"/>
                <w:color w:val="auto"/>
              </w:rPr>
              <w:t>(1)</w:t>
            </w:r>
          </w:p>
        </w:tc>
        <w:tc>
          <w:tcPr>
            <w:tcW w:w="6680" w:type="dxa"/>
            <w:vAlign w:val="bottom"/>
            <w:gridSpan w:val="3"/>
          </w:tcPr>
          <w:p>
            <w:pPr>
              <w:ind w:left="180"/>
              <w:spacing w:after="0"/>
              <w:rPr>
                <w:sz w:val="20"/>
                <w:szCs w:val="20"/>
                <w:color w:val="auto"/>
              </w:rPr>
            </w:pPr>
            <w:r>
              <w:rPr>
                <w:rFonts w:ascii="Arial" w:cs="Arial" w:eastAsia="Arial" w:hAnsi="Arial"/>
                <w:sz w:val="18"/>
                <w:szCs w:val="18"/>
                <w:color w:val="auto"/>
              </w:rPr>
              <w:t>Excludes temporary draws.</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of June 30, 2014, we had outstanding non-USD borrowing on our Credit Facility denominated in British Pounds. Net change in fair value on these outstanding borrowings is listed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2980" w:type="dxa"/>
            <w:vAlign w:val="bottom"/>
          </w:tcPr>
          <w:p>
            <w:pPr>
              <w:spacing w:after="0"/>
              <w:rPr>
                <w:sz w:val="14"/>
                <w:szCs w:val="14"/>
                <w:color w:val="auto"/>
              </w:rPr>
            </w:pPr>
          </w:p>
        </w:tc>
        <w:tc>
          <w:tcPr>
            <w:tcW w:w="12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6"/>
              </w:rPr>
              <w:t>Local Currency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Original</w:t>
            </w:r>
          </w:p>
        </w:tc>
        <w:tc>
          <w:tcPr>
            <w:tcW w:w="220" w:type="dxa"/>
            <w:vAlign w:val="bottom"/>
          </w:tcPr>
          <w:p>
            <w:pPr>
              <w:spacing w:after="0"/>
              <w:rPr>
                <w:sz w:val="14"/>
                <w:szCs w:val="14"/>
                <w:color w:val="auto"/>
              </w:rPr>
            </w:pPr>
          </w:p>
        </w:tc>
        <w:tc>
          <w:tcPr>
            <w:tcW w:w="14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7"/>
              </w:rPr>
              <w:t>Current Value</w:t>
            </w:r>
          </w:p>
        </w:tc>
        <w:tc>
          <w:tcPr>
            <w:tcW w:w="19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Reset Date</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Net Change in</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vMerge w:val="continue"/>
          </w:tcPr>
          <w:p>
            <w:pPr>
              <w:spacing w:after="0"/>
              <w:rPr>
                <w:sz w:val="15"/>
                <w:szCs w:val="15"/>
                <w:color w:val="auto"/>
              </w:rPr>
            </w:pPr>
          </w:p>
        </w:tc>
        <w:tc>
          <w:tcPr>
            <w:tcW w:w="29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jc w:val="center"/>
              <w:ind w:right="200"/>
              <w:spacing w:after="0" w:line="158" w:lineRule="exact"/>
              <w:rPr>
                <w:sz w:val="20"/>
                <w:szCs w:val="20"/>
                <w:color w:val="auto"/>
              </w:rPr>
            </w:pPr>
            <w:r>
              <w:rPr>
                <w:rFonts w:ascii="Arial" w:cs="Arial" w:eastAsia="Arial" w:hAnsi="Arial"/>
                <w:sz w:val="14"/>
                <w:szCs w:val="14"/>
                <w:b w:val="1"/>
                <w:bCs w:val="1"/>
                <w:color w:val="auto"/>
                <w:w w:val="93"/>
              </w:rPr>
              <w:t>Borrowing Cost</w:t>
            </w:r>
          </w:p>
        </w:tc>
        <w:tc>
          <w:tcPr>
            <w:tcW w:w="2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3"/>
        </w:trPr>
        <w:tc>
          <w:tcPr>
            <w:tcW w:w="11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British Pound</w:t>
            </w:r>
          </w:p>
        </w:tc>
        <w:tc>
          <w:tcPr>
            <w:tcW w:w="29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27,000,000</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45,154,800</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$ 46,207,556</w:t>
            </w:r>
          </w:p>
        </w:tc>
        <w:tc>
          <w:tcPr>
            <w:tcW w:w="44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July 1, 2014</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1,052,756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British Pound</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11,743,900</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11,979,736</w:t>
            </w:r>
          </w:p>
        </w:tc>
        <w:tc>
          <w:tcPr>
            <w:tcW w:w="19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September 11, 2014</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235,836</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34,000,000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56,898,700</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$ 58,187,292</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1,288,592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4"/>
          </w:tcPr>
          <w:p>
            <w:pPr>
              <w:ind w:left="200"/>
              <w:spacing w:after="0"/>
              <w:rPr>
                <w:sz w:val="20"/>
                <w:szCs w:val="20"/>
                <w:color w:val="auto"/>
              </w:rPr>
            </w:pPr>
            <w:r>
              <w:rPr>
                <w:rFonts w:ascii="Arial" w:cs="Arial" w:eastAsia="Arial" w:hAnsi="Arial"/>
                <w:sz w:val="18"/>
                <w:szCs w:val="18"/>
                <w:color w:val="auto"/>
              </w:rPr>
              <w:t>S-82</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non-recurring expenses of $3.9 million relating to debt issuance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 liabilities, including the SBA debentures. For the three and nine months ended June 30, 2014, our Credit Facility and 2025 Notes had a net change in unrealized appreciation of $3.4 million and $5.4 million, respectively. For the three and nine months ended June 30, 2013, our Credit Facility and 2025 Notes had a net change in unrealized depreciation (appreciation) of $0.4 million and $(0.5) million, respectively. As of June 30, 2014 and September 30, 2013, net unrealized (appreciation) depreciation on our Credit Facility and 2025 Notes totaled $(2.6) million and $2.9 million, respectively. We use a nationally recognized independent valuation service to measure the fair value of our Credit Facility in a manner consistent with the valuation process that the board of directors uses to value our investments. Our 2025 Notes trade on the NYSE, under the ticker “PNTA” and we use the closing price on the exchange to determine their fair value.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non-controlled affiliate is a portfolio company in which we own at least 5% but less than 25% of its voting securities and a controlled affiliate is a portfolio company in which we own 25% or more of its voting securities. Transactions related to our funded investments with both controlled and non-controlled affiliates for the nine months ended June 30, 2014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Fair Value at</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Purchases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Sale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Fair Value at</w:t>
            </w:r>
          </w:p>
        </w:tc>
        <w:tc>
          <w:tcPr>
            <w:tcW w:w="1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3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Advances to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Distributions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171"/>
        </w:trPr>
        <w:tc>
          <w:tcPr>
            <w:tcW w:w="4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2013</w:t>
            </w:r>
          </w:p>
        </w:tc>
        <w:tc>
          <w:tcPr>
            <w:tcW w:w="32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Affiliates</w:t>
            </w:r>
          </w:p>
        </w:tc>
        <w:tc>
          <w:tcPr>
            <w:tcW w:w="140" w:type="dxa"/>
            <w:vAlign w:val="bottom"/>
          </w:tcPr>
          <w:p>
            <w:pPr>
              <w:spacing w:after="0"/>
              <w:rPr>
                <w:sz w:val="14"/>
                <w:szCs w:val="14"/>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from Affiliates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Accrued</w:t>
            </w:r>
          </w:p>
        </w:tc>
        <w:tc>
          <w:tcPr>
            <w:tcW w:w="100" w:type="dxa"/>
            <w:vAlign w:val="bottom"/>
          </w:tcPr>
          <w:p>
            <w:pPr>
              <w:spacing w:after="0"/>
              <w:rPr>
                <w:sz w:val="14"/>
                <w:szCs w:val="14"/>
                <w:color w:val="auto"/>
              </w:rPr>
            </w:pPr>
          </w:p>
        </w:tc>
        <w:tc>
          <w:tcPr>
            <w:tcW w:w="92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Controlled Affiliates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Superior Digital Displays Holdings,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$19,330,914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1,213,801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18,574,163</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SuttonPark Holdings, Inc.</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13,500,000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1,257,472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13,499,999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Universal Pegasus International, LLC</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17,552,044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22,592,260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(72,539,605)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4,059,881</w:t>
            </w:r>
          </w:p>
        </w:tc>
        <w:tc>
          <w:tcPr>
            <w:tcW w:w="100" w:type="dxa"/>
            <w:vAlign w:val="bottom"/>
          </w:tcPr>
          <w:p>
            <w:pPr>
              <w:spacing w:after="0"/>
              <w:rPr>
                <w:sz w:val="18"/>
                <w:szCs w:val="18"/>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w w:val="98"/>
              </w:rPr>
              <w:t>(46,895)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 Affiliates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DirectBuy Holdings, Inc.</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17,805,936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991,130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(1,126,015)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996,312</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12,757,080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EnviroSolutions Holdings, Inc.</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21,265,345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9,196,328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473,990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24,563,138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NCP-Performance, L.P.</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2,500,165</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157,518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 International Holdings, Inc.</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1,694,296</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806,679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Service Champ, Inc.</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33,470,058</w:t>
            </w:r>
          </w:p>
        </w:tc>
        <w:tc>
          <w:tcPr>
            <w:tcW w:w="320" w:type="dxa"/>
            <w:vAlign w:val="bottom"/>
          </w:tcPr>
          <w:p>
            <w:pPr>
              <w:spacing w:after="0"/>
              <w:rPr>
                <w:sz w:val="19"/>
                <w:szCs w:val="19"/>
                <w:color w:val="auto"/>
              </w:rPr>
            </w:pP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2,703,931</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33,655,320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107,787,844</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55,610,632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(77,165,620)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10,705,387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104,013,897</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(46,895)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S-83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RESULTING FROM OPERATIONS PER COMMON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7"/>
              </w:rPr>
              <w:t>Three Months Ended June 30,</w:t>
            </w:r>
          </w:p>
        </w:tc>
        <w:tc>
          <w:tcPr>
            <w:tcW w:w="120" w:type="dxa"/>
            <w:vAlign w:val="bottom"/>
          </w:tcPr>
          <w:p>
            <w:pPr>
              <w:spacing w:after="0"/>
              <w:rPr>
                <w:sz w:val="14"/>
                <w:szCs w:val="14"/>
                <w:color w:val="auto"/>
              </w:rPr>
            </w:pPr>
          </w:p>
        </w:tc>
        <w:tc>
          <w:tcPr>
            <w:tcW w:w="2420" w:type="dxa"/>
            <w:vAlign w:val="bottom"/>
            <w:gridSpan w:val="6"/>
          </w:tcPr>
          <w:p>
            <w:pPr>
              <w:ind w:left="200"/>
              <w:spacing w:after="0"/>
              <w:rPr>
                <w:sz w:val="20"/>
                <w:szCs w:val="20"/>
                <w:color w:val="auto"/>
              </w:rPr>
            </w:pPr>
            <w:r>
              <w:rPr>
                <w:rFonts w:ascii="Arial" w:cs="Arial" w:eastAsia="Arial" w:hAnsi="Arial"/>
                <w:sz w:val="14"/>
                <w:szCs w:val="14"/>
                <w:b w:val="1"/>
                <w:bCs w:val="1"/>
                <w:color w:val="auto"/>
              </w:rPr>
              <w:t>Nine Months Ended June 30,</w:t>
            </w:r>
          </w:p>
        </w:tc>
      </w:tr>
      <w:tr>
        <w:trPr>
          <w:trHeight w:val="142"/>
        </w:trPr>
        <w:tc>
          <w:tcPr>
            <w:tcW w:w="6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31,949,311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13,785,532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112,085,415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69,299,053</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66,569,036</w:t>
            </w: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66,450,117</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66,561,520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66,340,895</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7"/>
              </w:rPr>
              <w:t>Basic and diluted net increase in net assets resulting from operations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AND CASH EQUIVALENTS</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2014 and September 30, 2013, cash and cash equivalents consisted of $64.4 million and $58.4 million, respectively.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60" w:right="8460" w:hanging="452"/>
        <w:spacing w:after="0" w:line="407" w:lineRule="auto"/>
        <w:tabs>
          <w:tab w:leader="none" w:pos="184"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HIGHLIGHTS </w:t>
      </w:r>
      <w:r>
        <w:rPr>
          <w:rFonts w:ascii="Arial" w:cs="Arial" w:eastAsia="Arial" w:hAnsi="Arial"/>
          <w:sz w:val="18"/>
          <w:szCs w:val="18"/>
          <w:color w:val="auto"/>
        </w:rPr>
        <w:t>Below are the financial highlights: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10.49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realized and unrealized gain</w:t>
            </w:r>
            <w:r>
              <w:rPr>
                <w:rFonts w:ascii="Arial" w:cs="Arial" w:eastAsia="Arial" w:hAnsi="Arial"/>
                <w:sz w:val="15"/>
                <w:szCs w:val="15"/>
                <w:color w:val="auto"/>
              </w:rPr>
              <w:t>(1)</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5"/>
                <w:szCs w:val="15"/>
                <w:color w:val="auto"/>
              </w:rPr>
              <w:t>(1)</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Distributions to stockholders</w:t>
            </w:r>
            <w:r>
              <w:rPr>
                <w:rFonts w:ascii="Arial" w:cs="Arial" w:eastAsia="Arial" w:hAnsi="Arial"/>
                <w:sz w:val="15"/>
                <w:szCs w:val="15"/>
                <w:color w:val="auto"/>
              </w:rPr>
              <w:t>(1),(2)</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Per share market value, end of period</w:t>
            </w:r>
          </w:p>
        </w:tc>
        <w:tc>
          <w:tcPr>
            <w:tcW w:w="2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6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5"/>
                <w:szCs w:val="15"/>
                <w:color w:val="auto"/>
              </w:rPr>
              <w:t>(3)</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66,569,036</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66,450,117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5"/>
                <w:szCs w:val="15"/>
                <w:color w:val="auto"/>
              </w:rPr>
              <w:t>(4)</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Ratio of debt related expenses to average net assets</w:t>
            </w:r>
            <w:r>
              <w:rPr>
                <w:rFonts w:ascii="Arial" w:cs="Arial" w:eastAsia="Arial" w:hAnsi="Arial"/>
                <w:sz w:val="15"/>
                <w:szCs w:val="15"/>
                <w:color w:val="auto"/>
              </w:rPr>
              <w:t>(5)</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Ratio of total expenses to average net assets</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gridSpan w:val="2"/>
            <w:vMerge w:val="continue"/>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15"/>
                <w:szCs w:val="15"/>
                <w:color w:val="auto"/>
              </w:rPr>
              <w:t>(5)</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2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754,472,793</w:t>
            </w:r>
          </w:p>
        </w:tc>
        <w:tc>
          <w:tcPr>
            <w:tcW w:w="6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693,102,657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outstanding</w:t>
            </w:r>
            <w:r>
              <w:rPr>
                <w:rFonts w:ascii="Arial" w:cs="Arial" w:eastAsia="Arial" w:hAnsi="Arial"/>
                <w:sz w:val="15"/>
                <w:szCs w:val="15"/>
                <w:color w:val="auto"/>
              </w:rPr>
              <w:t>(6)</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498,062,949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362,661,538</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Weighted average debt per share</w:t>
            </w:r>
            <w:r>
              <w:rPr>
                <w:rFonts w:ascii="Arial" w:cs="Arial" w:eastAsia="Arial" w:hAnsi="Arial"/>
                <w:sz w:val="15"/>
                <w:szCs w:val="15"/>
                <w:color w:val="auto"/>
              </w:rPr>
              <w:t>(6)</w:t>
            </w:r>
          </w:p>
        </w:tc>
        <w:tc>
          <w:tcPr>
            <w:tcW w:w="2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6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Asset coverage per unit at end of period</w:t>
            </w:r>
            <w:r>
              <w:rPr>
                <w:rFonts w:ascii="Arial" w:cs="Arial" w:eastAsia="Arial" w:hAnsi="Arial"/>
                <w:sz w:val="15"/>
                <w:szCs w:val="15"/>
                <w:color w:val="auto"/>
              </w:rPr>
              <w:t>(7)</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59.31%</w:t>
            </w: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right="7680" w:firstLine="8"/>
        <w:spacing w:after="0" w:line="291" w:lineRule="auto"/>
        <w:tabs>
          <w:tab w:leader="none" w:pos="446"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taxable income calculated in accordance with income tax regulations and may differ from amounts determined under GAAP.</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 and takes into account distributions, if any, reinvested in accordance with our dividend reinvestment plan.</w:t>
      </w: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expenses exclude debt related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Ratios neither annualize the Credit Facility debt issuance costs nor 2025 Notes offering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SBA debentures outstanding.</w:t>
      </w:r>
    </w:p>
    <w:p>
      <w:pPr>
        <w:spacing w:after="0" w:line="9" w:lineRule="exact"/>
        <w:rPr>
          <w:rFonts w:ascii="Arial" w:cs="Arial" w:eastAsia="Arial" w:hAnsi="Arial"/>
          <w:sz w:val="18"/>
          <w:szCs w:val="18"/>
          <w:color w:val="auto"/>
        </w:rPr>
      </w:pPr>
    </w:p>
    <w:p>
      <w:pPr>
        <w:ind w:left="460" w:right="160" w:hanging="452"/>
        <w:spacing w:after="0" w:line="25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Our annualized weighted average cost of debt for the nine months ended June 30, 2014 and 2013, inclusive of the fee on the undrawn commitment on the Credit Facility and amortized upfront fees on SBA debentures but excluding debt issuance costs, was 3.94% and 4.15%,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June 25, 2014, we amended and restated our multi-currency Credit Facility to increase the amount available for borrowing from $445 million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$545 million, reduce the interest rate spread above LIBOR from 2.75% to 2.25%, reduce the undrawn commitment fee from 0.50% to 0.375% and extend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maturity date from February 21, 2016 to June 25, 2019. This multi-currency Credit Facility is with certain lenders and SunTrust Bank, acting as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and JPMorgan Chase Bank, N.A., acting as syndication agent for the lenders. As of June 30, 2014 and September 30, 2013, there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$255.9 million and $145.5 million (including a temporary draw of $28.0 million), respectively, in outstanding borrowings under the Credit Facility, with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interest rate at the time of 2.52% and 3.33%, exclusive of the fee on undrawn commitments of 0.375% and 0.50%, respectively. The Credit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Facility is a five-year revolving facility with a stated maturity date of June 25, 2019, a one-year term-out period following its fourth year and pricing set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225 basis points over LIBOR. The Credit Facility is secured by substantially all of our assets excluding assets held by our SBIC Funds.</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June 30, 2014.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$225.0 million in the aggregate.</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of June 30, 2014 and September 30, 2013, our SBIC Funds had $225.0 million and $150.0 million in debt commitments, respectively, and $150.0 million was drawn for each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fixed-rate SBA debentures as of June 30, 2014 and September 30, 2013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8"/>
              </w:rPr>
              <w:t>Issuance Dates</w:t>
            </w:r>
          </w:p>
        </w:tc>
        <w:tc>
          <w:tcPr>
            <w:tcW w:w="2500" w:type="dxa"/>
            <w:vAlign w:val="bottom"/>
            <w:vMerge w:val="restart"/>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640" w:type="dxa"/>
            <w:vAlign w:val="bottom"/>
            <w:vMerge w:val="restart"/>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 All-In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250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Coupon Rate</w:t>
            </w: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87"/>
              </w:rPr>
              <w:t>September 1, 2020</w:t>
            </w: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3480" w:type="dxa"/>
            <w:vAlign w:val="bottom"/>
            <w:gridSpan w:val="3"/>
          </w:tcPr>
          <w:p>
            <w:pPr>
              <w:ind w:left="1480"/>
              <w:spacing w:after="0"/>
              <w:rPr>
                <w:sz w:val="20"/>
                <w:szCs w:val="20"/>
                <w:color w:val="auto"/>
              </w:rPr>
            </w:pPr>
            <w:r>
              <w:rPr>
                <w:rFonts w:ascii="Arial" w:cs="Arial" w:eastAsia="Arial" w:hAnsi="Arial"/>
                <w:sz w:val="18"/>
                <w:szCs w:val="18"/>
                <w:color w:val="auto"/>
              </w:rPr>
              <w:t>March 1, 2021</w:t>
            </w:r>
          </w:p>
        </w:tc>
        <w:tc>
          <w:tcPr>
            <w:tcW w:w="1280" w:type="dxa"/>
            <w:vAlign w:val="bottom"/>
            <w:gridSpan w:val="2"/>
          </w:tcPr>
          <w:p>
            <w:pPr>
              <w:ind w:left="520"/>
              <w:spacing w:after="0"/>
              <w:rPr>
                <w:sz w:val="20"/>
                <w:szCs w:val="20"/>
                <w:color w:val="auto"/>
              </w:rPr>
            </w:pPr>
            <w:r>
              <w:rPr>
                <w:rFonts w:ascii="Arial" w:cs="Arial" w:eastAsia="Arial" w:hAnsi="Arial"/>
                <w:sz w:val="18"/>
                <w:szCs w:val="18"/>
                <w:color w:val="auto"/>
              </w:rPr>
              <w:t>4.46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44,500,000</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3480" w:type="dxa"/>
            <w:vAlign w:val="bottom"/>
            <w:gridSpan w:val="3"/>
            <w:shd w:val="clear" w:color="auto" w:fill="CCEEFF"/>
          </w:tcPr>
          <w:p>
            <w:pPr>
              <w:ind w:left="1480"/>
              <w:spacing w:after="0"/>
              <w:rPr>
                <w:sz w:val="20"/>
                <w:szCs w:val="20"/>
                <w:color w:val="auto"/>
              </w:rPr>
            </w:pPr>
            <w:r>
              <w:rPr>
                <w:rFonts w:ascii="Arial" w:cs="Arial" w:eastAsia="Arial" w:hAnsi="Arial"/>
                <w:sz w:val="18"/>
                <w:szCs w:val="18"/>
                <w:color w:val="auto"/>
              </w:rPr>
              <w:t>September 1, 2021</w:t>
            </w:r>
          </w:p>
        </w:tc>
        <w:tc>
          <w:tcPr>
            <w:tcW w:w="8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5"/>
              </w:rPr>
              <w:t>3.38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Weighted Average Rate / Total</w:t>
            </w: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gridSpan w:val="2"/>
          </w:tcPr>
          <w:p>
            <w:pPr>
              <w:ind w:left="520"/>
              <w:spacing w:after="0"/>
              <w:rPr>
                <w:sz w:val="20"/>
                <w:szCs w:val="20"/>
                <w:color w:val="auto"/>
              </w:rPr>
            </w:pPr>
            <w:r>
              <w:rPr>
                <w:rFonts w:ascii="Arial" w:cs="Arial" w:eastAsia="Arial" w:hAnsi="Arial"/>
                <w:sz w:val="18"/>
                <w:szCs w:val="18"/>
                <w:color w:val="auto"/>
              </w:rPr>
              <w:t>3.70%</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80" w:type="dxa"/>
            <w:vAlign w:val="bottom"/>
            <w:gridSpan w:val="3"/>
            <w:vMerge w:val="restart"/>
          </w:tcPr>
          <w:p>
            <w:pPr>
              <w:ind w:left="1200"/>
              <w:spacing w:after="0"/>
              <w:rPr>
                <w:sz w:val="20"/>
                <w:szCs w:val="20"/>
                <w:color w:val="auto"/>
              </w:rPr>
            </w:pPr>
            <w:r>
              <w:rPr>
                <w:rFonts w:ascii="Arial" w:cs="Arial" w:eastAsia="Arial" w:hAnsi="Arial"/>
                <w:sz w:val="18"/>
                <w:szCs w:val="18"/>
                <w:color w:val="auto"/>
              </w:rPr>
              <w:t>S-86</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8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SBA regulations, our SBIC Funds are subject to regulatory requirements, including making investments in SBA-eligible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of their financial statements that are prepared on a basis of accounting other than GAAP (for example, fair value, as defined under ASC 820, is not required to be used for assets or liabilities for such compliance reporting). If our SBIC Funds fail to comply with applicable SBA regulations, the SBA could, depending on the severity of the violation, limit or prohibit their use of debentures, declare outstanding debentures immediately due and payable and/or limit them from making new investments. These actions by the SBA would, in turn, negatively affect us because our SBIC Funds are wholly owned by us.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2025 Notes</w:t>
      </w:r>
    </w:p>
    <w:p>
      <w:pPr>
        <w:spacing w:after="0" w:line="117" w:lineRule="exact"/>
        <w:rPr>
          <w:sz w:val="20"/>
          <w:szCs w:val="20"/>
          <w:color w:val="auto"/>
        </w:rPr>
      </w:pPr>
    </w:p>
    <w:p>
      <w:pPr>
        <w:ind w:right="300" w:firstLine="456"/>
        <w:spacing w:after="0" w:line="276" w:lineRule="auto"/>
        <w:rPr>
          <w:sz w:val="20"/>
          <w:szCs w:val="20"/>
          <w:color w:val="auto"/>
        </w:rPr>
      </w:pPr>
      <w:r>
        <w:rPr>
          <w:rFonts w:ascii="Arial" w:cs="Arial" w:eastAsia="Arial" w:hAnsi="Arial"/>
          <w:sz w:val="17"/>
          <w:szCs w:val="17"/>
          <w:color w:val="auto"/>
        </w:rPr>
        <w:t>As of June 30, 2014 and September 30, 2013, we had $71.3 million in aggregate principal amount of 2025 Notes.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investments described in the Consolidated Statement of Assets and Liabilities represent unfunded delayed draws on investments and/or revolving lines of credit, if any.</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 the ordinary course of business, have guaranteed certain obligations of SPH. The guaranties are only triggered if there were administrative errors in acquiring assets which SPH subsequently sold or securitized. As of June 30, 2014 and September 30, 2013, our maximum guaranty was $11.3 million and $13.0 million, respectively. Based on SPH’s and industry historical loss rates we believe the risk of loss is remote, thus, we have not recorded a liability associated with the guaranties. The current guaranties will decline over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S-87</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11430</wp:posOffset>
            </wp:positionV>
            <wp:extent cx="1766570" cy="3771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665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6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senior secured loans, mezzanine debt and equity investments. We can offer no assurances that we will achieve our investment objectives.</w:t>
      </w:r>
    </w:p>
    <w:p>
      <w:pPr>
        <w:spacing w:after="0" w:line="73"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offer, from time to time, in one or more offerings or series, together or separately, up to $1,000,000,000 of our common stock, preferred stock, warrants representing rights to purchase shares of our common stock, preferred stock or debt securities, subscription rights, debt securities, or units,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8 and “Sales of Common Stock Below Net Asset Value” on page 37 of this prospectus for more information.</w:t>
      </w:r>
    </w:p>
    <w:p>
      <w:pPr>
        <w:spacing w:after="0" w:line="6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common stock has been approved for quotation on the NASDAQ Global Select Market under the symbol “PNNT.” The last reported closing price for our common stock on December 6, 2013 was $11.93 per share, and our net asset value on September 30, 2013 was $10.49 per share. Our 6.25% senior notes due 2025, or the 2025 Notes, have been approved for quotation on the New York Stock Exchange, or NYSE, under the symbol “PNTA.” The last reported closing price of the 2025 Notes on December 6, 2013 was $23.93 per $25 of par.</w:t>
      </w:r>
    </w:p>
    <w:p>
      <w:pPr>
        <w:spacing w:after="0" w:line="79"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p>
      <w:pPr>
        <w:jc w:val="both"/>
        <w:ind w:right="100" w:firstLine="456"/>
        <w:spacing w:after="0" w:line="243" w:lineRule="auto"/>
        <w:rPr>
          <w:sz w:val="20"/>
          <w:szCs w:val="20"/>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Prospectus dated January 30, 2014</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gridSpan w:val="5"/>
          </w:tcPr>
          <w:p>
            <w:pPr>
              <w:ind w:left="12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100" w:type="dxa"/>
            <w:vAlign w:val="bottom"/>
            <w:gridSpan w:val="10"/>
            <w:vMerge w:val="restart"/>
          </w:tcPr>
          <w:p>
            <w:pPr>
              <w:spacing w:after="0"/>
              <w:rPr>
                <w:rFonts w:ascii="Arial" w:cs="Arial" w:eastAsia="Arial" w:hAnsi="Arial"/>
                <w:sz w:val="18"/>
                <w:szCs w:val="18"/>
                <w:color w:val="0000EE"/>
                <w:w w:val="94"/>
              </w:rPr>
            </w:pPr>
            <w:hyperlink w:anchor="page94">
              <w:r>
                <w:rPr>
                  <w:rFonts w:ascii="Arial" w:cs="Arial" w:eastAsia="Arial" w:hAnsi="Arial"/>
                  <w:sz w:val="18"/>
                  <w:szCs w:val="18"/>
                  <w:color w:val="0000EE"/>
                  <w:w w:val="94"/>
                </w:rPr>
                <w:t>PROSPECTUS SUMMARY</w:t>
              </w:r>
            </w:hyperlink>
          </w:p>
        </w:tc>
        <w:tc>
          <w:tcPr>
            <w:tcW w:w="8800" w:type="dxa"/>
            <w:vAlign w:val="bottom"/>
            <w:gridSpan w:val="23"/>
            <w:vMerge w:val="restart"/>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100" w:type="dxa"/>
            <w:vAlign w:val="bottom"/>
            <w:tcBorders>
              <w:bottom w:val="single" w:sz="8" w:color="0000EE"/>
            </w:tcBorders>
            <w:gridSpan w:val="10"/>
            <w:vMerge w:val="continue"/>
          </w:tcPr>
          <w:p>
            <w:pPr>
              <w:spacing w:after="0"/>
              <w:rPr>
                <w:sz w:val="14"/>
                <w:szCs w:val="14"/>
                <w:color w:val="auto"/>
              </w:rPr>
            </w:pPr>
          </w:p>
        </w:tc>
        <w:tc>
          <w:tcPr>
            <w:tcW w:w="8800" w:type="dxa"/>
            <w:vAlign w:val="bottom"/>
            <w:gridSpan w:val="23"/>
            <w:vMerge w:val="continue"/>
          </w:tcPr>
          <w:p>
            <w:pPr>
              <w:spacing w:after="0"/>
              <w:rPr>
                <w:sz w:val="14"/>
                <w:szCs w:val="14"/>
                <w:color w:val="auto"/>
              </w:rPr>
            </w:pPr>
          </w:p>
        </w:tc>
        <w:tc>
          <w:tcPr>
            <w:tcW w:w="4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FEES AND EXPENSES</w:t>
              </w:r>
            </w:hyperlink>
          </w:p>
        </w:tc>
        <w:tc>
          <w:tcPr>
            <w:tcW w:w="9100" w:type="dxa"/>
            <w:vAlign w:val="bottom"/>
            <w:gridSpan w:val="25"/>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01">
              <w:r>
                <w:rPr>
                  <w:rFonts w:ascii="Arial" w:cs="Arial" w:eastAsia="Arial" w:hAnsi="Arial"/>
                  <w:sz w:val="18"/>
                  <w:szCs w:val="18"/>
                  <w:color w:val="0000EE"/>
                  <w:w w:val="93"/>
                </w:rPr>
                <w:t>RISK FACTORS</w:t>
              </w:r>
            </w:hyperlink>
          </w:p>
        </w:tc>
        <w:tc>
          <w:tcPr>
            <w:tcW w:w="9640" w:type="dxa"/>
            <w:vAlign w:val="bottom"/>
            <w:gridSpan w:val="30"/>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29">
              <w:r>
                <w:rPr>
                  <w:rFonts w:ascii="Arial" w:cs="Arial" w:eastAsia="Arial" w:hAnsi="Arial"/>
                  <w:sz w:val="18"/>
                  <w:szCs w:val="18"/>
                  <w:color w:val="0000EE"/>
                  <w:w w:val="95"/>
                </w:rPr>
                <w:t>FORWARD-LOOKING STATEMENTS</w:t>
              </w:r>
            </w:hyperlink>
          </w:p>
        </w:tc>
        <w:tc>
          <w:tcPr>
            <w:tcW w:w="796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USE OF PROCEEDS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w:anchor="page131">
              <w:r>
                <w:rPr>
                  <w:rFonts w:ascii="Arial" w:cs="Arial" w:eastAsia="Arial" w:hAnsi="Arial"/>
                  <w:sz w:val="18"/>
                  <w:szCs w:val="18"/>
                  <w:color w:val="0000EE"/>
                  <w:w w:val="97"/>
                </w:rPr>
                <w:t>SELECTED FINANCIAL DATA</w:t>
              </w:r>
            </w:hyperlink>
          </w:p>
        </w:tc>
        <w:tc>
          <w:tcPr>
            <w:tcW w:w="8460" w:type="dxa"/>
            <w:vAlign w:val="bottom"/>
            <w:gridSpan w:val="2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MANAGEMENT’S DISCUSSION AND ANALYSIS OF FINANCIAL CONDITION AND RESULTS OF OPERATIONS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92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RATIO OF EARNINGS TO FIXED CHARGES</w:t>
              </w:r>
            </w:hyperlink>
          </w:p>
        </w:tc>
        <w:tc>
          <w:tcPr>
            <w:tcW w:w="198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PRICE RANGE OF COMMON STOCK</w:t>
              </w:r>
            </w:hyperlink>
          </w:p>
        </w:tc>
        <w:tc>
          <w:tcPr>
            <w:tcW w:w="7400" w:type="dxa"/>
            <w:vAlign w:val="bottom"/>
            <w:gridSpan w:val="1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SALES OF COMMON STOCK BELOW NET ASSET VALUE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DISTRIBUTIONS</w:t>
              </w:r>
            </w:hyperlink>
          </w:p>
        </w:tc>
        <w:tc>
          <w:tcPr>
            <w:tcW w:w="626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158">
              <w:r>
                <w:rPr>
                  <w:rFonts w:ascii="Arial" w:cs="Arial" w:eastAsia="Arial" w:hAnsi="Arial"/>
                  <w:sz w:val="18"/>
                  <w:szCs w:val="18"/>
                  <w:color w:val="0000EE"/>
                  <w:w w:val="92"/>
                </w:rPr>
                <w:t>BUSINESS</w:t>
              </w:r>
            </w:hyperlink>
          </w:p>
        </w:tc>
        <w:tc>
          <w:tcPr>
            <w:tcW w:w="500" w:type="dxa"/>
            <w:vAlign w:val="bottom"/>
            <w:tcBorders>
              <w:top w:val="single" w:sz="8" w:color="0000EE"/>
            </w:tcBorders>
            <w:gridSpan w:val="4"/>
          </w:tcPr>
          <w:p>
            <w:pPr>
              <w:spacing w:after="0"/>
              <w:rPr>
                <w:sz w:val="17"/>
                <w:szCs w:val="17"/>
                <w:color w:val="auto"/>
              </w:rPr>
            </w:pPr>
          </w:p>
        </w:tc>
        <w:tc>
          <w:tcPr>
            <w:tcW w:w="9540" w:type="dxa"/>
            <w:vAlign w:val="bottom"/>
            <w:gridSpan w:val="2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w:anchor="page163">
              <w:r>
                <w:rPr>
                  <w:rFonts w:ascii="Arial" w:cs="Arial" w:eastAsia="Arial" w:hAnsi="Arial"/>
                  <w:sz w:val="18"/>
                  <w:szCs w:val="18"/>
                  <w:color w:val="0000EE"/>
                  <w:w w:val="96"/>
                </w:rPr>
                <w:t>INVESTMENT OBJECTIVES AND POLICIES</w:t>
              </w:r>
            </w:hyperlink>
          </w:p>
        </w:tc>
        <w:tc>
          <w:tcPr>
            <w:tcW w:w="7360" w:type="dxa"/>
            <w:vAlign w:val="bottom"/>
            <w:gridSpan w:val="1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169">
              <w:r>
                <w:rPr>
                  <w:rFonts w:ascii="Arial" w:cs="Arial" w:eastAsia="Arial" w:hAnsi="Arial"/>
                  <w:sz w:val="18"/>
                  <w:szCs w:val="18"/>
                  <w:color w:val="0000EE"/>
                  <w:w w:val="93"/>
                </w:rPr>
                <w:t>PORTFOLIO COMPANIES</w:t>
              </w:r>
            </w:hyperlink>
          </w:p>
        </w:tc>
        <w:tc>
          <w:tcPr>
            <w:tcW w:w="8840" w:type="dxa"/>
            <w:vAlign w:val="bottom"/>
            <w:gridSpan w:val="2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MANAGEMENT</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CONTROL PERSONS AND PRINCIPAL STOCKHOLDERS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CERTAIN RELATIONSHIPS AND TRANSACTIONS</w:t>
              </w:r>
            </w:hyperlink>
          </w:p>
        </w:tc>
        <w:tc>
          <w:tcPr>
            <w:tcW w:w="636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6"/>
              </w:rPr>
            </w:pPr>
            <w:hyperlink w:anchor="page189">
              <w:r>
                <w:rPr>
                  <w:rFonts w:ascii="Arial" w:cs="Arial" w:eastAsia="Arial" w:hAnsi="Arial"/>
                  <w:sz w:val="18"/>
                  <w:szCs w:val="18"/>
                  <w:color w:val="0000EE"/>
                  <w:w w:val="96"/>
                </w:rPr>
                <w:t>DETERMINATION OF NET ASSET VALUE</w:t>
              </w:r>
            </w:hyperlink>
          </w:p>
        </w:tc>
        <w:tc>
          <w:tcPr>
            <w:tcW w:w="640" w:type="dxa"/>
            <w:vAlign w:val="bottom"/>
            <w:tcBorders>
              <w:top w:val="single" w:sz="8" w:color="0000EE"/>
            </w:tcBorders>
            <w:gridSpan w:val="6"/>
          </w:tcPr>
          <w:p>
            <w:pPr>
              <w:spacing w:after="0"/>
              <w:rPr>
                <w:sz w:val="17"/>
                <w:szCs w:val="17"/>
                <w:color w:val="auto"/>
              </w:rPr>
            </w:pPr>
          </w:p>
        </w:tc>
        <w:tc>
          <w:tcPr>
            <w:tcW w:w="688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DIVIDEND REINVESTMENT PLAN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DESCRIPTION OF OUR CAPITAL STOCK</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200">
              <w:r>
                <w:rPr>
                  <w:rFonts w:ascii="Arial" w:cs="Arial" w:eastAsia="Arial" w:hAnsi="Arial"/>
                  <w:sz w:val="18"/>
                  <w:szCs w:val="18"/>
                  <w:color w:val="0000EE"/>
                  <w:w w:val="93"/>
                </w:rPr>
                <w:t>DESCRIPTION OF OUR PREFERRED STOCK</w:t>
              </w:r>
            </w:hyperlink>
          </w:p>
        </w:tc>
        <w:tc>
          <w:tcPr>
            <w:tcW w:w="7320" w:type="dxa"/>
            <w:vAlign w:val="bottom"/>
            <w:gridSpan w:val="10"/>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201">
              <w:r>
                <w:rPr>
                  <w:rFonts w:ascii="Arial" w:cs="Arial" w:eastAsia="Arial" w:hAnsi="Arial"/>
                  <w:sz w:val="18"/>
                  <w:szCs w:val="18"/>
                  <w:color w:val="0000EE"/>
                  <w:w w:val="94"/>
                </w:rPr>
                <w:t>DESCRIPTION OF OUR WARRANTS</w:t>
              </w:r>
            </w:hyperlink>
          </w:p>
        </w:tc>
        <w:tc>
          <w:tcPr>
            <w:tcW w:w="7980" w:type="dxa"/>
            <w:vAlign w:val="bottom"/>
            <w:gridSpan w:val="18"/>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203">
              <w:r>
                <w:rPr>
                  <w:rFonts w:ascii="Arial" w:cs="Arial" w:eastAsia="Arial" w:hAnsi="Arial"/>
                  <w:sz w:val="18"/>
                  <w:szCs w:val="18"/>
                  <w:color w:val="0000EE"/>
                  <w:w w:val="94"/>
                </w:rPr>
                <w:t>DESCRIPTION OF OUR SUBSCRIPTION RIGHTS</w:t>
              </w:r>
            </w:hyperlink>
          </w:p>
        </w:tc>
        <w:tc>
          <w:tcPr>
            <w:tcW w:w="7000" w:type="dxa"/>
            <w:vAlign w:val="bottom"/>
            <w:gridSpan w:val="9"/>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205">
              <w:r>
                <w:rPr>
                  <w:rFonts w:ascii="Arial" w:cs="Arial" w:eastAsia="Arial" w:hAnsi="Arial"/>
                  <w:sz w:val="18"/>
                  <w:szCs w:val="18"/>
                  <w:color w:val="0000EE"/>
                  <w:w w:val="94"/>
                </w:rPr>
                <w:t>DESCRIPTION OF OUR DEBT SECURITIES</w:t>
              </w:r>
            </w:hyperlink>
          </w:p>
        </w:tc>
        <w:tc>
          <w:tcPr>
            <w:tcW w:w="7440" w:type="dxa"/>
            <w:vAlign w:val="bottom"/>
            <w:gridSpan w:val="1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218">
              <w:r>
                <w:rPr>
                  <w:rFonts w:ascii="Arial" w:cs="Arial" w:eastAsia="Arial" w:hAnsi="Arial"/>
                  <w:sz w:val="18"/>
                  <w:szCs w:val="18"/>
                  <w:color w:val="0000EE"/>
                  <w:w w:val="94"/>
                </w:rPr>
                <w:t>DESCRIPTION OF OUR UNITS</w:t>
              </w:r>
            </w:hyperlink>
          </w:p>
        </w:tc>
        <w:tc>
          <w:tcPr>
            <w:tcW w:w="8440" w:type="dxa"/>
            <w:vAlign w:val="bottom"/>
            <w:gridSpan w:val="21"/>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REGULATION</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940" w:type="dxa"/>
            <w:vAlign w:val="bottom"/>
            <w:gridSpan w:val="1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BROKERAGE ALLOCATIONS AND OTHER PRACTICES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940" w:type="dxa"/>
            <w:vAlign w:val="bottom"/>
            <w:tcBorders>
              <w:right w:val="single" w:sz="8" w:color="0000EE"/>
            </w:tcBorders>
            <w:gridSpan w:val="1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30"/>
          </w:tcPr>
          <w:p>
            <w:pPr>
              <w:spacing w:after="0" w:line="196" w:lineRule="exact"/>
              <w:rPr>
                <w:rFonts w:ascii="Arial" w:cs="Arial" w:eastAsia="Arial" w:hAnsi="Arial"/>
                <w:sz w:val="18"/>
                <w:szCs w:val="18"/>
                <w:color w:val="0000EE"/>
                <w:w w:val="96"/>
              </w:rPr>
            </w:pPr>
            <w:hyperlink w:anchor="page226">
              <w:r>
                <w:rPr>
                  <w:rFonts w:ascii="Arial" w:cs="Arial" w:eastAsia="Arial" w:hAnsi="Arial"/>
                  <w:sz w:val="18"/>
                  <w:szCs w:val="18"/>
                  <w:color w:val="0000EE"/>
                  <w:w w:val="96"/>
                </w:rPr>
                <w:t>MATERIAL U.S. FEDERAL INCOME TAX CONSIDERATIONS</w:t>
              </w:r>
            </w:hyperlink>
          </w:p>
        </w:tc>
        <w:tc>
          <w:tcPr>
            <w:tcW w:w="6020" w:type="dxa"/>
            <w:vAlign w:val="bottom"/>
            <w:gridSpan w:val="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232">
              <w:r>
                <w:rPr>
                  <w:rFonts w:ascii="Arial" w:cs="Arial" w:eastAsia="Arial" w:hAnsi="Arial"/>
                  <w:sz w:val="18"/>
                  <w:szCs w:val="18"/>
                  <w:color w:val="0000EE"/>
                  <w:w w:val="97"/>
                </w:rPr>
                <w:t>PLAN OF DISTRIBUTION</w:t>
              </w:r>
            </w:hyperlink>
          </w:p>
        </w:tc>
        <w:tc>
          <w:tcPr>
            <w:tcW w:w="8840" w:type="dxa"/>
            <w:vAlign w:val="bottom"/>
            <w:gridSpan w:val="2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SUB-ADMINISTRATOR, CUSTODIAN, TRANSFER AGENT AND TRUSTEE</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594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LEGAL MATTERS</w:t>
              </w:r>
            </w:hyperlink>
          </w:p>
        </w:tc>
        <w:tc>
          <w:tcPr>
            <w:tcW w:w="4960" w:type="dxa"/>
            <w:vAlign w:val="bottom"/>
            <w:gridSpan w:val="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1940" w:type="dxa"/>
            <w:vAlign w:val="bottom"/>
            <w:gridSpan w:val="1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INDEPENDENT REGISTERED PUBLIC ACCOUNTING FIRM</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48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INDEX TO CONSOLIDATED FINANCIAL STATEMENTS</w:t>
              </w:r>
            </w:hyperlink>
          </w:p>
        </w:tc>
        <w:tc>
          <w:tcPr>
            <w:tcW w:w="6100" w:type="dxa"/>
            <w:vAlign w:val="bottom"/>
            <w:gridSpan w:val="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2540" w:type="dxa"/>
            <w:vAlign w:val="bottom"/>
            <w:tcBorders>
              <w:top w:val="single" w:sz="8" w:color="0000EE"/>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5"/>
              </w:rPr>
              <w:t>PART C OTHER INFORMATION</w:t>
            </w:r>
          </w:p>
        </w:tc>
        <w:tc>
          <w:tcPr>
            <w:tcW w:w="1940" w:type="dxa"/>
            <w:vAlign w:val="bottom"/>
            <w:tcBorders>
              <w:top w:val="single" w:sz="8" w:color="0000EE"/>
            </w:tcBorders>
            <w:gridSpan w:val="13"/>
          </w:tcPr>
          <w:p>
            <w:pPr>
              <w:spacing w:after="0"/>
              <w:rPr>
                <w:sz w:val="17"/>
                <w:szCs w:val="17"/>
                <w:color w:val="auto"/>
              </w:rPr>
            </w:pPr>
          </w:p>
        </w:tc>
        <w:tc>
          <w:tcPr>
            <w:tcW w:w="6420" w:type="dxa"/>
            <w:vAlign w:val="bottom"/>
            <w:gridSpan w:val="7"/>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sz w:val="20"/>
                <w:szCs w:val="20"/>
                <w:color w:val="auto"/>
              </w:rPr>
            </w:pPr>
            <w:r>
              <w:rPr>
                <w:rFonts w:ascii="Arial" w:cs="Arial" w:eastAsia="Arial" w:hAnsi="Arial"/>
                <w:sz w:val="18"/>
                <w:szCs w:val="18"/>
                <w:color w:val="0000EE"/>
              </w:rPr>
              <w:t>SIGNATURES</w:t>
            </w: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C-12</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debt securities, or units on the terms to be determined at the time of the offering.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3"/>
        <w:spacing w:after="0" w:line="268" w:lineRule="auto"/>
        <w:rPr>
          <w:sz w:val="20"/>
          <w:szCs w:val="20"/>
          <w:color w:val="auto"/>
        </w:rPr>
      </w:pPr>
      <w:r>
        <w:rPr>
          <w:rFonts w:ascii="Arial" w:cs="Arial" w:eastAsia="Arial" w:hAnsi="Arial"/>
          <w:sz w:val="17"/>
          <w:szCs w:val="17"/>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our consolidated small business investment company, or SBIC, subsidiaries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and “PennantPark Investment Administration” or “Administrator” refers to PennantPark Investment Administration, LLC; “SBA” refers to the Small Business Administration; “Credit Facility” refers to our multi-currency, senior secured revolving credit facility; “2025 Notes” refers to our 6.25% senior notes due 2025; “1940 Act” refers to the Investment Company Act of 1940, as amended; “Code” refers to the Internal Revenue Code of 1986, as amended; “RIC” refers to a regulated investment company under the Code; and “BDC” refers to a business development company under the 1940 Act.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ind w:left="200" w:right="340" w:firstLine="443"/>
        <w:spacing w:after="0" w:line="34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24"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 regions.</w:t>
      </w:r>
    </w:p>
    <w:p>
      <w:pPr>
        <w:spacing w:after="0" w:line="166" w:lineRule="exact"/>
        <w:rPr>
          <w:sz w:val="20"/>
          <w:szCs w:val="20"/>
          <w:color w:val="auto"/>
        </w:rPr>
      </w:pPr>
    </w:p>
    <w:p>
      <w:pPr>
        <w:ind w:left="200" w:right="40" w:firstLine="443"/>
        <w:spacing w:after="0" w:line="279" w:lineRule="auto"/>
        <w:rPr>
          <w:sz w:val="20"/>
          <w:szCs w:val="20"/>
          <w:color w:val="auto"/>
        </w:rPr>
      </w:pPr>
      <w:r>
        <w:rPr>
          <w:rFonts w:ascii="Arial" w:cs="Arial" w:eastAsia="Arial" w:hAnsi="Arial"/>
          <w:sz w:val="17"/>
          <w:szCs w:val="17"/>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or any future credit facility, the SBA debentures, proceeds from the rotation of our portfolio and proceeds from public and private offerings of securities to finance our investment objectives.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200" w:right="360" w:firstLine="443"/>
        <w:spacing w:after="0" w:line="277"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Act. In addition, for federal income tax purposes we have elected to be treated, and intend to qualify annually, as a RIC under the Code.</w:t>
      </w:r>
    </w:p>
    <w:p>
      <w:pPr>
        <w:spacing w:after="0" w:line="225" w:lineRule="exact"/>
        <w:rPr>
          <w:sz w:val="20"/>
          <w:szCs w:val="20"/>
          <w:color w:val="auto"/>
        </w:rPr>
      </w:pPr>
    </w:p>
    <w:p>
      <w:pPr>
        <w:ind w:left="200" w:right="100" w:firstLine="443"/>
        <w:spacing w:after="0" w:line="257"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200" w:right="20" w:firstLine="443"/>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$1.8 billion in debt and equity capital and has invested approximately $3.0 billion in almost 300 companies with 125 different financial sponsors through its managed funds.</w:t>
      </w:r>
    </w:p>
    <w:p>
      <w:pPr>
        <w:spacing w:after="0" w:line="167"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increasing difficulty in raising debt through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200" w:right="320" w:firstLine="443"/>
        <w:spacing w:after="0" w:line="277" w:lineRule="auto"/>
        <w:rPr>
          <w:sz w:val="20"/>
          <w:szCs w:val="20"/>
          <w:color w:val="auto"/>
        </w:rPr>
      </w:pPr>
      <w:r>
        <w:rPr>
          <w:rFonts w:ascii="Arial" w:cs="Arial" w:eastAsia="Arial" w:hAnsi="Arial"/>
          <w:sz w:val="18"/>
          <w:szCs w:val="18"/>
          <w:color w:val="auto"/>
        </w:rPr>
        <w:t>We believe that we have competitive advantages over other capital providers in middle-market companies, such as a management team with an average of over 25 years of experience, a disciplined investment approach</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 See “Risk Factors—Risks Relating to our Business and Structure—We operate in a highly competitive market for investment opportunities” for more information.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We currently use and expect to continue to use leverage from our Credit Facility, our SBA debentures and our 2025 Notes to make investments. As a result, we may continue to be exposed to the risks associated with leverage. See “Risk Factors — Risks Relating to our Business and Structure” for more information. We believe that our capital resources provide us with the flexibility to take advantage of market opportunities when they arise. Our use of leverage, as calculated under the asset coverage requirements of the 1940 Act, may generally range between 60% to 80% of our net assets. We cannot assure investors that our leverage will remain within that range. The amount of leverage that we employ will depend on our assessment of the market and other factors at the time of any proposed borrowing. See “Management’s Discussion and Analysis of Financial Condition and Results of Operations — Liquidity and Capital Resources” for more information.</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229"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71" w:lineRule="exact"/>
        <w:rPr>
          <w:sz w:val="20"/>
          <w:szCs w:val="20"/>
          <w:color w:val="auto"/>
        </w:rPr>
      </w:pPr>
    </w:p>
    <w:p>
      <w:pPr>
        <w:ind w:left="200" w:right="300" w:firstLine="443"/>
        <w:spacing w:after="0" w:line="257"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Agreements” for more information.</w:t>
      </w:r>
    </w:p>
    <w:p>
      <w:pPr>
        <w:spacing w:after="0" w:line="188" w:lineRule="exact"/>
        <w:rPr>
          <w:sz w:val="20"/>
          <w:szCs w:val="20"/>
          <w:color w:val="auto"/>
        </w:rPr>
      </w:pPr>
    </w:p>
    <w:p>
      <w:pPr>
        <w:ind w:left="200" w:right="60" w:firstLine="443"/>
        <w:spacing w:after="0" w:line="312"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674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6465" cy="60674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Our wholly-owned SBIC Funds received licenses from the SBA to operate as SBICs under Section 301(c) of the 1958 Act and are regulated by the SBA. The SBA regulates, among other matters, investing activities and periodically examines our SBIC Funds’ operations. We serve as the investment adviser and administrator to our SBIC Funds. See “Regulation” for more information.</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information regarding our outstanding borrowings as of September 30, 2013, the corresponding interest rate charged on such borrowings as of that date and the length of time that it may take us to invest any proceeds in new or existing portfolio companies.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On November 21, 2013, upon the recommendations of the audit committee, the board of directors dismissed KPMG LLP, and engaged McGladrey LLP, as the Company’s independent registered public accounting firm for the year ending September 30, 2014. For further information, see Form 8-K filed on November 25, 2013.</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21" w:lineRule="exact"/>
        <w:rPr>
          <w:sz w:val="20"/>
          <w:szCs w:val="20"/>
          <w:color w:val="auto"/>
        </w:rPr>
      </w:pPr>
    </w:p>
    <w:p>
      <w:pPr>
        <w:ind w:left="200" w:right="620" w:firstLine="443"/>
        <w:spacing w:after="0" w:line="277" w:lineRule="auto"/>
        <w:rPr>
          <w:sz w:val="20"/>
          <w:szCs w:val="20"/>
          <w:color w:val="auto"/>
        </w:rPr>
      </w:pPr>
      <w:r>
        <w:rPr>
          <w:rFonts w:ascii="Arial" w:cs="Arial" w:eastAsia="Arial" w:hAnsi="Arial"/>
          <w:sz w:val="18"/>
          <w:szCs w:val="18"/>
          <w:color w:val="auto"/>
        </w:rPr>
        <w:t>For the years ended September 30, 2013, 2012, 2011, 2010 and 2009, our ratios of earnings to fixed charges were 6.0, 5.4, 1.9, 4.5 and 7.7, respectively. See “Ratio of Earnings to Fixed Charges”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See “Distributions”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200" w:right="200" w:firstLine="443"/>
        <w:spacing w:after="0" w:line="297"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200" w:right="40" w:firstLine="443"/>
        <w:spacing w:after="0" w:line="257" w:lineRule="auto"/>
        <w:rPr>
          <w:sz w:val="20"/>
          <w:szCs w:val="20"/>
          <w:color w:val="auto"/>
        </w:rPr>
      </w:pPr>
      <w:r>
        <w:rPr>
          <w:rFonts w:ascii="Arial" w:cs="Arial" w:eastAsia="Arial" w:hAnsi="Arial"/>
          <w:sz w:val="18"/>
          <w:szCs w:val="18"/>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71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6465" cy="3871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200" w:right="300" w:firstLine="443"/>
        <w:spacing w:after="0" w:line="277" w:lineRule="auto"/>
        <w:rPr>
          <w:sz w:val="20"/>
          <w:szCs w:val="20"/>
          <w:color w:val="auto"/>
        </w:rPr>
      </w:pPr>
      <w:r>
        <w:rPr>
          <w:rFonts w:ascii="Arial" w:cs="Arial" w:eastAsia="Arial" w:hAnsi="Arial"/>
          <w:sz w:val="18"/>
          <w:szCs w:val="18"/>
          <w:color w:val="auto"/>
        </w:rPr>
        <w:t>We may offer, from time to time, up to $1 billion of our securities, on terms to be determined at the time of each such offering and set forth in a supplement to this prospectus.</w:t>
      </w:r>
    </w:p>
    <w:p>
      <w:pPr>
        <w:spacing w:after="0" w:line="170"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common stock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67" w:lineRule="exact"/>
        <w:rPr>
          <w:sz w:val="20"/>
          <w:szCs w:val="20"/>
          <w:color w:val="auto"/>
        </w:rPr>
      </w:pPr>
    </w:p>
    <w:p>
      <w:pPr>
        <w:ind w:left="200" w:right="160" w:firstLine="443"/>
        <w:spacing w:after="0" w:line="277"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firstLine="553"/>
        <w:spacing w:after="0" w:line="270" w:lineRule="auto"/>
        <w:rPr>
          <w:sz w:val="20"/>
          <w:szCs w:val="20"/>
          <w:color w:val="auto"/>
        </w:rPr>
      </w:pPr>
      <w:r>
        <w:rPr>
          <w:rFonts w:ascii="Arial" w:cs="Arial" w:eastAsia="Arial" w:hAnsi="Arial"/>
          <w:sz w:val="17"/>
          <w:szCs w:val="17"/>
          <w:color w:val="auto"/>
        </w:rPr>
        <w:t xml:space="preserve">Our administrative and principal executive offices are located at 590 Madison Avenue, 15th Floor, New York, NY 10022. Our common stock is quoted on the NASDAQ Global Select Market under the symbol “PNNT.” Our 2025 Notes are quoted on the NYSE under the symbol “PNTA.” Our phone number is (212) 905-1000, and our internet website address is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material that we file with the SEC on the EDGAR Database.</w:t>
      </w: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Sales load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0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9"/>
                <w:szCs w:val="19"/>
                <w:color w:val="auto"/>
                <w:vertAlign w:val="superscript"/>
              </w:rPr>
              <w:t>(3)</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Management fees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3.02%</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2.32%</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10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700" w:type="dxa"/>
            <w:vAlign w:val="bottom"/>
            <w:gridSpan w:val="2"/>
            <w:vMerge w:val="continue"/>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8.08%</w:t>
            </w:r>
            <w:r>
              <w:rPr>
                <w:rFonts w:ascii="Arial" w:cs="Arial" w:eastAsia="Arial" w:hAnsi="Arial"/>
                <w:sz w:val="15"/>
                <w:szCs w:val="15"/>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right="320" w:hanging="452"/>
        <w:spacing w:after="0" w:line="25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for the three months ended September 30, 2013.</w:t>
      </w:r>
    </w:p>
    <w:p>
      <w:pPr>
        <w:spacing w:after="0" w:line="9"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on September 30, 2013. See “Certain Relationships and Transactions—Investment Management Agreement” for more information.</w:t>
      </w:r>
    </w:p>
    <w:p>
      <w:pPr>
        <w:ind w:left="460" w:right="20" w:hanging="452"/>
        <w:spacing w:after="0" w:line="281"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September 30, 2013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2013,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September 30, 2013. For more detailed information about the incentive fee, please see “Certain Relationships and Transactions—Investment Management Agreement” for more information.</w:t>
      </w:r>
    </w:p>
    <w:p>
      <w:pPr>
        <w:spacing w:after="0" w:line="6" w:lineRule="exact"/>
        <w:rPr>
          <w:rFonts w:ascii="Arial" w:cs="Arial" w:eastAsia="Arial" w:hAnsi="Arial"/>
          <w:sz w:val="16"/>
          <w:szCs w:val="16"/>
          <w:color w:val="auto"/>
        </w:rPr>
      </w:pPr>
    </w:p>
    <w:p>
      <w:pPr>
        <w:ind w:left="460" w:right="20" w:hanging="452"/>
        <w:spacing w:after="0" w:line="29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of September 30, 2013, we had $284.5 million of unused borrowing capacity, subject to maintenance of the applicable total assets to debt ratio, under the 1940 Act, and $145.5 million in borrowings outstanding under our $430.0 million Credit Facility and had $71.3 million in aggregate principal of 2025 Notes at an annual interest rate of 6.25%. As of September 30, 2013, SBIC LP had $150.0 million outstanding with a weighted average annual interest rate of 3.70%, exclusive of the 3.43% of upfront fees (4.04% inclusive of the 3.43% upfront fee). We may use proceeds of an offering of securities under this registration statement to repay outstanding obligations under our Credit Facility. After completing any such offering, we may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00"/>
        <w:spacing w:after="0" w:line="279" w:lineRule="auto"/>
        <w:rPr>
          <w:sz w:val="20"/>
          <w:szCs w:val="20"/>
          <w:color w:val="auto"/>
        </w:rPr>
      </w:pPr>
      <w:r>
        <w:rPr>
          <w:rFonts w:ascii="Arial" w:cs="Arial" w:eastAsia="Arial" w:hAnsi="Arial"/>
          <w:sz w:val="17"/>
          <w:szCs w:val="17"/>
          <w:color w:val="auto"/>
        </w:rPr>
        <w:t>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77" w:lineRule="exact"/>
        <w:rPr>
          <w:sz w:val="20"/>
          <w:szCs w:val="20"/>
          <w:color w:val="auto"/>
        </w:rPr>
      </w:pPr>
    </w:p>
    <w:p>
      <w:pPr>
        <w:ind w:left="460" w:right="12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2013, annualized for a full year.</w:t>
      </w:r>
    </w:p>
    <w:p>
      <w:pPr>
        <w:spacing w:after="0" w:line="92" w:lineRule="exact"/>
        <w:rPr>
          <w:rFonts w:ascii="Arial" w:cs="Arial" w:eastAsia="Arial" w:hAnsi="Arial"/>
          <w:sz w:val="18"/>
          <w:szCs w:val="18"/>
          <w:color w:val="auto"/>
        </w:rPr>
      </w:pPr>
    </w:p>
    <w:p>
      <w:pPr>
        <w:ind w:left="460" w:right="260" w:hanging="452"/>
        <w:spacing w:after="0" w:line="297"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27 of this prospectus.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3.50% sales load (underwriting discounts and commissions) and offering expenses totaling 0.34%, (2) total net annual expenses of 5.66% of average net assets attributable to common shares as set forth in the table above (other than performance-based incentive fees) and (3) a 5% annual return.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You would pay the following expenses on a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1,000 common stock investment</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1 Year</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10 Years</w:t>
            </w:r>
          </w:p>
        </w:tc>
      </w:tr>
      <w:tr>
        <w:trPr>
          <w:trHeight w:val="182"/>
        </w:trPr>
        <w:tc>
          <w:tcPr>
            <w:tcW w:w="47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7"/>
              </w:rPr>
              <w:t>Assuming a 5% annual return (assumes no return from net realized</w:t>
            </w:r>
          </w:p>
        </w:tc>
        <w:tc>
          <w:tcPr>
            <w:tcW w:w="334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rPr>
              <w:t>capital gains or net unrealized capital</w:t>
            </w:r>
          </w:p>
        </w:tc>
        <w:tc>
          <w:tcPr>
            <w:tcW w:w="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44"/>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appreciation)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200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306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r>
      <w:tr>
        <w:trPr>
          <w:trHeight w:val="202"/>
        </w:trPr>
        <w:tc>
          <w:tcPr>
            <w:tcW w:w="8040" w:type="dxa"/>
            <w:vAlign w:val="bottom"/>
            <w:gridSpan w:val="2"/>
          </w:tcPr>
          <w:p>
            <w:pPr>
              <w:spacing w:after="0" w:line="201" w:lineRule="exact"/>
              <w:rPr>
                <w:sz w:val="20"/>
                <w:szCs w:val="20"/>
                <w:color w:val="auto"/>
              </w:rPr>
            </w:pPr>
            <w:r>
              <w:rPr>
                <w:rFonts w:ascii="Arial" w:cs="Arial" w:eastAsia="Arial" w:hAnsi="Arial"/>
                <w:sz w:val="18"/>
                <w:szCs w:val="18"/>
                <w:color w:val="auto"/>
                <w:w w:val="99"/>
              </w:rPr>
              <w:t>Assuming a 5% annual return (assumes return from only realized capital gains and thus subject to the</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capital gains incentive fee)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226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346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r>
    </w:tbl>
    <w:p>
      <w:pPr>
        <w:spacing w:after="0" w:line="20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of less than 5% on net investment income, the incentive fee under our Investment Management Agreement would not be earned or payable. If we were to earn any amount on net realized gains from our inception to date, our expenses, and returns to investors, would be higher. The example assumes that all dividends and distributions are reinvested at NAV. Under certain circumstances, reinvestment of dividends and distributions under our dividend reinvestment plan may occur at a price per share that differs from NAV. See “Distributions” for more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and 2025 Notes, or any securities we may issue, may decline, and you may lose all or part of your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21" w:lineRule="exact"/>
        <w:rPr>
          <w:sz w:val="20"/>
          <w:szCs w:val="20"/>
          <w:color w:val="auto"/>
        </w:rPr>
      </w:pPr>
    </w:p>
    <w:p>
      <w:pPr>
        <w:ind w:right="20" w:firstLine="228"/>
        <w:spacing w:after="0" w:line="264"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7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U.S.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could have a material adverse effect on our business, financial condition and results of operations.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debt and equity capital. As a BDC, we are generally not able to issue additional shares of our common stock at a price less than NAV without first obtaining approval for such issuance from our stockholders and our independent directors. Additionally, our ability to incur indebtedness is limited by the asset coverage requirements for a BDC, as defined in the 1940 Act, which we refer to as the asset coverage ratio, exclusive of the SBA debentures pursuant to our SEC exemptive relief. Declining portfolio values negatively impact our ability to borrow additional funds under our Credit Facility because our NAV is reduced for purposes of the asset coverage requirement.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significant disruption in the capital markets experienced in the past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loans we originate and could have a material adverse impact on our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and results of operations.</w:t>
      </w:r>
    </w:p>
    <w:p>
      <w:pPr>
        <w:spacing w:after="0" w:line="295" w:lineRule="exact"/>
        <w:rPr>
          <w:sz w:val="20"/>
          <w:szCs w:val="20"/>
          <w:color w:val="auto"/>
        </w:rPr>
      </w:pPr>
    </w:p>
    <w:p>
      <w:pPr>
        <w:ind w:right="320" w:firstLine="228"/>
        <w:spacing w:after="0" w:line="277" w:lineRule="auto"/>
        <w:rPr>
          <w:sz w:val="20"/>
          <w:szCs w:val="20"/>
          <w:color w:val="auto"/>
        </w:rPr>
      </w:pPr>
      <w:r>
        <w:rPr>
          <w:rFonts w:ascii="Arial" w:cs="Arial" w:eastAsia="Arial" w:hAnsi="Arial"/>
          <w:sz w:val="18"/>
          <w:szCs w:val="18"/>
          <w:b w:val="1"/>
          <w:bCs w:val="1"/>
          <w:i w:val="1"/>
          <w:iCs w:val="1"/>
          <w:color w:val="auto"/>
        </w:rPr>
        <w:t>Market developments may adversely affect our business and results of operations by reducing availability and/or triggering mandatory prepayment under our Credit Facility, the 2025 Notes and SBA debentures.</w:t>
      </w:r>
    </w:p>
    <w:p>
      <w:pPr>
        <w:spacing w:after="0" w:line="62"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 addition to the applicable asset coverage ratio that restricts our ability to borrow under our Credit Facility, the Credit Facility and the indenture governing the 2025 Notes contain various covenants which, if not complied with, could accelerate repayment under the Credit Facility and 2025 Notes, thereby having a material adverse effect on our business, financial condition and results of operations. Our borrowings under our Credit Facility are collateralized by the assets in our investment portfolio, excluding those portfolio investments held by our SBIC Funds. The agreements governing the Credit Facility require us to comply with certain financial and operational covenants. These covenants include:</w:t>
      </w:r>
    </w:p>
    <w:p>
      <w:pPr>
        <w:spacing w:after="0" w:line="78"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24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addition to the Credit Facility, we have issued the 2025 Notes and SBIC LP has issued SBA debentures that require us and SBIC LP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debentures. Our borrowings under the SBA debentures are secured by the assets of SBIC LP.</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as applicable. This could have a material adverse effect on our operations, as it would reduce availability under the Credit Facility and could trigger mandatory prepayment obligations under the terms of the Credit Facility and the 2025 Notes.</w:t>
      </w:r>
    </w:p>
    <w:p>
      <w:pPr>
        <w:spacing w:after="0" w:line="296" w:lineRule="exact"/>
        <w:rPr>
          <w:sz w:val="20"/>
          <w:szCs w:val="20"/>
          <w:color w:val="auto"/>
        </w:rPr>
      </w:pPr>
    </w:p>
    <w:p>
      <w:pPr>
        <w:ind w:right="600" w:firstLine="228"/>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6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88"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 and 2025 Notes.</w:t>
      </w:r>
    </w:p>
    <w:p>
      <w:pPr>
        <w:spacing w:after="0" w:line="289" w:lineRule="exact"/>
        <w:rPr>
          <w:sz w:val="20"/>
          <w:szCs w:val="20"/>
          <w:color w:val="auto"/>
        </w:rPr>
      </w:pPr>
    </w:p>
    <w:p>
      <w:pPr>
        <w:ind w:right="500" w:firstLine="228"/>
        <w:spacing w:after="0" w:line="277" w:lineRule="auto"/>
        <w:rPr>
          <w:sz w:val="20"/>
          <w:szCs w:val="20"/>
          <w:color w:val="auto"/>
        </w:rPr>
      </w:pPr>
      <w:r>
        <w:rPr>
          <w:rFonts w:ascii="Arial" w:cs="Arial" w:eastAsia="Arial" w:hAnsi="Arial"/>
          <w:sz w:val="18"/>
          <w:szCs w:val="18"/>
          <w:b w:val="1"/>
          <w:bCs w:val="1"/>
          <w:i w:val="1"/>
          <w:iCs w:val="1"/>
          <w:color w:val="auto"/>
        </w:rPr>
        <w:t>Following periods of volatility in the market price of a company’s securities, securities class action litigation has often been brought against that company.</w:t>
      </w:r>
    </w:p>
    <w:p>
      <w:pPr>
        <w:spacing w:after="0" w:line="62"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If the trading price of our stock or 2025 Notes fluctuates significantly, we may be the target of securities litigation in the future. Securities litigation could result in substantial costs and divert management’s attention and resources from our business and cause a material adverse effect on our business, financial condition and results of operations.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117"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4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addition, current market conditions have affected consumer confidence levels, which may harm the business of our portfolio companies and result in adverse changes in payment patterns. Increased delinquencies and default rates would negatively impact our results of operations. Deterioration in the quality of our credit portfolio could have a material adverse effect on our capital, financial condition and results of operations. If interest rates rise, some of our portfolio companies may not be able to pay the escalating interest on our loans and may default.</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make long-term loans and debt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277" w:lineRule="exact"/>
        <w:rPr>
          <w:sz w:val="20"/>
          <w:szCs w:val="20"/>
          <w:color w:val="auto"/>
        </w:rPr>
      </w:pPr>
    </w:p>
    <w:p>
      <w:pPr>
        <w:ind w:right="240" w:firstLine="228"/>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your best interest.</w:t>
      </w:r>
    </w:p>
    <w:p>
      <w:pPr>
        <w:spacing w:after="0" w:line="300" w:lineRule="exact"/>
        <w:rPr>
          <w:sz w:val="20"/>
          <w:szCs w:val="20"/>
          <w:color w:val="auto"/>
        </w:rPr>
      </w:pPr>
    </w:p>
    <w:p>
      <w:pPr>
        <w:jc w:val="both"/>
        <w:ind w:right="400" w:firstLine="228"/>
        <w:spacing w:after="0" w:line="264"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73"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We depend on the diligence, skill and network of business contacts of the senior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Subject to the overall supervision of our board of directors,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our Investment Management Agreement or Administration Agreement discussed above is terminated, our costs under new agreements that we enter into may increase. In addition, we will likely incur significant time and expense in locating alternative parties to provide the services we expect to receive under our Investment Management Agreement and Administration Agreement. Any new investment management agreement would also be subject to approval by our stockholders.</w:t>
      </w:r>
    </w:p>
    <w:p>
      <w:pPr>
        <w:spacing w:after="0" w:line="295" w:lineRule="exact"/>
        <w:rPr>
          <w:sz w:val="20"/>
          <w:szCs w:val="20"/>
          <w:color w:val="auto"/>
        </w:rPr>
      </w:pPr>
    </w:p>
    <w:p>
      <w:pPr>
        <w:ind w:right="260" w:firstLine="228"/>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business depends on the communications and information systems of the Investment Adviser and the Administrator. Any failure or interruption of such systems could cause delays or other problems in our activities. This, in turn, could have a material adverse effect on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time to time, and we can offer no assurance that we will be able to identify and make investments that are consistent with our investment objectives.</w:t>
      </w:r>
    </w:p>
    <w:p>
      <w:pPr>
        <w:spacing w:after="0" w:line="237" w:lineRule="exact"/>
        <w:rPr>
          <w:sz w:val="20"/>
          <w:szCs w:val="20"/>
          <w:color w:val="auto"/>
        </w:rPr>
      </w:pPr>
    </w:p>
    <w:p>
      <w:pPr>
        <w:ind w:right="440" w:firstLine="456"/>
        <w:spacing w:after="0" w:line="257"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not replicate the historical performance of other investment companies with which our investment professionals have been affiliated.</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failure on our part to maintain our status as a business development company would reduce our operating flexibility.</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of RIC tax status would substantially reduce net assets and income available for debt service and distributions.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distributions.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an excise tax if we do not distribute an amount at least equal to the sum of (1) 98% of our net ordinary income (for the calendar year), plus (2) 98.2% of the sum of our net realized capital gains (during each 12-month period ending on October 31). We generally will be required to pay an excise tax on amounts carried over and distributed to stockholders in the next year equal to 4% of the undistributed amount.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4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For federal income tax purposes, we include in income certain amounts that we have not yet received in cash, such as original issue discount, or OID, and payment-in-kind, or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w:t>
      </w:r>
    </w:p>
    <w:p>
      <w:pPr>
        <w:spacing w:after="0" w:line="17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pacing w:after="0" w:line="266" w:lineRule="exact"/>
        <w:rPr>
          <w:sz w:val="20"/>
          <w:szCs w:val="20"/>
          <w:color w:val="auto"/>
        </w:rPr>
      </w:pPr>
    </w:p>
    <w:p>
      <w:pPr>
        <w:ind w:right="320" w:firstLine="228"/>
        <w:spacing w:after="0" w:line="375" w:lineRule="auto"/>
        <w:rPr>
          <w:sz w:val="20"/>
          <w:szCs w:val="20"/>
          <w:color w:val="auto"/>
        </w:rPr>
      </w:pPr>
      <w:r>
        <w:rPr>
          <w:rFonts w:ascii="Arial" w:cs="Arial" w:eastAsia="Arial" w:hAnsi="Arial"/>
          <w:sz w:val="15"/>
          <w:szCs w:val="15"/>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order to satisfy the requirements applicable to a RIC, we intend to distribute to our stockholders substantially all of our net ordinary income and net capital gains except for certain net long-term capital gains, some or all of which we may retain, pay applicable income taxes with respect thereto and elect to treat as deemed distributions to our stockholders. As a BDC, we generally are required to meet the asset coverage ratio of total assets to total senior securities, which includes all of our borrowings, exclusive of the SBA debentures pursuant to SEC exemptive relief,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7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will be partially dependent on our SBIC Funds for cash distributions to enable us to meet the RIC distribution requirements. Our SBIC Funds may be limited by the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a corporate-level income tax on us.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Regulations governing our operation as a business development company will affect our ability to, and the way in which we, raise additional capital.</w:t>
      </w:r>
    </w:p>
    <w:p>
      <w:pPr>
        <w:spacing w:after="0" w:line="15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transactions or through SBA debentures. However, we may not be able to raise additional capital in the future on favorable terms or at all. We may issue additional debt securities or preferred securities, which we refer to collectively as “senior securities,” and we may borrow money from banks, through the SBA debenture program or other financial institutions, up to the maximum amount permitted by the 1940 Act. The 1940 Act permits us to issue senior securities or incur indebtedness only in amounts permissible under the asset coverage definition in the 1940 Act, exclusive of the SBA debentures pursuant to our SEC exemptive relief. Our ability to pay distributions or issue additional senior securities would be restricted if our asset coverage requirements were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194" w:lineRule="exact"/>
        <w:rPr>
          <w:sz w:val="20"/>
          <w:szCs w:val="20"/>
          <w:color w:val="auto"/>
        </w:rPr>
      </w:pPr>
    </w:p>
    <w:p>
      <w:pPr>
        <w:ind w:left="900" w:hanging="325"/>
        <w:spacing w:after="0" w:line="273"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Senior Securities. </w:t>
      </w:r>
      <w:r>
        <w:rPr>
          <w:rFonts w:ascii="Arial" w:cs="Arial" w:eastAsia="Arial" w:hAnsi="Arial"/>
          <w:sz w:val="17"/>
          <w:szCs w:val="17"/>
          <w:color w:val="auto"/>
        </w:rPr>
        <w:t>As a result of issuing senior securities, we are exposed to typical risks associated with leverage, including an increased risk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205" w:lineRule="exact"/>
        <w:rPr>
          <w:rFonts w:ascii="Arial" w:cs="Arial" w:eastAsia="Arial" w:hAnsi="Arial"/>
          <w:sz w:val="17"/>
          <w:szCs w:val="17"/>
          <w:color w:val="auto"/>
        </w:rPr>
      </w:pPr>
    </w:p>
    <w:p>
      <w:pPr>
        <w:ind w:left="900" w:hanging="325"/>
        <w:spacing w:after="0" w:line="28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201" w:lineRule="exact"/>
        <w:rPr>
          <w:rFonts w:ascii="Arial" w:cs="Arial" w:eastAsia="Arial" w:hAnsi="Arial"/>
          <w:sz w:val="16"/>
          <w:szCs w:val="16"/>
          <w:color w:val="auto"/>
        </w:rPr>
      </w:pPr>
    </w:p>
    <w:p>
      <w:pPr>
        <w:ind w:left="900" w:right="20" w:hanging="325"/>
        <w:spacing w:after="0" w:line="290"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89" w:lineRule="auto"/>
        <w:rPr>
          <w:sz w:val="20"/>
          <w:szCs w:val="20"/>
          <w:color w:val="auto"/>
        </w:rPr>
      </w:pPr>
      <w:r>
        <w:rPr>
          <w:rFonts w:ascii="Arial" w:cs="Arial" w:eastAsia="Arial" w:hAnsi="Arial"/>
          <w:sz w:val="16"/>
          <w:szCs w:val="16"/>
          <w:color w:val="auto"/>
        </w:rPr>
        <w:t>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94" w:lineRule="exact"/>
        <w:rPr>
          <w:sz w:val="20"/>
          <w:szCs w:val="20"/>
          <w:color w:val="auto"/>
        </w:rPr>
      </w:pPr>
    </w:p>
    <w:p>
      <w:pPr>
        <w:ind w:left="900" w:hanging="325"/>
        <w:spacing w:after="0" w:line="25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SBA Debentures. </w:t>
      </w:r>
      <w:r>
        <w:rPr>
          <w:rFonts w:ascii="Arial" w:cs="Arial" w:eastAsia="Arial" w:hAnsi="Arial"/>
          <w:sz w:val="18"/>
          <w:szCs w:val="18"/>
          <w:color w:val="auto"/>
        </w:rPr>
        <w:t>In addition to issuing securities and using securitizations to raise capital as described above, we have issued and may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issue, as permitted under SBA regulations and through our wholly owned subsidiaries, SBIC LP, SBIC II and any future SBIC subsidiary, SBA debentures to generate cash for funding new investments. To issue SBA debentures, we may request commitments for debt capital from the SBA. SBIC LP is and in the future SBIC II or any future SBIC subsidiary would be exposed to any losses on its portfolio of loans, however, such debentures are non-recourse to us.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SBIC Funds may be unable to make distributions to us that will enable us to meet or maintain RIC status.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order for us to continue to qualify for RIC tax treatment and to minimize corporate-level income taxes, we will be required to distribute substantially all of our consolidated net ordinary income and net capital gains, including income from our SBIC Funds. We will be partially dependent on our SBIC Funds for cash distributions to enable us to meet the RIC distribution requirements. Our SBIC Funds may be limited by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corporate level income tax on us.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SBIC Funds are licensed by the SBA and are subject to SBA regulations.</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wholly owned subsidiaries, SBIC LP and SBIC II, received licenses to operate as SBICs under the 1958 Act and are regulated by the SBA. The SBA places certain limitations on the financing terms of investments by SBICs in portfolio companies and regulates the types of financings and prohibits investing in certain industries. Compliance with SBIC requirements may cause our SBIC Funds to invest at less competitive rates in order to qualify investments under the SBA regulations.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Further, SBA regulations require that a licensed SBIC be periodically examined and audited by the SBA to determine its compliance with the relevant regulations. If our SBIC Funds fail to comply with applicable regulations, the SBA could, depending on the severity of the violation, limit or prohibit their use of debentures, declare outstanding debentures immediately due and payable, and/or limit them from making new investments. In addition, the SBA could revoke or suspend our SBIC Funds’ licenses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19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driven spread over 10-year U.S. Treasury Notes. Leverage through SBA-guaranteed debentures is subject to required capitalization thresholds. SBA current regulations limit the amount that our SBIC Funds may borrow to a maximum of $150 million for any one SBIC, which is up to twice its regulatory capital, and a maximum of $225 million as part of a group of SBICs under common control.</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is restricted when our asset coverage ratio is not met, exclusive of the SBA debentures pursuant to SEC exemptive relief, and any amounts that we use to service our indebtedness are not available for distribution to our common stockholders.</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current debt is governed by the terms of our 2025 Notes, Credit Facility or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Additionally, our subsidiary, SBIC LP, has received borrowed funds and SBIC II may in the future receive funds from the SBA through its debenture program. In connection with the filing of its initial SBA license application, PennantPark Investment received exemptive relief, in June 2011, from the SEC to permit us to exclude the debt of our SBIC Funds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indebtedness outstanding pursuant to our 2025 Notes, Credit Facility and SBA debentures and expect in the future to borrow additional amounts under our Credit Facility or other debt securities, subject to market availability, and, may increase the size of our Credit Facility. We cannot assure you that our leverage will remain in this range.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Facility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Facility and SBA debentures. In addition, borrowings or debt issuances and SBA debentures, also known as leverage, magnify the potential for gain or loss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8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of September 30, 2013, we had outstanding borrowings of $145.5 million under our Credit Facility, $71.3 million outstanding under our 2025 Notes and $150.0 million outstanding under the SBA debentures. Our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consolidated debt outstanding was $366.8 million and had a weighted average annual interest rate at the time of 4.05% exclusive of the fee on undrawn commitment on our Credit Facility of 0.50% and 3.43% of upfront fees on the SBA debentures. Accordingly, to cover the annual interest on our borrowings outstanding at September 30, 2013, at the then current rate, we would have to receive an annual yield of at least 1.39%.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is designed to illustrate the effect on return to a holder of our common stock of the leverage created by our use of borrowing at September 30, 2013 of 32% of total assets (including such borrowed funds), at a weighted average rate at the time of 4.05%, and assumes hypothetical annual returns on our portfolio of minus 10 to plus 10 percent. The table also assumes that we will maintain a constant level and weighted average rate of leverage. The amount of leverage and cost of borrowings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5"/>
                <w:szCs w:val="15"/>
                <w:color w:val="auto"/>
              </w:rPr>
              <w:t>(1)</w:t>
            </w:r>
          </w:p>
        </w:tc>
        <w:tc>
          <w:tcPr>
            <w:tcW w:w="2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w:t>
            </w:r>
          </w:p>
        </w:tc>
        <w:tc>
          <w:tcPr>
            <w:tcW w:w="1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84"/>
        </w:trPr>
        <w:tc>
          <w:tcPr>
            <w:tcW w:w="486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5"/>
                <w:szCs w:val="15"/>
                <w:color w:val="auto"/>
              </w:rPr>
              <w:t>(2)</w:t>
            </w:r>
          </w:p>
        </w:tc>
        <w:tc>
          <w:tcPr>
            <w:tcW w:w="2220" w:type="dxa"/>
            <w:vAlign w:val="bottom"/>
          </w:tcPr>
          <w:p>
            <w:pPr>
              <w:jc w:val="right"/>
              <w:ind w:right="230"/>
              <w:spacing w:after="0"/>
              <w:rPr>
                <w:sz w:val="20"/>
                <w:szCs w:val="20"/>
                <w:color w:val="auto"/>
              </w:rPr>
            </w:pPr>
            <w:r>
              <w:rPr>
                <w:rFonts w:ascii="Arial" w:cs="Arial" w:eastAsia="Arial" w:hAnsi="Arial"/>
                <w:sz w:val="18"/>
                <w:szCs w:val="18"/>
                <w:color w:val="auto"/>
              </w:rPr>
              <w:t>(18.7)%</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(10.4)%</w:t>
            </w:r>
          </w:p>
        </w:tc>
        <w:tc>
          <w:tcPr>
            <w:tcW w:w="1140" w:type="dxa"/>
            <w:vAlign w:val="bottom"/>
          </w:tcPr>
          <w:p>
            <w:pPr>
              <w:ind w:left="320"/>
              <w:spacing w:after="0"/>
              <w:rPr>
                <w:sz w:val="20"/>
                <w:szCs w:val="20"/>
                <w:color w:val="auto"/>
              </w:rPr>
            </w:pPr>
            <w:r>
              <w:rPr>
                <w:rFonts w:ascii="Arial" w:cs="Arial" w:eastAsia="Arial" w:hAnsi="Arial"/>
                <w:sz w:val="18"/>
                <w:szCs w:val="18"/>
                <w:color w:val="auto"/>
              </w:rPr>
              <w:t>(2.1)%</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6.2%</w:t>
            </w: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960" w:hanging="452"/>
        <w:spacing w:after="0" w:line="25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assumed portfolio return is required by regulation of the SEC and is not a prediction of, and does not represent, our projected or actual performance.</w:t>
      </w:r>
    </w:p>
    <w:p>
      <w:pPr>
        <w:spacing w:after="0" w:line="1" w:lineRule="exact"/>
        <w:rPr>
          <w:rFonts w:ascii="Arial" w:cs="Arial" w:eastAsia="Arial" w:hAnsi="Arial"/>
          <w:sz w:val="18"/>
          <w:szCs w:val="18"/>
          <w:color w:val="auto"/>
        </w:rPr>
      </w:pPr>
    </w:p>
    <w:p>
      <w:pPr>
        <w:ind w:left="460" w:right="20" w:hanging="452"/>
        <w:spacing w:after="0" w:line="273"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2007, when we executed our original Credit Facility, through September 2013, the applicable London Interbank Offered Rate, or LIBOR, rate decreased from 5.3% to 0.2%.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 and Results of Operations—Quantitative and Qualitative Disclosures about Market Risk” for more information.</w:t>
      </w:r>
    </w:p>
    <w:p>
      <w:pPr>
        <w:spacing w:after="0" w:line="1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(as defined below).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266" w:lineRule="exact"/>
        <w:rPr>
          <w:sz w:val="20"/>
          <w:szCs w:val="20"/>
          <w:color w:val="auto"/>
        </w:rPr>
      </w:pPr>
    </w:p>
    <w:p>
      <w:pPr>
        <w:ind w:right="100" w:firstLine="228"/>
        <w:spacing w:after="0" w:line="277" w:lineRule="auto"/>
        <w:rPr>
          <w:sz w:val="20"/>
          <w:szCs w:val="20"/>
          <w:color w:val="auto"/>
        </w:rPr>
      </w:pPr>
      <w:r>
        <w:rPr>
          <w:rFonts w:ascii="Arial" w:cs="Arial" w:eastAsia="Arial" w:hAnsi="Arial"/>
          <w:sz w:val="18"/>
          <w:szCs w:val="18"/>
          <w:b w:val="1"/>
          <w:bCs w:val="1"/>
          <w:i w:val="1"/>
          <w:iCs w:val="1"/>
          <w:color w:val="auto"/>
        </w:rPr>
        <w:t>We have and may in the future determine to fund a portion of our investments with debt securities, which would magnify the potential for loss and the risks of investing in us.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result of the issuance of the 2025 Notes and SBA debentures,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are not available for the payment of distributions to our common stockholders.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117"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our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255" w:lineRule="exact"/>
        <w:rPr>
          <w:sz w:val="20"/>
          <w:szCs w:val="20"/>
          <w:color w:val="auto"/>
        </w:rPr>
      </w:pPr>
    </w:p>
    <w:p>
      <w:pPr>
        <w:ind w:right="60" w:firstLine="228"/>
        <w:spacing w:after="0" w:line="277"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Credit Facility expires in February 2016. We utilize the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75" w:lineRule="exact"/>
        <w:rPr>
          <w:sz w:val="20"/>
          <w:szCs w:val="20"/>
          <w:color w:val="auto"/>
        </w:rPr>
      </w:pPr>
    </w:p>
    <w:p>
      <w:pPr>
        <w:ind w:right="400" w:firstLine="228"/>
        <w:spacing w:after="0" w:line="277" w:lineRule="auto"/>
        <w:rPr>
          <w:sz w:val="20"/>
          <w:szCs w:val="20"/>
          <w:color w:val="auto"/>
        </w:rPr>
      </w:pPr>
      <w:r>
        <w:rPr>
          <w:rFonts w:ascii="Arial" w:cs="Arial" w:eastAsia="Arial" w:hAnsi="Arial"/>
          <w:sz w:val="18"/>
          <w:szCs w:val="18"/>
          <w:b w:val="1"/>
          <w:bCs w:val="1"/>
          <w:i w:val="1"/>
          <w:iCs w:val="1"/>
          <w:color w:val="auto"/>
        </w:rPr>
        <w:t>If we issue preferred stock, debt securities, convertible debt securities or units, the NAV and market value of our common stock may become more volatile.</w:t>
      </w:r>
    </w:p>
    <w:p>
      <w:pPr>
        <w:spacing w:after="0" w:line="62"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cannot assure you that the issuance of preferred stock and/or debt securities would result in a higher yield or return to the holders of our common stock. The issuance of preferred stock, debt securities, convertible debt or units would likely cause the NAV and market value of our common stock to become more volatile. If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8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There is also a risk that, in the event of a sharp decline in the value of our net assets, we would be in danger of failing to maintain required asset coverage ratios which may be required by the preferred stock, debt securities, convertible debt or units or of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affairs.</w:t>
      </w:r>
    </w:p>
    <w:p>
      <w:pPr>
        <w:spacing w:after="0" w:line="287" w:lineRule="exact"/>
        <w:rPr>
          <w:sz w:val="20"/>
          <w:szCs w:val="20"/>
          <w:color w:val="auto"/>
        </w:rPr>
      </w:pPr>
    </w:p>
    <w:p>
      <w:pPr>
        <w:ind w:right="160" w:firstLine="228"/>
        <w:spacing w:after="0" w:line="277"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professionals of our Investment Adviser and Administrator may serve as officers, directors or principals of entities that operate in the same or a related line of business as we do or of investment funds managed by affiliates of PennantPark Investment that currently exist or may be formed in the future. The Investment Adviser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will be forced to choose which investment fund should make the investment. We may co-invest on a concurrent basis with any other affiliates that the Investment Adviser has or forms in the future, subject to compliance with applicable regulations and regulatory guidance and our allocation procedures. In certain circumstances, negotiated co-investments may be made only if we receive an order from the SEC permitting us to do so. We, the Investment Adviser and our affiliated funds have submitted an exemptive application to the SEC for such an order, but there can be no assurance that such order will be obtained.</w:t>
      </w:r>
    </w:p>
    <w:p>
      <w:pPr>
        <w:spacing w:after="0" w:line="18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a license agreement, or the License Agreement, with PennantPark Investment Advisers, pursuant to which our Investment Adviser has granted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117"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If we publicly issue debt or convertible debt securities, they may or may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factors include the following:</w:t>
      </w:r>
    </w:p>
    <w:p>
      <w:pPr>
        <w:spacing w:after="0" w:line="13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225"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Terms relating to redemption may have a material adverse effect on the return on any debt securities.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issue subscription rights or warrants for our common stock, your interest in us may be diluted as a result of such rights or warrants offering.</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if the subscription price or warrant price is less than our NAV per share of common stock at the time of such offering, then our stockholders would experience an immediate dilution of the aggregate NAV of their shares as a result of the offering. The amount of any such decrease in NAV is not predictable because it is not known at this time what the subscription price, warrant price or NAV per share will be on the expiration date of such rights offering or what proportion of our common stock will be purchased as a result of any such offering.</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and the 2025 Notes, future decreases of fair value of our debt will have a corresponding increase to our NAV. Further increases of fair value of our debt will have the opposite effect. Any future indebtedness that we elect the fair value option for may have similar effects on our NAV as our Credit Facility and 2025 Notes. This will tend to mitigate volatility in our earnings and NAV. As a result of these factors, results for any period should not be relied upon as being indicative of performance in future periods.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July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cannot predict the effect the Dodd-Frank Act or implementing its regulations will have on our business, financial condition and results of operations.</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4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121" w:lineRule="exact"/>
        <w:rPr>
          <w:sz w:val="20"/>
          <w:szCs w:val="20"/>
          <w:color w:val="auto"/>
        </w:rPr>
      </w:pPr>
    </w:p>
    <w:p>
      <w:pPr>
        <w:ind w:right="160" w:firstLine="228"/>
        <w:spacing w:after="0" w:line="277"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our Credit Facility will be classified as Level 3 under the Financial Accounting Standards Board, or FASB, Accounting Standards Codification, or ASC, 820, Fair Value Measurement.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7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if we believe that the underlying portfolio company has depreciated in value. As a result, there will be uncertainty as to the value of our portfolio investments.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adjust quarterly the valuation of our portfolio to reflect our board of directors’ determination of the fair value of each investment in our portfolio.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changes in fair value are recorded in the Consolidated Statement of Operations as net change in unrealized appreciation or depreciation.</w:t>
      </w:r>
    </w:p>
    <w:p>
      <w:pPr>
        <w:spacing w:after="0" w:line="211"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At September 30, 2013, all our portfolio assets were recorded at fair value as approved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higher than the values that we ultimately realize upon the disposal of such securities.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66"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(excluding assets held by our SBIC Funds).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BDC and materially impair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55" w:lineRule="exact"/>
        <w:rPr>
          <w:sz w:val="20"/>
          <w:szCs w:val="20"/>
          <w:color w:val="auto"/>
        </w:rPr>
      </w:pPr>
    </w:p>
    <w:p>
      <w:pPr>
        <w:ind w:right="440" w:firstLine="228"/>
        <w:spacing w:after="0" w:line="277" w:lineRule="auto"/>
        <w:rPr>
          <w:sz w:val="20"/>
          <w:szCs w:val="20"/>
          <w:color w:val="auto"/>
        </w:rPr>
      </w:pPr>
      <w:r>
        <w:rPr>
          <w:rFonts w:ascii="Arial" w:cs="Arial" w:eastAsia="Arial" w:hAnsi="Arial"/>
          <w:sz w:val="18"/>
          <w:szCs w:val="18"/>
          <w:b w:val="1"/>
          <w:bCs w:val="1"/>
          <w:i w:val="1"/>
          <w:iCs w:val="1"/>
          <w:color w:val="auto"/>
        </w:rPr>
        <w:t>We rely in part on our over-the-counter securities, which faced liquidity constraints under recent market conditions, to provide us with additional liquidity.</w:t>
      </w:r>
    </w:p>
    <w:p>
      <w:pPr>
        <w:spacing w:after="0" w:line="62"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intend to invest primarily in senior secured loans, mezzanine debt and selected equity investments issued by U.S. middle-market companies.</w:t>
      </w:r>
    </w:p>
    <w:p>
      <w:pPr>
        <w:spacing w:after="0" w:line="237"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b w:val="1"/>
          <w:bCs w:val="1"/>
          <w:i w:val="1"/>
          <w:iCs w:val="1"/>
          <w:color w:val="auto"/>
        </w:rPr>
        <w:t xml:space="preserve">Senior Secured Loans: </w:t>
      </w:r>
      <w:r>
        <w:rPr>
          <w:rFonts w:ascii="Arial" w:cs="Arial" w:eastAsia="Arial" w:hAnsi="Arial"/>
          <w:sz w:val="17"/>
          <w:szCs w:val="17"/>
          <w:color w:val="auto"/>
        </w:rPr>
        <w:t>When we extend senior secured loans, which we define to include first lien debt, we will generally take a security interest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available assets of these portfolio 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82" w:lineRule="exact"/>
        <w:rPr>
          <w:sz w:val="20"/>
          <w:szCs w:val="20"/>
          <w:color w:val="auto"/>
        </w:rPr>
      </w:pPr>
    </w:p>
    <w:p>
      <w:pPr>
        <w:ind w:left="460" w:right="60"/>
        <w:spacing w:after="0" w:line="272" w:lineRule="auto"/>
        <w:rPr>
          <w:sz w:val="20"/>
          <w:szCs w:val="20"/>
          <w:color w:val="auto"/>
        </w:rPr>
      </w:pPr>
      <w:r>
        <w:rPr>
          <w:rFonts w:ascii="Arial" w:cs="Arial" w:eastAsia="Arial" w:hAnsi="Arial"/>
          <w:sz w:val="17"/>
          <w:szCs w:val="17"/>
          <w:b w:val="1"/>
          <w:bCs w:val="1"/>
          <w:i w:val="1"/>
          <w:iCs w:val="1"/>
          <w:color w:val="auto"/>
        </w:rPr>
        <w:t xml:space="preserve">Mezzanine Debt: </w:t>
      </w:r>
      <w:r>
        <w:rPr>
          <w:rFonts w:ascii="Arial" w:cs="Arial" w:eastAsia="Arial" w:hAnsi="Arial"/>
          <w:sz w:val="17"/>
          <w:szCs w:val="17"/>
          <w:color w:val="auto"/>
        </w:rPr>
        <w:t>Our mezzanine debt investments, which we define to include second lien secured and subordinated debt, will generally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subordinated to senior secured loans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178" w:lineRule="exact"/>
        <w:rPr>
          <w:sz w:val="20"/>
          <w:szCs w:val="20"/>
          <w:color w:val="auto"/>
        </w:rPr>
      </w:pPr>
    </w:p>
    <w:p>
      <w:pPr>
        <w:ind w:left="460" w:right="260"/>
        <w:spacing w:after="0" w:line="276" w:lineRule="auto"/>
        <w:rPr>
          <w:sz w:val="20"/>
          <w:szCs w:val="20"/>
          <w:color w:val="auto"/>
        </w:rPr>
      </w:pPr>
      <w:r>
        <w:rPr>
          <w:rFonts w:ascii="Arial" w:cs="Arial" w:eastAsia="Arial" w:hAnsi="Arial"/>
          <w:sz w:val="17"/>
          <w:szCs w:val="17"/>
          <w:b w:val="1"/>
          <w:bCs w:val="1"/>
          <w:i w:val="1"/>
          <w:iCs w:val="1"/>
          <w:color w:val="auto"/>
        </w:rPr>
        <w:t xml:space="preserve">Equity Investments: </w:t>
      </w:r>
      <w:r>
        <w:rPr>
          <w:rFonts w:ascii="Arial" w:cs="Arial" w:eastAsia="Arial" w:hAnsi="Arial"/>
          <w:sz w:val="17"/>
          <w:szCs w:val="17"/>
          <w:color w:val="auto"/>
        </w:rPr>
        <w:t>We have made and expect to continue to make select equity investments. In addition, when we invest in senior secured loans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31" w:lineRule="exact"/>
        <w:rPr>
          <w:sz w:val="20"/>
          <w:szCs w:val="20"/>
          <w:color w:val="auto"/>
        </w:rPr>
      </w:pPr>
    </w:p>
    <w:p>
      <w:pPr>
        <w:ind w:left="900" w:right="120" w:hanging="325"/>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900" w:right="400" w:hanging="325"/>
        <w:spacing w:after="0" w:line="308"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51" w:lineRule="exact"/>
        <w:rPr>
          <w:rFonts w:ascii="Arial" w:cs="Arial" w:eastAsia="Arial" w:hAnsi="Arial"/>
          <w:sz w:val="17"/>
          <w:szCs w:val="17"/>
          <w:color w:val="auto"/>
        </w:rPr>
      </w:pPr>
    </w:p>
    <w:p>
      <w:pPr>
        <w:ind w:left="900" w:right="200" w:hanging="325"/>
        <w:spacing w:after="0" w:line="34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29" w:lineRule="exact"/>
        <w:rPr>
          <w:rFonts w:ascii="Arial" w:cs="Arial" w:eastAsia="Arial" w:hAnsi="Arial"/>
          <w:sz w:val="16"/>
          <w:szCs w:val="16"/>
          <w:color w:val="auto"/>
        </w:rPr>
      </w:pPr>
    </w:p>
    <w:p>
      <w:pPr>
        <w:ind w:left="900" w:right="200" w:hanging="325"/>
        <w:spacing w:after="0" w:line="30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59" w:lineRule="exact"/>
        <w:rPr>
          <w:rFonts w:ascii="Arial" w:cs="Arial" w:eastAsia="Arial" w:hAnsi="Arial"/>
          <w:sz w:val="16"/>
          <w:szCs w:val="16"/>
          <w:color w:val="auto"/>
        </w:rPr>
      </w:pPr>
    </w:p>
    <w:p>
      <w:pPr>
        <w:ind w:left="900" w:right="64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79" w:lineRule="exact"/>
        <w:rPr>
          <w:sz w:val="20"/>
          <w:szCs w:val="20"/>
          <w:color w:val="auto"/>
        </w:rPr>
      </w:pPr>
    </w:p>
    <w:p>
      <w:pPr>
        <w:ind w:right="80" w:firstLine="228"/>
        <w:spacing w:after="0" w:line="264" w:lineRule="auto"/>
        <w:rPr>
          <w:sz w:val="20"/>
          <w:szCs w:val="20"/>
          <w:color w:val="auto"/>
        </w:rPr>
      </w:pPr>
      <w:r>
        <w:rPr>
          <w:rFonts w:ascii="Arial" w:cs="Arial" w:eastAsia="Arial" w:hAnsi="Arial"/>
          <w:sz w:val="18"/>
          <w:szCs w:val="18"/>
          <w:b w:val="1"/>
          <w:bCs w:val="1"/>
          <w:i w:val="1"/>
          <w:iCs w:val="1"/>
          <w:color w:val="auto"/>
        </w:rPr>
        <w:t>Under the 1940 Act 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73" w:lineRule="exact"/>
        <w:rPr>
          <w:sz w:val="20"/>
          <w:szCs w:val="20"/>
          <w:color w:val="auto"/>
        </w:rPr>
      </w:pPr>
    </w:p>
    <w:p>
      <w:pPr>
        <w:jc w:val="both"/>
        <w:ind w:right="240" w:firstLine="456"/>
        <w:spacing w:after="0" w:line="257"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286" w:lineRule="exact"/>
        <w:rPr>
          <w:sz w:val="20"/>
          <w:szCs w:val="20"/>
          <w:color w:val="auto"/>
        </w:rPr>
      </w:pPr>
    </w:p>
    <w:p>
      <w:pPr>
        <w:ind w:right="560" w:firstLine="228"/>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6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Many of our portfolio companies are susceptible to economic slowdowns or recessions and may be unable to repay loans from us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76"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8"/>
        <w:spacing w:after="0" w:line="342" w:lineRule="auto"/>
        <w:rPr>
          <w:sz w:val="20"/>
          <w:szCs w:val="20"/>
          <w:color w:val="auto"/>
        </w:rPr>
      </w:pPr>
      <w:r>
        <w:rPr>
          <w:rFonts w:ascii="Arial" w:cs="Arial" w:eastAsia="Arial" w:hAnsi="Arial"/>
          <w:sz w:val="16"/>
          <w:szCs w:val="16"/>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296" w:lineRule="exact"/>
        <w:rPr>
          <w:sz w:val="20"/>
          <w:szCs w:val="20"/>
          <w:color w:val="auto"/>
        </w:rPr>
      </w:pPr>
    </w:p>
    <w:p>
      <w:pPr>
        <w:ind w:right="100" w:firstLine="228"/>
        <w:spacing w:after="0" w:line="264"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invest primarily in senior secured loans, mezzanine debt and equity investments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95" w:lineRule="exact"/>
        <w:rPr>
          <w:sz w:val="20"/>
          <w:szCs w:val="20"/>
          <w:color w:val="auto"/>
        </w:rPr>
      </w:pPr>
    </w:p>
    <w:p>
      <w:pPr>
        <w:ind w:right="400" w:firstLine="228"/>
        <w:spacing w:after="0" w:line="277"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our Investment Adviser incentive compensation for a fiscal quarter even if there is a decline in the value of our portfolio or we incur a net loss for that quarter.</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Investments in securities located outside of the United States would not be qualifying assets under Section 55(a) of the 1940 Act. Investing in companies located outside of the United States may expose us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we engage in hedging transactions, we may expose ourselves to risks associated with such transactions. We may borrow under a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8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Any investments in distressed debt may not produce income and may require us to bear large expenses in order to protect and recover our investment.</w:t>
      </w:r>
    </w:p>
    <w:p>
      <w:pPr>
        <w:spacing w:after="0" w:line="15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121" w:lineRule="exact"/>
        <w:rPr>
          <w:sz w:val="20"/>
          <w:szCs w:val="20"/>
          <w:color w:val="auto"/>
        </w:rPr>
      </w:pPr>
    </w:p>
    <w:p>
      <w:pPr>
        <w:jc w:val="both"/>
        <w:ind w:right="260" w:firstLine="228"/>
        <w:spacing w:after="0" w:line="340" w:lineRule="auto"/>
        <w:rPr>
          <w:sz w:val="20"/>
          <w:szCs w:val="20"/>
          <w:color w:val="auto"/>
        </w:rPr>
      </w:pPr>
      <w:r>
        <w:rPr>
          <w:rFonts w:ascii="Arial" w:cs="Arial" w:eastAsia="Arial" w:hAnsi="Arial"/>
          <w:sz w:val="15"/>
          <w:szCs w:val="15"/>
          <w:b w:val="1"/>
          <w:bCs w:val="1"/>
          <w:i w:val="1"/>
          <w:iCs w:val="1"/>
          <w:color w:val="auto"/>
        </w:rPr>
        <w:t>We may again obtain the approval of our stockholders to issue shares of our common stock at prices below the then current NAV per share of our common stock. If we receive such approval from stockholders in the future, we may again issue shares of our common stock at a price below the then current NAV per share of common stock. Any such issuance could materially dilute your interest in our common stock and reduce our NAV per share.</w:t>
      </w:r>
    </w:p>
    <w:p>
      <w:pPr>
        <w:spacing w:after="0" w:line="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may again obtain the approval of our stockholders to issue shares of our common stock at prices below the then current NAV per share of our common stock in one or more offerings for a twelve-month period. Such approval has allowed, and may again allow, us to access the capital markets in a way that we typically are unable to do as a result of restrictions that, absent stockholder approval, apply to BDCs under the 1940 Act.</w:t>
      </w:r>
    </w:p>
    <w:p>
      <w:pPr>
        <w:spacing w:after="0" w:line="16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Any sale or other issuance of shares of our common stock at a price below NAV per share has resulted and will continue to result in an immediate dilution to your interest in our common stock and a reduction of our NAV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 that we make at a price below our then current NAV in the future in a prospectus supplement issued in connection with any such offering.</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allocate the net proceeds from an offering of securities in ways with which you may not agree.</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closed on the NASDAQ Global Select Market at $11.28 and $10.61 as of September 30, 2013 and 2012, respectively. Our NAV per share was $10.49 and $10.22 as of September 30, 2013 and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00" w:right="24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loss of our BDC or RIC status or any loss of our subsidiaries’ SBIC licenses;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right="180" w:firstLine="571"/>
        <w:spacing w:after="0" w:line="277"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79" w:lineRule="exact"/>
        <w:rPr>
          <w:sz w:val="20"/>
          <w:szCs w:val="20"/>
          <w:color w:val="auto"/>
        </w:rPr>
      </w:pPr>
    </w:p>
    <w:p>
      <w:pPr>
        <w:ind w:right="380" w:firstLine="228"/>
        <w:spacing w:after="0" w:line="277" w:lineRule="auto"/>
        <w:rPr>
          <w:sz w:val="20"/>
          <w:szCs w:val="20"/>
          <w:color w:val="auto"/>
        </w:rPr>
      </w:pPr>
      <w:r>
        <w:rPr>
          <w:rFonts w:ascii="Arial" w:cs="Arial" w:eastAsia="Arial" w:hAnsi="Arial"/>
          <w:sz w:val="18"/>
          <w:szCs w:val="18"/>
          <w:b w:val="1"/>
          <w:bCs w:val="1"/>
          <w:i w:val="1"/>
          <w:iCs w:val="1"/>
          <w:color w:val="auto"/>
        </w:rPr>
        <w:t>We may be unable to invest the net proceeds raised from offerings on acceptable terms, which would harm our financial condition and operating results.</w:t>
      </w:r>
    </w:p>
    <w:p>
      <w:pPr>
        <w:spacing w:after="0" w:line="62"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459" w:right="3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investment criteria or that any investment we complete using the proceeds from an offering will produce a sufficient return.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also limits an SBIC’s choices to invest idle funds to the following types of securities:</w:t>
      </w:r>
    </w:p>
    <w:p>
      <w:pPr>
        <w:spacing w:after="0" w:line="131" w:lineRule="exact"/>
        <w:rPr>
          <w:sz w:val="20"/>
          <w:szCs w:val="20"/>
          <w:color w:val="auto"/>
        </w:rPr>
      </w:pPr>
    </w:p>
    <w:p>
      <w:pPr>
        <w:ind w:left="90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U.S. government, which mature within 15 months from the date of the investment;</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a withdrawal restriction of one year or less.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 for more information.</w:t>
      </w:r>
    </w:p>
    <w:p>
      <w:pPr>
        <w:spacing w:after="0" w:line="297" w:lineRule="exact"/>
        <w:rPr>
          <w:sz w:val="20"/>
          <w:szCs w:val="20"/>
          <w:color w:val="auto"/>
        </w:rPr>
      </w:pPr>
    </w:p>
    <w:p>
      <w:pPr>
        <w:ind w:right="220" w:firstLine="228"/>
        <w:spacing w:after="0" w:line="277"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distributions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 Oxley Act, and other rules implemented by the SEC and the listing standards of the NASDAQ Stock Market LLC and the NYSE.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8"/>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6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65"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DEBT SECURITIES</w:t>
      </w:r>
    </w:p>
    <w:p>
      <w:pPr>
        <w:spacing w:after="0" w:line="121" w:lineRule="exact"/>
        <w:rPr>
          <w:sz w:val="20"/>
          <w:szCs w:val="20"/>
          <w:color w:val="auto"/>
        </w:rPr>
      </w:pPr>
    </w:p>
    <w:p>
      <w:pPr>
        <w:ind w:right="140" w:firstLine="228"/>
        <w:spacing w:after="0" w:line="277" w:lineRule="auto"/>
        <w:rPr>
          <w:sz w:val="20"/>
          <w:szCs w:val="20"/>
          <w:color w:val="auto"/>
        </w:rPr>
      </w:pPr>
      <w:r>
        <w:rPr>
          <w:rFonts w:ascii="Arial" w:cs="Arial" w:eastAsia="Arial" w:hAnsi="Arial"/>
          <w:sz w:val="18"/>
          <w:szCs w:val="18"/>
          <w:b w:val="1"/>
          <w:bCs w:val="1"/>
          <w:i w:val="1"/>
          <w:iCs w:val="1"/>
          <w:color w:val="auto"/>
        </w:rPr>
        <w:t>The 2025 Notes are unsecured and therefore are effectively subordinated to any secured indebtedness we have currently incurred or may incur in the future.</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2025 Notes are not secured by any of our assets or any of the assets of our subsidiaries. As a result, the 2025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2025 Notes. As of September 30, 2013, we had $145.5 million outstanding under the Credit Facility. The Credit Facility is secured by substantially all of the assets in our portfolio (other than assets held by our SBIC Funds), and the indebtedness under the Credit Facility is therefore effectively senior in right of payment to the 2025 Notes to the extent of the value of such assets.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2025 Notes are structurally subordinated to the indebtedness and other liabilities of our subsidiaries.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2025 Notes are obligations exclusively of PennantPark Investment Corporation and not of any of our subsidiaries. None of our subsidiaries are or act as guarantors of the 2025 Notes and the 2025 Notes are not required to be guaranteed by any subsidiaries we may acquire or create in the future. Our secured indebtedness with respect to the SBA debentures is held through our SBIC Funds. The assets of any such subsidiaries are not directly available to satisfy the claims of our creditors, including holders of the 2025 Notes.</w:t>
      </w:r>
    </w:p>
    <w:p>
      <w:pPr>
        <w:spacing w:after="0" w:line="18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2025 Notes) with respect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2025 Notes are structurally subordinated to all indebtedness and other liabilities (including trade payables) of our subsidiaries and any subsidiaries that we may in the future acquire or establish as financing vehicles or otherwise. As of September 30, 2013, SBIC LP had $150.0 million of SBA debentures outstanding. All of such indebtedness is structurally senior to the 2025 Notes. In addition, our subsidiaries may incur substantial additional indebtedness in the future, all of which would be structurally senior to the 2025 Notes.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indenture under which the 2025 Notes were issued contains limited protection for holders of the 2025 Notes.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indenture under which the 2025 Notes were issued offers limited protection to holders of the 2025 Notes. The terms of the indenture and the 2025 Notes do not restrict our or any of our subsidiaries’ ability to engage in, or otherwise be a party to, a variety of corporate transactions, circumstances or events that could have an adverse impact on investment in the 2025 Notes. In particular, the terms of the indenture and the 2025 Notes do not place any restrictions on our or our subsidiaries’ ability to:</w:t>
      </w:r>
    </w:p>
    <w:p>
      <w:pPr>
        <w:spacing w:after="0" w:line="92" w:lineRule="exact"/>
        <w:rPr>
          <w:sz w:val="20"/>
          <w:szCs w:val="20"/>
          <w:color w:val="auto"/>
        </w:rPr>
      </w:pPr>
    </w:p>
    <w:p>
      <w:pPr>
        <w:ind w:left="900" w:right="40" w:hanging="325"/>
        <w:spacing w:after="0" w:line="25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issue securities or otherwise incur additional indebtedness or other obligations, including (1) any indebtedness or other obligations that would be equal in right of payment to the 2025 Notes, (2) any indebtedness or other obligations that would be secured and therefore rank effectively senior in right of payment to the 2025 Notes to the extent of the values of the assets securing such debt, (3) indebtedness of ours that is guaranteed by one or more of our subsidiaries and which therefore would rank structurally senior to the 2025 Notes and (4) securities, indebtedness or other obligations issued or incurred by our subsidiaries that would be senior in right of payment to our equity interests in our subsidiaries and therefore would rank structurally senior in right of payment to the 2025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97"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 distributions on, or purchase or redeem or make any payments in respect of, capital stock or other securities ranking junior in right of payment to the 2025 Notes;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create restrictions on the payment of distributions or other amounts to us from our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the indenture does not require us to offer to purchase the 2025 Notes in connection with a change of control or any other event.</w:t>
      </w:r>
    </w:p>
    <w:p>
      <w:pPr>
        <w:spacing w:after="0" w:line="23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Furthermore, the terms of the indenture and the 2025 Notes do not protect holders of the 2025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4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2025 Notes may have important consequences for a holder of the 2025 Notes, including making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 more difficult for us to satisfy our obligations with respect to the 2025 Notes or negatively affecting the trading value of the 2025 Notes.</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Certain of our current debt instruments include more protections for their holders than the indenture and the 2025 Notes. In addition, other debt we issue or incur in the future could contain more protections for its holders than the indenture and the 2025 Notes, including additional covenants and events of default. The issuance or incurrence of any such debt with incremental protections could affect the market for and trading levels and prices of the 2025 Notes.</w:t>
      </w:r>
    </w:p>
    <w:p>
      <w:pPr>
        <w:spacing w:after="0" w:line="255" w:lineRule="exact"/>
        <w:rPr>
          <w:sz w:val="20"/>
          <w:szCs w:val="20"/>
          <w:color w:val="auto"/>
        </w:rPr>
      </w:pPr>
    </w:p>
    <w:p>
      <w:pPr>
        <w:jc w:val="both"/>
        <w:ind w:right="60" w:firstLine="228"/>
        <w:spacing w:after="0" w:line="264" w:lineRule="auto"/>
        <w:rPr>
          <w:sz w:val="20"/>
          <w:szCs w:val="20"/>
          <w:color w:val="auto"/>
        </w:rPr>
      </w:pPr>
      <w:r>
        <w:rPr>
          <w:rFonts w:ascii="Arial" w:cs="Arial" w:eastAsia="Arial" w:hAnsi="Arial"/>
          <w:sz w:val="18"/>
          <w:szCs w:val="18"/>
          <w:b w:val="1"/>
          <w:bCs w:val="1"/>
          <w:i w:val="1"/>
          <w:iCs w:val="1"/>
          <w:color w:val="auto"/>
        </w:rPr>
        <w:t>An active trading market for the 2025 Notes may not develop, which could limit the market price of the 2025 Notes or the ability of holders of the 2025 Notes to sell them. If a rating agency assigns the 2025 Notes a non-investment grade rating, the 2025 Notes may be subject to greater price volatility than similar securities without such a rating.</w:t>
      </w:r>
    </w:p>
    <w:p>
      <w:pPr>
        <w:spacing w:after="0" w:line="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listed the 2025 Notes on the NYSE. However, we cannot provide any assurances that an active trading market will develop for the 2025 Notes or that holders of the 2025 Notes will be able to sell their 2025 Notes. The 2025 Notes may trade at a discount from their initial offering price depending on prevailing interest rates, the market for similar securities, our credit ratings, general economic conditions, our financial condition, performance and prospects and other factors. If a rating agency assigns the 2025 Notes a non-investment grade rating, the 2025 Notes may be subject to greater price volatility than securities of similar maturity without such a non-investment grade rating. The underwriters may discontinue any market-making in the 2025 Notes at any time at their sole discretion. Accordingly, we cannot assure holders of the 2025 Notes that a liquid trading market will develop for the 2025 Notes, that they will be able to sell their 2025 Notes at a particular time or that the price holders receive upon such sale will be favorable. To the extent an active trading market does not develop, the liquidity and trading price for the 2025 Notes may be harmed. Accordingly, holders of the 2025 Notes may be required to bear the financial risk of an investment in the 2025 Notes for an indefinite period of time.</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FATCA withholding may apply to payments to certain foreign entities.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Payments made under the 2025 Notes to a foreign financial institution or non-financial foreign entity (including such an institution or entity acting as an intermediary) may be subject to a U.S. withholding tax of 30% under a law (commonly known as “FATCA”) that was enacted in 2010. This tax may apply to certain payments of interest as well as payments made upon maturity, redemption, or sale of the 2025 Notes, unless the foreign financial institution or non-financial foreign entity complies with certain information reporting, withholding, identification, certification and related requirements imposed by FATCA. Holders of the 2025 Notes should consult their own tax advisors regarding FATCA and how it may affect their investment in the 2025 Notes.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52"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that we in the future may file with SEC including annual and quarterly reports on Form 10-K/Q and current reports on Form 8-K.</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You should understand that, under Sections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or strategic purposes. Any supplements to this prospectus relating to an offering may more fully identify the use of the proceeds from such offering.</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of September 30, 2013, we had $284.5 million of unused borrowing capacity, subject to maintenance of the applicable total assets to debt ratio, as set forth in the 1940 Act, and $145.5 million (including a temporary draw of $28.0 million) in borrowings outstanding under our $430.0 million Credit Facility. Borrowings under our Credit Facility bear interest at an annual rate equal to LIBOR plus 275 basis points per annum. At September 30, 2013, the weighted average interest rate on the Credit Facility was 3.33%. The Credit Facility is a revolving facility with a stated maturity date of February 21, 2016 and is secured by substantially all of the assets in our investment portfolio, excluding assets of our SBIC Funds. Amounts repaid under our Credit Facility remain available for future borrowings. See “Management’s Discussion and Analysis of Financial Condition and Results of Operations” for more information.</w:t>
      </w:r>
    </w:p>
    <w:p>
      <w:pPr>
        <w:spacing w:after="0" w:line="16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NAV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years. The Consolidated Statement of Operations data, Per share data and Consolidated Statement of Assets and Liabilities data for the prior five fiscal years are derived from our Consolidated Financial Statements which have been audited by KPMG LLP, an independent registered public accounting firm for those periods. These selected financial data should be read in conjunction with our Consolidated Financial Statements and related notes thereto and “Management’s Discussion and Analysis of Financial Condition and Results of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For the years ended September 30,</w:t>
            </w: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900" w:type="dxa"/>
            <w:vAlign w:val="bottom"/>
            <w:gridSpan w:val="2"/>
          </w:tcPr>
          <w:p>
            <w:pPr>
              <w:jc w:val="right"/>
              <w:ind w:right="188"/>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7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(Dollar amounts in thousands, except per share data)</w:t>
            </w: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129,187</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113,392</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$ 91,738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$ 60,140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expenses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62,189</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56,323</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39,093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28,065</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66,998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57,069</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52,645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32,075</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24,780</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6,284</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(42,382)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(15,539)</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91,778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63,353</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10,263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16,535</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35,802</w:t>
            </w:r>
          </w:p>
        </w:tc>
        <w:tc>
          <w:tcPr>
            <w:tcW w:w="0" w:type="dxa"/>
            <w:vAlign w:val="bottom"/>
          </w:tcPr>
          <w:p>
            <w:pPr>
              <w:spacing w:after="0"/>
              <w:rPr>
                <w:sz w:val="1"/>
                <w:szCs w:val="1"/>
                <w:color w:val="auto"/>
              </w:rPr>
            </w:pPr>
          </w:p>
        </w:tc>
      </w:tr>
      <w:tr>
        <w:trPr>
          <w:trHeight w:val="32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year end)</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10.22</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10.13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10.69</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1.08</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1.25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5"/>
                <w:szCs w:val="15"/>
                <w:color w:val="auto"/>
              </w:rPr>
              <w:t>(1)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5"/>
                <w:szCs w:val="15"/>
                <w:color w:val="auto"/>
              </w:rPr>
              <w:t>(1)</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1.20</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0.24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0.56</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5"/>
                <w:szCs w:val="15"/>
                <w:color w:val="auto"/>
              </w:rPr>
              <w:t>(1),(2)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32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Assets and Liabilities data:</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1,153,327</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1,018,968</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928,738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711,494</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1,078,176</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990,480</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827,549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664,724</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469,760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r>
              <w:rPr>
                <w:rFonts w:ascii="Arial" w:cs="Arial" w:eastAsia="Arial" w:hAnsi="Arial"/>
                <w:sz w:val="15"/>
                <w:szCs w:val="15"/>
                <w:color w:val="auto"/>
              </w:rPr>
              <w:t>(3)</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363,900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294,452</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388,792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233,641</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175,475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NAV</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697,506</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669,717</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462,657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386,575</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300,580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5"/>
                <w:szCs w:val="15"/>
                <w:color w:val="auto"/>
              </w:rPr>
              <w:t>(4)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17.37%</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28.71%</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(7.37)%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44.79%</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year end)</w:t>
            </w:r>
            <w:r>
              <w:rPr>
                <w:rFonts w:ascii="Arial" w:cs="Arial" w:eastAsia="Arial" w:hAnsi="Arial"/>
                <w:sz w:val="15"/>
                <w:szCs w:val="15"/>
                <w:color w:val="auto"/>
              </w:rPr>
              <w:t>(5)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Yield on debt portfolio (at year end)</w:t>
            </w:r>
            <w:r>
              <w:rPr>
                <w:rFonts w:ascii="Arial" w:cs="Arial" w:eastAsia="Arial" w:hAnsi="Arial"/>
                <w:sz w:val="15"/>
                <w:szCs w:val="15"/>
                <w:color w:val="auto"/>
              </w:rPr>
              <w:t>(5)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13.2%</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13.3%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years.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taxable income calculated in accordance with income tax regulations, which may differ from amounts determined under GAAP.</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distributions, if any, reinvested in accordance with our dividend reinvestment plan.</w:t>
      </w: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Unaudited.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31,447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33,725</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31,057</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32,958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17,099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17,655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14,063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18,181</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12,910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10,360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22,479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13,786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26,972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28,541</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10.43</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10.50</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r>
      <w:tr>
        <w:trPr>
          <w:trHeight w:val="365"/>
        </w:trPr>
        <w:tc>
          <w:tcPr>
            <w:tcW w:w="7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30,806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29,385</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26,362</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26,839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16,742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15,571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9,759</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14,997</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(12,151)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16,638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17,690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3,420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26,397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15,846</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10.38</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r>
      <w:tr>
        <w:trPr>
          <w:trHeight w:val="365"/>
        </w:trPr>
        <w:tc>
          <w:tcPr>
            <w:tcW w:w="7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26,139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22,908</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22,712</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19,979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15,095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13,220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13,159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11,171</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(46,260)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(10,901)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14,351</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(31,165)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2,319</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13,587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25,522</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11.08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11.30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11.14</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r>
      <w:tr>
        <w:trPr>
          <w:trHeight w:val="365"/>
        </w:trPr>
        <w:tc>
          <w:tcPr>
            <w:tcW w:w="7520" w:type="dxa"/>
            <w:vAlign w:val="bottom"/>
          </w:tcPr>
          <w:p>
            <w:pPr>
              <w:ind w:left="56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4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7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SBICs, under Section 301(c) of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8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terms of three to ten years and bear interest at a fixed or a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primary operating expenses include the payment of Management Fees (as defined below)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pacing w:after="0" w:line="94"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federal and state registration fees and any exchange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1958 Act and applicable federal and state securities laws;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325"/>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chart on page 6 of this prospectus rather than as a percentage of total assets. Total assets include assets that have been funded with borrowed money (leverage). For reference, the chart below illustrates our estimated “Total Annual Expenses” as a percentage of total assets: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80" w:type="dxa"/>
            <w:vAlign w:val="bottom"/>
          </w:tcPr>
          <w:p>
            <w:pPr>
              <w:ind w:left="1100"/>
              <w:spacing w:after="0"/>
              <w:rPr>
                <w:sz w:val="20"/>
                <w:szCs w:val="20"/>
                <w:color w:val="auto"/>
              </w:rPr>
            </w:pPr>
            <w:r>
              <w:rPr>
                <w:rFonts w:ascii="Arial" w:cs="Arial" w:eastAsia="Arial" w:hAnsi="Arial"/>
                <w:sz w:val="18"/>
                <w:szCs w:val="18"/>
                <w:b w:val="1"/>
                <w:bCs w:val="1"/>
                <w:color w:val="auto"/>
                <w:w w:val="93"/>
              </w:rPr>
              <w:t>Estimated Annual Expenses (as a Percentage of Average Total Assets)</w:t>
            </w:r>
            <w:r>
              <w:rPr>
                <w:rFonts w:ascii="Arial" w:cs="Arial" w:eastAsia="Arial" w:hAnsi="Arial"/>
                <w:sz w:val="15"/>
                <w:szCs w:val="15"/>
                <w:b w:val="1"/>
                <w:bCs w:val="1"/>
                <w:color w:val="auto"/>
                <w:w w:val="93"/>
              </w:rPr>
              <w:t>(1)</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2.00%</w:t>
            </w: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Incentive fees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1.60%</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1.53%</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 expenses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0.21%</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annual expenses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5.34%</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Average total assets equals average adjusted gross assets for the three months ended September 30, 2013.</w:t>
      </w:r>
    </w:p>
    <w:p>
      <w:pPr>
        <w:spacing w:after="0" w:line="23" w:lineRule="exact"/>
        <w:rPr>
          <w:rFonts w:ascii="Arial" w:cs="Arial" w:eastAsia="Arial" w:hAnsi="Arial"/>
          <w:sz w:val="18"/>
          <w:szCs w:val="18"/>
          <w:color w:val="auto"/>
        </w:rPr>
      </w:pPr>
    </w:p>
    <w:p>
      <w:pPr>
        <w:ind w:left="460" w:right="78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See “Certain Relationships and Transactions—Investment Management Agreement” for more information.</w:t>
      </w:r>
    </w:p>
    <w:p>
      <w:pPr>
        <w:ind w:left="460" w:right="20" w:hanging="452"/>
        <w:spacing w:after="0" w:line="281"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September 30, 2013,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2013,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September 30, 2013. For more detailed information about the incentive fee, please see “Certain Relationships and Transactions—Investment Management Agreement” for more information.</w:t>
      </w:r>
    </w:p>
    <w:p>
      <w:pPr>
        <w:spacing w:after="0" w:line="6" w:lineRule="exact"/>
        <w:rPr>
          <w:rFonts w:ascii="Arial" w:cs="Arial" w:eastAsia="Arial" w:hAnsi="Arial"/>
          <w:sz w:val="16"/>
          <w:szCs w:val="16"/>
          <w:color w:val="auto"/>
        </w:rPr>
      </w:pPr>
    </w:p>
    <w:p>
      <w:pPr>
        <w:ind w:left="460" w:hanging="452"/>
        <w:spacing w:after="0" w:line="269"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As of September 30, 2013, we had $284.5 million of unused borrowing capacity, subject to maintenance of the applicable total assets to debt ratio, which is defined in the 1940 Act, and $145.5 million in borrowings outstanding under our $430 million Credit Facility and had $71.3 million in aggregate principal of 2025 Notes at an annual interest rate of 6.25%. As of September 30, 2013, SBIC LP had $150.0 million outstanding with a weighted average interest rate of 3.70%, exclusive of the 3.43% of upfront fees (4.04% inclusive of the 3.43% upfront fee).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00"/>
        <w:spacing w:after="0" w:line="256" w:lineRule="auto"/>
        <w:rPr>
          <w:sz w:val="20"/>
          <w:szCs w:val="20"/>
          <w:color w:val="auto"/>
        </w:rPr>
      </w:pPr>
      <w:r>
        <w:rPr>
          <w:rFonts w:ascii="Arial" w:cs="Arial" w:eastAsia="Arial" w:hAnsi="Arial"/>
          <w:sz w:val="18"/>
          <w:szCs w:val="18"/>
          <w:color w:val="auto"/>
        </w:rPr>
        <w:t>on prevailing interest rates and our rate of borrowing, which may be substantially higher than the estimate provided in this table. See “Risk Factors— Risks Relating to our Business and Structure—We currently use borrowed funds to make investments and are exposed to the typical risks associated with leverage” for more information.</w:t>
      </w:r>
    </w:p>
    <w:p>
      <w:pPr>
        <w:ind w:left="460" w:right="12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2013, annualized for a full year.</w:t>
      </w:r>
    </w:p>
    <w:p>
      <w:pPr>
        <w:spacing w:after="0" w:line="1"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table above is intended to assist you in understanding the various costs and expenses that an investor in shares of our common stock will bear as a percentage of our average gross assets as of September 30, 2013.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As of September 30, 2013, our portfolio totaled $1,078.2 million and consisted of $299.5 million of senior secured loans, $357.5 million of second lien secured debt, $302.5 million of subordinated debt and $118.7 million of preferred and common equity investments. Our debt portfolio consisted of 52% fixed-rate and 48% variable-rate investments (including 44% with a LIBOR or prime floor). Our overall portfolio consisted of 61 companies with an average investment size of $17.7 million, had a weighted average yield on debt investments of 13.0% and was invested 28% in senior secured loans, 33% in second lien secured debt, 28% in subordinated debt and 11% in preferred and common equity investments.</w:t>
      </w:r>
    </w:p>
    <w:p>
      <w:pPr>
        <w:spacing w:after="0" w:line="173"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As of September 30, 2012, our portfolio totaled $990.5 million and consisted of $291.7 million of senior secured loans, $191.3 million of second lien secured debt, $400.7 million of subordinated debt and $106.8 million of preferred and common equity investments. Our debt portfolio consisted of 69% fixed-rate and 31% variable-rate investments (including 26% with a LIBOR or prime floor). As of September 30, 2012, we had one non-accrual debt investment, representing 3.2% and 1.1% of our overall portfolio on a cost and fair value basis, respectively. Our overall portfolio consisted of 54 companies with an average investment size of $18.3 million, had a weighted average yield on debt investments of 13.2% and was invested 30% in senior secured loans, 19% in second lien secured debt, 40% in subordinated debt and 11% in preferred and common equity investments.</w:t>
      </w:r>
    </w:p>
    <w:p>
      <w:pPr>
        <w:spacing w:after="0" w:line="178"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For the fiscal year ended September 30, 2013, we purchased $504.4 million of investments in 14 new and 26 existing portfolio companies with a weighted average yield of 12.7% on debt investments. This compares to purchasing $328.3 million in 13 new and 17 existing portfolio companies with an overall weighted average yield of 13.3% on debt investments, and purchasing $479.7 million in 17 new and 11 existing portfolio companies with an overall weighted average yield of 13.7% on debt investments for the fiscal years ended September 30, 2012 and 2011, respectively.</w:t>
      </w:r>
    </w:p>
    <w:p>
      <w:pPr>
        <w:spacing w:after="0" w:line="17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For the fiscal year ended September 30, 2013, sales and repayments generated proceeds of $437.1 million. For the fiscal years ended September 30, 2012 and 2011, sales and repayments generated proceeds of $201.7 million and $304.0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discussion of our financial condition and results of operations are based upon our Consolidated Financial Statements, which have been prepared in accordance with U.S. generally accepted accounting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principles, or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7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below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 could be material.</w:t>
      </w:r>
    </w:p>
    <w:p>
      <w:pPr>
        <w:spacing w:after="0" w:line="19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20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92"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those of the independent valuation firms on a quarterly basis, periodically assesses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valuation methodologies of the independent valuation firms, and responds to and supplements the valuation recommendations of the independent valuation firms to reflect any comments; and</w:t>
      </w:r>
    </w:p>
    <w:p>
      <w:pPr>
        <w:spacing w:after="0" w:line="76" w:lineRule="exact"/>
        <w:rPr>
          <w:sz w:val="20"/>
          <w:szCs w:val="20"/>
          <w:color w:val="auto"/>
        </w:rPr>
      </w:pPr>
    </w:p>
    <w:p>
      <w:pPr>
        <w:ind w:left="900" w:right="10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7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420" w:right="760" w:hanging="944"/>
        <w:spacing w:after="0" w:line="277" w:lineRule="auto"/>
        <w:tabs>
          <w:tab w:leader="none" w:pos="14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420" w:right="560" w:hanging="944"/>
        <w:spacing w:after="0" w:line="264" w:lineRule="auto"/>
        <w:tabs>
          <w:tab w:leader="none" w:pos="14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420" w:right="600" w:hanging="944"/>
        <w:spacing w:after="0" w:line="277" w:lineRule="auto"/>
        <w:tabs>
          <w:tab w:leader="none" w:pos="14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$2.8 million, $5.4 million and zero debt issuance costs during the fiscal years ended September 30, 2013, 2012 and 2011,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liabilities, including the SBA debentures. For the fiscal years ended September 30, 2013 and 2012, our Credit Facility and 2025 Notes had a net change in unrealized depreciation (appreciation) of $2.3 million and $(1.6) million, respectively. As of September 30, 2013 and 2012, net unrealized depreciation on our Credit Facility and 2025 Notes totaled $2.8 million and $0.5 million, respectively. We use a nationally recognized independent valuation service to fair value our Credit Facility in a manner consistent with the valuation process that the board of directors approves to value investments. Our 2025 Notes trade on the NYSE and we use the closing price on the exchange to determine their fair value.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and deferred financing costs are capitalized and we then accrete or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11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117" w:lineRule="exact"/>
        <w:rPr>
          <w:sz w:val="20"/>
          <w:szCs w:val="20"/>
          <w:color w:val="auto"/>
        </w:rPr>
      </w:pPr>
    </w:p>
    <w:p>
      <w:pPr>
        <w:ind w:right="100" w:firstLine="571"/>
        <w:spacing w:after="0" w:line="264"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PIK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11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w:t>
      </w:r>
    </w:p>
    <w:p>
      <w:pPr>
        <w:spacing w:after="0" w:line="2" w:lineRule="exact"/>
        <w:rPr>
          <w:sz w:val="20"/>
          <w:szCs w:val="20"/>
          <w:color w:val="auto"/>
        </w:rPr>
      </w:pPr>
    </w:p>
    <w:p>
      <w:pPr>
        <w:ind w:firstLine="8"/>
        <w:spacing w:after="0" w:line="254"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98% of our net ordinary income for the calendar year, (2) 98.2% of the sum of our net capital gains income (i.e. the excess, if any, of our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available for such distributions in the manner described above, we have retained and may continue to retain such net capital gains or net ordinary income to provide us with additional liquidity.</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our results of operations for the fiscal years ended September 30, 2013, 2012 and 2011.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Investment income for the fiscal year ended September 30, 2013 was $129.2 million and was attributable to $38.9 million from senior secured loan investments, $31.9 million from second lien secured debt investments, $55.1 million from subordinated debt investments and $3.3 million from preferred and common equity. The increase in investment income over the prior year was due to the growth of our portfolio which was driven by reinvesting proceeds from the rotation in our portfolio and the investment of the proceeds from our equity and debt offerings.</w:t>
      </w:r>
    </w:p>
    <w:p>
      <w:pPr>
        <w:spacing w:after="0" w:line="17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Investment income for the fiscal year ended September 30, 2012 was $113.4 million and was primarily attributable to $42.8 million from senior secured loan investments, $21.2 million from second lien secured debt investments, and $49.4 million from subordinated debt investments. The increase in investment income over the prior year was due to the growth of our portfolio which was also driven by the investment of the proceeds from our equity offerings.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Investment income for the fiscal year ended September 30, 2011 was $91.7 million and was primarily attributable to $37.1 million from senior secured loan investments, $15.2 million from second lien secured debt investments, and $38.8 million from subordinated debt investments. The increase in investment income over the prior year was due to the growth of our portfolio which was also driven by investment of the proceeds from our equity offering and rotation out of lower yielding assets.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Expenses for the fiscal year ended September 30, 2013 totaled $62.2 million. Base management fees for the same period totaled $21.3 million, incentive fees totaled $16.8 million, debt related interest and expenses totaled $18.1 million (including $2.8 million associated with the 2025 Notes and expanding our Credit Facility) and general and administrative expenses totaled $6.0 million. The increase in expenses over the prior year was primarily due to increased borrowing costs and the growth of our portfolio.</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Expenses for the fiscal year ended September 30, 2012 totaled $56.3 million. Base management fees for the same period totaled $17.5 million, incentive fees totaled $14.2 million, Credit Facility and SBA debentures related expenses totaled $17.1 million (including $5.4 million of upfront fees associated with amending and extending our Credit Facility), general and administrative expenses totaled $7.2 million and an excise tax of $0.3 million was incurred. The increase in expenses over the prior year was primarily due to the upfront costs of amending our Credit Facility, increased borrowing costs and the growth of our portfolio.</w:t>
      </w:r>
    </w:p>
    <w:p>
      <w:pPr>
        <w:spacing w:after="0" w:line="18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Expenses for the fiscal year ended September 30, 2011 totaled $39.1 million. Base management fees for the same period totaled $14.9 million, incentive fees totaled $13.2 million, Credit Facility and SBA debentures related expenses totaled $5.3 million, general and administrative expenses totaled $5.5 million and an excise tax</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of $0.2 million was incurred. The increase in expenses over the prior year was the result of the growth of our portfolio as well as increased borrowing costs.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Net investment income totaled $67.0 million or $1.01 per share, $57.1 million or $1.08 per share and $52.6 million or $1.25 per share for the fiscal years ended September 30, 2013, 2012 and 2011, respectively. The increase in net investment income was the result of the growth of our portfolio, while the per share net investment income decrease was the result of share issuances.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Sales and repayments of investments for the fiscal years ended September 30, 2013, 2012 and 2011 totaled $437.1 million, $201.7 million and $304.0 million, respectively, and net realized gains (losses) totaled $17.7 million, $(12.8) million and $16.3 million, respectively. Net realized gains increased over the prior year primarily due to sales, restructurings and repayments of our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or Depreciation on Investments, Credit Facility and 2025 Notes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change in unrealized (depreciation) appreciation on investments totaled $4.8 million, $20.6 million and $(46.8) million for the fiscal years ended September 30, 2013, 2012 and 2011, respectively. Net change in unrealized (appreciation) depreciation on our Credit Facility and 2025 Notes totaled $2.3 million, $(1.6) million and $(11.9) million for the same periods, respectively. The decrease in net unrealized change in appreciation on investments from the fiscal year ended September 30, 2011 to the fiscal year ended September 30, 2013 was due to the overall variations in the leveraged finance markets. The increase in net unrealized change in depreciation (appreciation) on our Credit Facility and 2025 Notes was the result of the fluctuating interest rate environment.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increase in net assets resulting from operations totaled $91.8 million or $1.39 per share, $63.4 million or $1.20 per share, and $10.3 million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$0.24 per share for the fiscal years ended September 30, 2013, 2012 and 2011, respectively. The net increase in net assets from operations was higher than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prior years primarily due to realized gains and continued growth in net investment income.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7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have a $430 million multi-currency Credit Facility with certain lenders and SunTrust Bank, acting as administrative agent, and JPMorgan Chase Bank, N.A., acting as syndication agent for the lenders. As of September 30, 2013 and 2012, there was $145.5 million (including a temporary draw of $28.0 million) and $145.0 million (including a temporary draw of $35.5 million), respectively, in outstanding borrowings under the Credit Facility, with a weighted average interest rate at the time of 3.33% and 3.49%, exclusive of the fee on undrawn commitments of 0.50%. The Credit Facility is a four-year revolving facility with a stated maturity date of February 2016, and a one-year term-out period following its third year. Borrowings under the Credit Facility bear interest at 275 basis points over LIBOR. As of September 30, 2013 and 2012, we had $284.5 million and $235.0 million of unused borrowing capacity, respectively, subject to the regulatory restrictions that the 1940 Act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imposes on us as a BDC. The Credit Facility is secured by substantially all of our assets excluding assets held by our SBIC Funds.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Credit Facility contains customary affirmative and restrictive covenants, including maintenance of a minimum stockholders’ equity of the sum of</w:t>
      </w:r>
    </w:p>
    <w:p>
      <w:pPr>
        <w:spacing w:after="0" w:line="46" w:lineRule="exact"/>
        <w:rPr>
          <w:sz w:val="20"/>
          <w:szCs w:val="20"/>
          <w:color w:val="auto"/>
        </w:rPr>
      </w:pPr>
    </w:p>
    <w:p>
      <w:pPr>
        <w:ind w:right="100" w:firstLine="8"/>
        <w:spacing w:after="0" w:line="269" w:lineRule="auto"/>
        <w:tabs>
          <w:tab w:leader="none" w:pos="245" w:val="left"/>
        </w:tabs>
        <w:numPr>
          <w:ilvl w:val="0"/>
          <w:numId w:val="61"/>
        </w:numPr>
        <w:rPr>
          <w:rFonts w:ascii="Arial" w:cs="Arial" w:eastAsia="Arial" w:hAnsi="Arial"/>
          <w:sz w:val="17"/>
          <w:szCs w:val="17"/>
          <w:color w:val="auto"/>
        </w:rPr>
      </w:pPr>
      <w:r>
        <w:rPr>
          <w:rFonts w:ascii="Arial" w:cs="Arial" w:eastAsia="Arial" w:hAnsi="Arial"/>
          <w:sz w:val="17"/>
          <w:szCs w:val="17"/>
          <w:color w:val="auto"/>
        </w:rPr>
        <w:t>$220.0 million plus (b) 25% of the net proceeds from the sale of equity interests in us and our subsidiaries after the closing date of the Credit Facility and maintenance of a ratio of total assets (less total liabilities other than indebtedness) to total indebtedness of not less than 2.0:1.0 (before any exemptive relief granted by the SEC with respect to the indebtedness of our SBIC subsidiaries). In addition to the asset coverage ratio described in the preceding sentence, borrowings under our Credit Facility (and the incurrence of certain other permitted debt) are subject to compliance with a borrowing base that applies different advance rates to different types of assets in the Company’s portfolio. For a complete list of covenants contained in the Credit Facility, see our Form 8-K filed on February 22, 2012 and the Credit Facility agreement filed as an exhibit to our Form 10-Q filed on May 2, 2012. As of September 30, 2013, we were in compliance with the terms of our Credit Facility.</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193" w:lineRule="exact"/>
        <w:rPr>
          <w:sz w:val="20"/>
          <w:szCs w:val="20"/>
          <w:color w:val="auto"/>
        </w:rPr>
      </w:pPr>
    </w:p>
    <w:p>
      <w:pPr>
        <w:jc w:val="both"/>
        <w:ind w:right="160" w:firstLine="456"/>
        <w:spacing w:after="0" w:line="297" w:lineRule="auto"/>
        <w:rPr>
          <w:sz w:val="20"/>
          <w:szCs w:val="20"/>
          <w:color w:val="auto"/>
        </w:rPr>
      </w:pPr>
      <w:r>
        <w:rPr>
          <w:rFonts w:ascii="Arial" w:cs="Arial" w:eastAsia="Arial" w:hAnsi="Arial"/>
          <w:sz w:val="16"/>
          <w:szCs w:val="16"/>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or 2025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fiscal year ended September 30, 2013 we sold 0.7 million shares of common stock pursuant to the underwriters’ exercise of the overallotment option, resulting in net proceeds of $7.3 million. This compares to selling 19.4 million shares of our common stock resulting in net proceeds of $198.9 million for the fiscal year ended September 30, 2012. Any decision to sell shares below the then current NAV per share of our common stock is subject to stockholder approval and a determination by our board of directors that such issuance and sale is in our and our stockholders’ best interests. Any sale or other issuance of shares of our common stock at a price below NAV per share results in immediate dilution to our stockholders’ interests in our common stock and a reduction in our NAV per share.</w:t>
      </w:r>
    </w:p>
    <w:p>
      <w:pPr>
        <w:spacing w:after="0" w:line="193"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accordance with the 1940 Act, with certain limited exceptions, PennantPark Investment is only allowed to borrow amounts such that our asset coverage ratio is met after such borrowing. As of September 30, 2013, we excluded the principal amounts of our SBA debentures from our asset coverage ratio pursuant to SEC exemptive relief. In June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5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paid-in and is subject to customary regulatory requirements including but not limited to an examination by the SBA. We have funded SBIC LP with $75.0 million of equity capital and had SBA debentures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outstanding of $150.0 million as of September 30, 2013. Effective January 2013, our wholly-owned subsidiary, SBIC II, received a license from the SBA to operate as an SBIC under the 1958 Act. Our SBIC Funds are subject to a variety of regulations and oversight by the SBA concerning, among other things, the size and nature of the companies in which it may invest as well as the structure of those investments. SBA debentures are non-recourse to us, have a 10-year maturity, and may be prepaid at any time without penalty. The interest rate of SBA debentures is fixed at the time of issuance, often referred to as pooling, at a market-driven spread over 10-year U.S. Treasury Notes. SBA regulations limit the amount that SBIC LP may borrow to a maximum of $150.0 million, which is up to twice its potential regulatory capital, and may borrow to a maximum of $225 million as part of a group of SBICs under common control. SBIC LP has accessed the maximum borrowing with its $75.0 million in regulatory capital.</w:t>
      </w:r>
    </w:p>
    <w:p>
      <w:pPr>
        <w:spacing w:after="0" w:line="17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September 30, 2013 and 2012, our $150.0 million in debt commitments were fully drawn with a weighted average interest rate of 3.70% exclusive of the 3.43% in upfront fees (4.04% after upfront fees). The SBA debentures upfront fees of 3.43% consist of a commitment fee of 1.00% and an issuance at a 2.43% discount to face. Both fees will be amortized over the lives of the loans. Our fixed rate SBA debentures as of September 30, 2013 and 2012 are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8"/>
              </w:rPr>
              <w:t>Issuance Dates</w:t>
            </w:r>
          </w:p>
        </w:tc>
        <w:tc>
          <w:tcPr>
            <w:tcW w:w="3580" w:type="dxa"/>
            <w:vAlign w:val="bottom"/>
            <w:vMerge w:val="restart"/>
          </w:tcPr>
          <w:p>
            <w:pPr>
              <w:spacing w:after="0"/>
              <w:rPr>
                <w:sz w:val="14"/>
                <w:szCs w:val="14"/>
                <w:color w:val="auto"/>
              </w:rPr>
            </w:pPr>
          </w:p>
        </w:tc>
        <w:tc>
          <w:tcPr>
            <w:tcW w:w="14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Maturity</w:t>
            </w:r>
          </w:p>
        </w:tc>
        <w:tc>
          <w:tcPr>
            <w:tcW w:w="800" w:type="dxa"/>
            <w:vAlign w:val="bottom"/>
            <w:vMerge w:val="restart"/>
          </w:tcPr>
          <w:p>
            <w:pPr>
              <w:spacing w:after="0"/>
              <w:rPr>
                <w:sz w:val="14"/>
                <w:szCs w:val="14"/>
                <w:color w:val="auto"/>
              </w:rPr>
            </w:pPr>
          </w:p>
        </w:tc>
        <w:tc>
          <w:tcPr>
            <w:tcW w:w="1460" w:type="dxa"/>
            <w:vAlign w:val="bottom"/>
            <w:gridSpan w:val="2"/>
          </w:tcPr>
          <w:p>
            <w:pPr>
              <w:ind w:left="300"/>
              <w:spacing w:after="0"/>
              <w:rPr>
                <w:sz w:val="20"/>
                <w:szCs w:val="20"/>
                <w:color w:val="auto"/>
              </w:rPr>
            </w:pPr>
            <w:r>
              <w:rPr>
                <w:rFonts w:ascii="Arial" w:cs="Arial" w:eastAsia="Arial" w:hAnsi="Arial"/>
                <w:sz w:val="14"/>
                <w:szCs w:val="14"/>
                <w:b w:val="1"/>
                <w:bCs w:val="1"/>
                <w:color w:val="auto"/>
              </w:rPr>
              <w:t>All-in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3580" w:type="dxa"/>
            <w:vAlign w:val="bottom"/>
            <w:tcBorders>
              <w:bottom w:val="single" w:sz="8" w:color="CCEEFF"/>
            </w:tcBorders>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xml:space="preserve">Coupon Rate </w:t>
            </w:r>
            <w:r>
              <w:rPr>
                <w:rFonts w:ascii="Arial" w:cs="Arial" w:eastAsia="Arial" w:hAnsi="Arial"/>
                <w:sz w:val="12"/>
                <w:szCs w:val="12"/>
                <w:b w:val="1"/>
                <w:bCs w:val="1"/>
                <w:color w:val="auto"/>
                <w:w w:val="90"/>
              </w:rPr>
              <w:t>(1)</w:t>
            </w:r>
          </w:p>
        </w:tc>
        <w:tc>
          <w:tcPr>
            <w:tcW w:w="4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1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September 1, 2020</w:t>
            </w:r>
          </w:p>
        </w:tc>
        <w:tc>
          <w:tcPr>
            <w:tcW w:w="8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March 1, 2021</w:t>
            </w:r>
          </w:p>
        </w:tc>
        <w:tc>
          <w:tcPr>
            <w:tcW w:w="1460" w:type="dxa"/>
            <w:vAlign w:val="bottom"/>
            <w:gridSpan w:val="2"/>
          </w:tcPr>
          <w:p>
            <w:pPr>
              <w:ind w:left="660"/>
              <w:spacing w:after="0"/>
              <w:rPr>
                <w:sz w:val="20"/>
                <w:szCs w:val="20"/>
                <w:color w:val="auto"/>
              </w:rPr>
            </w:pPr>
            <w:r>
              <w:rPr>
                <w:rFonts w:ascii="Arial" w:cs="Arial" w:eastAsia="Arial" w:hAnsi="Arial"/>
                <w:sz w:val="18"/>
                <w:szCs w:val="18"/>
                <w:color w:val="auto"/>
              </w:rPr>
              <w:t>4.46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44,500,000</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1, 2021</w:t>
            </w:r>
          </w:p>
        </w:tc>
        <w:tc>
          <w:tcPr>
            <w:tcW w:w="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5"/>
              </w:rPr>
              <w:t>3.38</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Weighted average rate / Total</w:t>
            </w: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60" w:type="dxa"/>
            <w:vAlign w:val="bottom"/>
            <w:gridSpan w:val="2"/>
          </w:tcPr>
          <w:p>
            <w:pPr>
              <w:ind w:left="660"/>
              <w:spacing w:after="0"/>
              <w:rPr>
                <w:sz w:val="20"/>
                <w:szCs w:val="20"/>
                <w:color w:val="auto"/>
              </w:rPr>
            </w:pPr>
            <w:r>
              <w:rPr>
                <w:rFonts w:ascii="Arial" w:cs="Arial" w:eastAsia="Arial" w:hAnsi="Arial"/>
                <w:sz w:val="18"/>
                <w:szCs w:val="18"/>
                <w:color w:val="auto"/>
              </w:rPr>
              <w:t>3.70%</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3.43% of upfront fees.</w:t>
      </w:r>
    </w:p>
    <w:p>
      <w:pPr>
        <w:spacing w:after="0" w:line="225"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2013, our SBIC Funds were in compliance with their regulatory requirements.</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On September 30, 2013 and September 30, 2012, we had cash equivalents of $58.4 million and $7.6 million, respectively, available for investing and general corporate purposes. This was primarily the result of repayments in SBIC LP. We believe our liquidity and capital resources are sufficient to take advantage of market opportunities.</w:t>
      </w:r>
    </w:p>
    <w:p>
      <w:pPr>
        <w:spacing w:after="0" w:line="181"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Our operating activities provided cash of $40.3 million for the fiscal year ended September 30, 2013, and our financing activities provided cash proceeds of $10.6 million for the same period. Our operating activities used cash primarily for investing that was offset by proceeds from sales and repayments on our investments and issuance of the 2025 Notes.</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operating activities used cash of $115.3 million for the fiscal year ended September 30, 2012, and our financing activities provided cash proceeds of $51.3 million for the same period. Our operating activities used cash primarily for investing that was provided primarily from proceeds from our follow-on public offerings of common stock.</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Our operating activities used cash of $137.8 million for the fiscal year ended September 30, 2011, and our financing activities provided cash proceeds of $207.6 million for the same period. Our operating activities used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cash primarily for investing that was provided primarily from proceeds from our follow-on public offering of common stock and draws under our Credit Facility and SBA debentures.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 summary of our significant contractual payment obligations as of September 30, 2013, including borrowings under our multi-currency Credit Facility and other contractual obligations,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95"/>
              <w:spacing w:after="0"/>
              <w:rPr>
                <w:sz w:val="20"/>
                <w:szCs w:val="20"/>
                <w:color w:val="auto"/>
              </w:rPr>
            </w:pPr>
            <w:r>
              <w:rPr>
                <w:rFonts w:ascii="Arial" w:cs="Arial" w:eastAsia="Arial" w:hAnsi="Arial"/>
                <w:sz w:val="14"/>
                <w:szCs w:val="14"/>
                <w:b w:val="1"/>
                <w:bCs w:val="1"/>
                <w:color w:val="auto"/>
              </w:rPr>
              <w:t>Payments due by period (millions)</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0"/>
                <w:szCs w:val="10"/>
                <w:color w:val="auto"/>
              </w:rPr>
            </w:pPr>
          </w:p>
        </w:tc>
        <w:tc>
          <w:tcPr>
            <w:tcW w:w="9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5"/>
              </w:rPr>
              <w:t>Less than</w:t>
            </w:r>
          </w:p>
        </w:tc>
        <w:tc>
          <w:tcPr>
            <w:tcW w:w="800" w:type="dxa"/>
            <w:vAlign w:val="bottom"/>
            <w:gridSpan w:val="2"/>
          </w:tcPr>
          <w:p>
            <w:pPr>
              <w:jc w:val="right"/>
              <w:ind w:right="73"/>
              <w:spacing w:after="0" w:line="119" w:lineRule="exact"/>
              <w:rPr>
                <w:sz w:val="20"/>
                <w:szCs w:val="20"/>
                <w:color w:val="auto"/>
              </w:rPr>
            </w:pPr>
            <w:r>
              <w:rPr>
                <w:rFonts w:ascii="Arial" w:cs="Arial" w:eastAsia="Arial" w:hAnsi="Arial"/>
                <w:sz w:val="13"/>
                <w:szCs w:val="13"/>
                <w:b w:val="1"/>
                <w:bCs w:val="1"/>
                <w:color w:val="auto"/>
              </w:rPr>
              <w:t>1-3</w:t>
            </w:r>
          </w:p>
        </w:tc>
        <w:tc>
          <w:tcPr>
            <w:tcW w:w="580" w:type="dxa"/>
            <w:vAlign w:val="bottom"/>
          </w:tcPr>
          <w:p>
            <w:pPr>
              <w:spacing w:after="0"/>
              <w:rPr>
                <w:sz w:val="10"/>
                <w:szCs w:val="10"/>
                <w:color w:val="auto"/>
              </w:rPr>
            </w:pPr>
          </w:p>
        </w:tc>
        <w:tc>
          <w:tcPr>
            <w:tcW w:w="3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3-5</w:t>
            </w:r>
          </w:p>
        </w:tc>
        <w:tc>
          <w:tcPr>
            <w:tcW w:w="60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years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2"/>
              </w:rPr>
              <w:t>years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$145.5</w:t>
            </w:r>
          </w:p>
        </w:tc>
        <w:tc>
          <w:tcPr>
            <w:tcW w:w="5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2640" w:type="dxa"/>
            <w:vAlign w:val="bottom"/>
            <w:gridSpan w:val="3"/>
          </w:tcPr>
          <w:p>
            <w:pPr>
              <w:jc w:val="right"/>
              <w:ind w:right="20"/>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2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71.3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 debt outstanding</w:t>
            </w:r>
            <w:r>
              <w:rPr>
                <w:rFonts w:ascii="Arial" w:cs="Arial" w:eastAsia="Arial" w:hAnsi="Arial"/>
                <w:sz w:val="15"/>
                <w:szCs w:val="15"/>
                <w:color w:val="auto"/>
              </w:rPr>
              <w:t>(1)</w:t>
            </w:r>
          </w:p>
        </w:tc>
        <w:tc>
          <w:tcPr>
            <w:tcW w:w="21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58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5"/>
                <w:szCs w:val="15"/>
                <w:color w:val="auto"/>
              </w:rPr>
              <w:t>(2)</w:t>
            </w:r>
          </w:p>
        </w:tc>
        <w:tc>
          <w:tcPr>
            <w:tcW w:w="2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2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5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30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60" w:hanging="452"/>
        <w:spacing w:after="0" w:line="25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September 30, 2013 was 4.05%, exclusive of the fee on the undrawn commitment of 0.50% on the Credit Facility and 3.43% of upfront fees on SBIC LP’s SBA debentures.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Unfunded investments described in the Consolidated Statement of Assets and Liabilities represent unfunded delayed draws on investments.</w:t>
      </w:r>
    </w:p>
    <w:p>
      <w:pPr>
        <w:spacing w:after="0" w:line="22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2013,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our Administration Agreement, which was most recently re-approved by our board of directors, including a majority of our directors who are not interested persons of us, in February 2013.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66"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Agreement. Any new investment management agreement would also be subject to approval by our stockholders.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 the ordinary course of business, have guaranteed certain obligations of our controlled affiliate, SuttonPark Holdings, Inc. and its subsidiaries,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SPH. The guaranties are only triggered if there were administrative errors in acquiring assets which SPH subsequently sold or securitized.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2013 our maximum guaranty is $13.0 million. Based on SPH’s and industry historical loss rates, we believe the risk of loss is remote, thus,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not recorded a liability associated with the guaranties. The current guaranties will decline over time.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engage in no off-balance sheet arrangements, including any risk management of commodity pricing or other hedging practices.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w:t>
      </w:r>
    </w:p>
    <w:p>
      <w:pPr>
        <w:spacing w:after="0" w:line="2" w:lineRule="exact"/>
        <w:rPr>
          <w:sz w:val="20"/>
          <w:szCs w:val="20"/>
          <w:color w:val="auto"/>
        </w:rPr>
      </w:pPr>
    </w:p>
    <w:p>
      <w:pPr>
        <w:ind w:right="40" w:firstLine="8"/>
        <w:spacing w:after="0" w:line="253"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For the fiscal years ended September 30, 2013, 2012 and 2011, we elected to retain a portion of our calendar year income and incurred an excise tax of approximately $(0.1) million, $0.3 million and $0.2 million, respectively.</w:t>
      </w:r>
    </w:p>
    <w:p>
      <w:pPr>
        <w:spacing w:after="0" w:line="19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During the fiscal years ended September 30, 2013, 2012 and 2011, we declared distributions of $1.12, $1.12 and $1.07 per share, respectively, for total distributions of $74.4 million, $60.1 million and $46.3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make quarterly distributions to our stockholders. Our quarterly distributions, if any, are determined by our board of directors.</w:t>
      </w:r>
    </w:p>
    <w:p>
      <w:pPr>
        <w:spacing w:after="0" w:line="24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annually, we will suffer adverse tax consequences, including possible loss of RIC status. We cannot assure stockholders that they will receive any distributions at a particular level.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On November 21, 2013, upon the recommendations of the audit committee, the board of directors dismissed KPMG LLP, and engaged McGladrey LLP, as the Company’s independent registered public accounting firm for the year ending September 30, 2014. For further information, see our Form 8-K filed on November 25,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are subject to financial market risks, including changes in interest rates. As of September 30, 2013, our debt portfolio consisted of 52% fixed-rate investments and 48% variable-rate investments (including 44%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Change In Interest</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4980" w:type="dxa"/>
            <w:vAlign w:val="bottom"/>
            <w:gridSpan w:val="3"/>
          </w:tcPr>
          <w:p>
            <w:pPr>
              <w:jc w:val="center"/>
              <w:ind w:left="2274"/>
              <w:spacing w:after="0" w:line="149" w:lineRule="exact"/>
              <w:rPr>
                <w:sz w:val="20"/>
                <w:szCs w:val="20"/>
                <w:color w:val="auto"/>
              </w:rPr>
            </w:pPr>
            <w:r>
              <w:rPr>
                <w:rFonts w:ascii="Arial" w:cs="Arial" w:eastAsia="Arial" w:hAnsi="Arial"/>
                <w:sz w:val="14"/>
                <w:szCs w:val="14"/>
                <w:b w:val="1"/>
                <w:bCs w:val="1"/>
                <w:color w:val="auto"/>
                <w:w w:val="95"/>
              </w:rPr>
              <w:t>Income, Net Of Interest</w:t>
            </w:r>
          </w:p>
        </w:tc>
        <w:tc>
          <w:tcPr>
            <w:tcW w:w="124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1"/>
        </w:trPr>
        <w:tc>
          <w:tcPr>
            <w:tcW w:w="1540" w:type="dxa"/>
            <w:vAlign w:val="bottom"/>
            <w:vMerge w:val="continue"/>
          </w:tcPr>
          <w:p>
            <w:pPr>
              <w:spacing w:after="0"/>
              <w:rPr>
                <w:sz w:val="14"/>
                <w:szCs w:val="14"/>
                <w:color w:val="auto"/>
              </w:rPr>
            </w:pPr>
          </w:p>
        </w:tc>
        <w:tc>
          <w:tcPr>
            <w:tcW w:w="2940" w:type="dxa"/>
            <w:vAlign w:val="bottom"/>
          </w:tcPr>
          <w:p>
            <w:pPr>
              <w:spacing w:after="0"/>
              <w:rPr>
                <w:sz w:val="14"/>
                <w:szCs w:val="14"/>
                <w:color w:val="auto"/>
              </w:rPr>
            </w:pPr>
          </w:p>
        </w:tc>
        <w:tc>
          <w:tcPr>
            <w:tcW w:w="2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Expense (in thousands)</w:t>
            </w:r>
          </w:p>
        </w:tc>
        <w:tc>
          <w:tcPr>
            <w:tcW w:w="12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1%</w:t>
            </w:r>
          </w:p>
        </w:tc>
        <w:tc>
          <w:tcPr>
            <w:tcW w:w="29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5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Up 2%</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580" w:type="dxa"/>
            <w:vAlign w:val="bottom"/>
          </w:tcPr>
          <w:p>
            <w:pPr>
              <w:spacing w:after="0"/>
              <w:rPr>
                <w:sz w:val="18"/>
                <w:szCs w:val="18"/>
                <w:color w:val="auto"/>
              </w:rPr>
            </w:pP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3%</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Up 4%</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6,378</w:t>
            </w:r>
          </w:p>
        </w:tc>
        <w:tc>
          <w:tcPr>
            <w:tcW w:w="580" w:type="dxa"/>
            <w:vAlign w:val="bottom"/>
          </w:tcPr>
          <w:p>
            <w:pPr>
              <w:spacing w:after="0"/>
              <w:rPr>
                <w:sz w:val="20"/>
                <w:szCs w:val="20"/>
                <w:color w:val="auto"/>
              </w:rPr>
            </w:pP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459" w:right="3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660" w:firstLine="456"/>
        <w:spacing w:after="0" w:line="279" w:lineRule="auto"/>
        <w:rPr>
          <w:sz w:val="20"/>
          <w:szCs w:val="20"/>
          <w:color w:val="auto"/>
        </w:rPr>
      </w:pPr>
      <w:r>
        <w:rPr>
          <w:rFonts w:ascii="Arial" w:cs="Arial" w:eastAsia="Arial" w:hAnsi="Arial"/>
          <w:sz w:val="17"/>
          <w:szCs w:val="17"/>
          <w:color w:val="auto"/>
        </w:rPr>
        <w:t>Information about our senior securities is shown in the following table as of September 30, 2013, 2012, 2011, 2010, 2009 and 2008 is from our Consolidated Financial Statements, which has been audited by KPMG LLP,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9"/>
              </w:rPr>
              <w:t>Asset</w:t>
            </w: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 Amount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0"/>
              </w:rPr>
              <w:t>Coverage</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5320" w:type="dxa"/>
            <w:vAlign w:val="bottom"/>
            <w:vMerge w:val="restart"/>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7"/>
              </w:rPr>
              <w:t>per Unit</w:t>
            </w:r>
            <w:r>
              <w:rPr>
                <w:rFonts w:ascii="Arial" w:cs="Arial" w:eastAsia="Arial" w:hAnsi="Arial"/>
                <w:sz w:val="12"/>
                <w:szCs w:val="12"/>
                <w:b w:val="1"/>
                <w:bCs w:val="1"/>
                <w:color w:val="auto"/>
                <w:w w:val="97"/>
              </w:rPr>
              <w:t>(2)</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Value Per</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vMerge w:val="continue"/>
          </w:tcPr>
          <w:p>
            <w:pPr>
              <w:spacing w:after="0"/>
              <w:rPr>
                <w:sz w:val="14"/>
                <w:szCs w:val="14"/>
                <w:color w:val="auto"/>
              </w:rPr>
            </w:pPr>
          </w:p>
        </w:tc>
        <w:tc>
          <w:tcPr>
            <w:tcW w:w="5320" w:type="dxa"/>
            <w:vAlign w:val="bottom"/>
            <w:tcBorders>
              <w:bottom w:val="single" w:sz="8" w:color="CCEEFF"/>
            </w:tcBorders>
            <w:vMerge w:val="continue"/>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Outstanding</w:t>
            </w:r>
            <w:r>
              <w:rPr>
                <w:rFonts w:ascii="Arial" w:cs="Arial" w:eastAsia="Arial" w:hAnsi="Arial"/>
                <w:sz w:val="12"/>
                <w:szCs w:val="12"/>
                <w:b w:val="1"/>
                <w:bCs w:val="1"/>
                <w:color w:val="auto"/>
                <w:w w:val="96"/>
              </w:rPr>
              <w:t>(1)</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Unit</w:t>
            </w:r>
            <w:r>
              <w:rPr>
                <w:rFonts w:ascii="Arial" w:cs="Arial" w:eastAsia="Arial" w:hAnsi="Arial"/>
                <w:sz w:val="12"/>
                <w:szCs w:val="12"/>
                <w:b w:val="1"/>
                <w:bCs w:val="1"/>
                <w:color w:val="auto"/>
                <w:w w:val="95"/>
              </w:rPr>
              <w:t>(3)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Facility, SBA debentures and 2025 Notes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Fiscal 2013</w:t>
            </w:r>
            <w:r>
              <w:rPr>
                <w:rFonts w:ascii="Arial" w:cs="Arial" w:eastAsia="Arial" w:hAnsi="Arial"/>
                <w:sz w:val="15"/>
                <w:szCs w:val="15"/>
                <w:color w:val="auto"/>
              </w:rPr>
              <w:t>(4)</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216,750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4,261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r>
              <w:rPr>
                <w:rFonts w:ascii="Arial" w:cs="Arial" w:eastAsia="Arial" w:hAnsi="Arial"/>
                <w:sz w:val="15"/>
                <w:szCs w:val="15"/>
                <w:color w:val="auto"/>
              </w:rPr>
              <w:t>(4)</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145,000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5,636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Fiscal 2011</w:t>
            </w:r>
            <w:r>
              <w:rPr>
                <w:rFonts w:ascii="Arial" w:cs="Arial" w:eastAsia="Arial" w:hAnsi="Arial"/>
                <w:sz w:val="15"/>
                <w:szCs w:val="15"/>
                <w:color w:val="auto"/>
              </w:rPr>
              <w:t>(4)</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240,900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2,937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247,600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2,655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225,100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2,713</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2008</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202,000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2,043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average market value per unit is derived based on the monthly average closing price of the 2025 Notes trading on NYSE under the symbol “PNTA” since issuance, which were issued in increments of $25 per unit.</w:t>
      </w:r>
    </w:p>
    <w:p>
      <w:pPr>
        <w:ind w:left="460" w:right="40" w:hanging="452"/>
        <w:spacing w:after="0" w:line="261"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These amounts exclude SBIC LP’s SBA debentures from our asset coverage per unit computation pursuant to an exemptive relief letter provided by the SEC in June 2011.</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September 30, 2013, 2012, 2011, 2010, 2009 and 2008, the ratios of earnings to fixed charges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10"/>
          </w:tcPr>
          <w:p>
            <w:pPr>
              <w:jc w:val="right"/>
              <w:ind w:right="720"/>
              <w:spacing w:after="0"/>
              <w:rPr>
                <w:sz w:val="20"/>
                <w:szCs w:val="20"/>
                <w:color w:val="auto"/>
              </w:rPr>
            </w:pPr>
            <w:r>
              <w:rPr>
                <w:rFonts w:ascii="Arial" w:cs="Arial" w:eastAsia="Arial" w:hAnsi="Arial"/>
                <w:sz w:val="14"/>
                <w:szCs w:val="14"/>
                <w:b w:val="1"/>
                <w:bCs w:val="1"/>
                <w:color w:val="auto"/>
                <w:w w:val="96"/>
              </w:rPr>
              <w:t>For the Fiscal Years Ended September 30,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w:t>
            </w:r>
            <w:r>
              <w:rPr>
                <w:rFonts w:ascii="Arial" w:cs="Arial" w:eastAsia="Arial" w:hAnsi="Arial"/>
                <w:sz w:val="15"/>
                <w:szCs w:val="15"/>
                <w:b w:val="1"/>
                <w:bCs w:val="1"/>
                <w:color w:val="auto"/>
              </w:rPr>
              <w:t>(1)</w:t>
            </w: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Net investment income (after taxes)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$ 66,998</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57,069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52,645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32,075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Net realized gain (losses) gains on investments</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17,687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(12,798)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16,260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(15,417)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Add: Net change in unrealized appreciation (depreciation)</w:t>
            </w:r>
          </w:p>
        </w:tc>
        <w:tc>
          <w:tcPr>
            <w:tcW w:w="7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7,092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19,082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(58,641)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$ 91,777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63,353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10,263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16,535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35,802</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Fixed Charges</w:t>
            </w:r>
            <w:r>
              <w:rPr>
                <w:rFonts w:ascii="Arial" w:cs="Arial" w:eastAsia="Arial" w:hAnsi="Arial"/>
                <w:sz w:val="15"/>
                <w:szCs w:val="15"/>
                <w:b w:val="1"/>
                <w:bCs w:val="1"/>
                <w:color w:val="auto"/>
              </w:rPr>
              <w:t>(2)</w:t>
            </w:r>
          </w:p>
        </w:tc>
        <w:tc>
          <w:tcPr>
            <w:tcW w:w="7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expenses on debt</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$ 15,384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11,681</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Ratio of Total Earnings to Fixed Charges</w:t>
            </w:r>
          </w:p>
        </w:tc>
        <w:tc>
          <w:tcPr>
            <w:tcW w:w="7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Net Investment Income to Fixed Charges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Earnings include net realized and unrealized gains or losses. Net realized and unrealized gains or losses can vary substantially from period to period.</w:t>
      </w:r>
    </w:p>
    <w:p>
      <w:pPr>
        <w:spacing w:after="0" w:line="46" w:lineRule="exact"/>
        <w:rPr>
          <w:rFonts w:ascii="Arial" w:cs="Arial" w:eastAsia="Arial" w:hAnsi="Arial"/>
          <w:sz w:val="16"/>
          <w:szCs w:val="16"/>
          <w:color w:val="auto"/>
        </w:rPr>
      </w:pPr>
    </w:p>
    <w:p>
      <w:pPr>
        <w:ind w:left="460" w:right="180" w:hanging="452"/>
        <w:spacing w:after="0" w:line="261"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Fixed charges include interest and related expenses on our Credit Facility, which is indexed to LIBOR and fluctuate with changes in interest rates, the 2025 Notes and SBA debentures and amortization of debt issuance costs on our SBA debentures.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premium or (discount) to our NAV and quarterly distributions per share since October 1, 2008. On December 6, 2013, the last reported closing price of our common stock was $11.93 per share.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89"/>
              </w:rPr>
              <w:t>Premium</w:t>
            </w:r>
          </w:p>
        </w:tc>
        <w:tc>
          <w:tcPr>
            <w:tcW w:w="9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9"/>
              </w:rPr>
              <w:t>Premium</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80" w:type="dxa"/>
            <w:vAlign w:val="bottom"/>
            <w:gridSpan w:val="5"/>
            <w:vMerge w:val="restart"/>
          </w:tcPr>
          <w:p>
            <w:pPr>
              <w:ind w:left="360"/>
              <w:spacing w:after="0"/>
              <w:rPr>
                <w:sz w:val="20"/>
                <w:szCs w:val="20"/>
                <w:color w:val="auto"/>
              </w:rPr>
            </w:pPr>
            <w:r>
              <w:rPr>
                <w:rFonts w:ascii="Arial" w:cs="Arial" w:eastAsia="Arial" w:hAnsi="Arial"/>
                <w:sz w:val="12"/>
                <w:szCs w:val="12"/>
                <w:b w:val="1"/>
                <w:bCs w:val="1"/>
                <w:color w:val="auto"/>
              </w:rPr>
              <w:t>Closing Sales Price</w:t>
            </w:r>
          </w:p>
        </w:tc>
        <w:tc>
          <w:tcPr>
            <w:tcW w:w="1200" w:type="dxa"/>
            <w:vAlign w:val="bottom"/>
            <w:gridSpan w:val="2"/>
          </w:tcPr>
          <w:p>
            <w:pPr>
              <w:jc w:val="center"/>
              <w:ind w:right="520"/>
              <w:spacing w:after="0" w:line="135" w:lineRule="exact"/>
              <w:rPr>
                <w:sz w:val="20"/>
                <w:szCs w:val="20"/>
                <w:color w:val="auto"/>
              </w:rPr>
            </w:pPr>
            <w:r>
              <w:rPr>
                <w:rFonts w:ascii="Arial" w:cs="Arial" w:eastAsia="Arial" w:hAnsi="Arial"/>
                <w:sz w:val="12"/>
                <w:szCs w:val="12"/>
                <w:b w:val="1"/>
                <w:bCs w:val="1"/>
                <w:color w:val="auto"/>
                <w:w w:val="87"/>
              </w:rPr>
              <w:t>(Discount)</w:t>
            </w: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87"/>
              </w:rPr>
              <w:t>(Discount)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80" w:type="dxa"/>
            <w:vAlign w:val="bottom"/>
            <w:gridSpan w:val="5"/>
            <w:vMerge w:val="continue"/>
          </w:tcPr>
          <w:p>
            <w:pPr>
              <w:spacing w:after="0"/>
              <w:rPr>
                <w:sz w:val="4"/>
                <w:szCs w:val="4"/>
                <w:color w:val="auto"/>
              </w:rPr>
            </w:pPr>
          </w:p>
        </w:tc>
        <w:tc>
          <w:tcPr>
            <w:tcW w:w="1200" w:type="dxa"/>
            <w:vAlign w:val="bottom"/>
            <w:gridSpan w:val="2"/>
            <w:vMerge w:val="restart"/>
          </w:tcPr>
          <w:p>
            <w:pPr>
              <w:jc w:val="center"/>
              <w:ind w:right="540"/>
              <w:spacing w:after="0" w:line="135" w:lineRule="exact"/>
              <w:rPr>
                <w:sz w:val="20"/>
                <w:szCs w:val="20"/>
                <w:color w:val="auto"/>
              </w:rPr>
            </w:pPr>
            <w:r>
              <w:rPr>
                <w:rFonts w:ascii="Arial" w:cs="Arial" w:eastAsia="Arial" w:hAnsi="Arial"/>
                <w:sz w:val="12"/>
                <w:szCs w:val="12"/>
                <w:b w:val="1"/>
                <w:bCs w:val="1"/>
                <w:color w:val="auto"/>
                <w:w w:val="86"/>
              </w:rPr>
              <w:t>of High Sales</w:t>
            </w:r>
          </w:p>
        </w:tc>
        <w:tc>
          <w:tcPr>
            <w:tcW w:w="960" w:type="dxa"/>
            <w:vAlign w:val="bottom"/>
            <w:gridSpan w:val="2"/>
            <w:vMerge w:val="restart"/>
          </w:tcPr>
          <w:p>
            <w:pPr>
              <w:jc w:val="center"/>
              <w:ind w:right="340"/>
              <w:spacing w:after="0" w:line="135" w:lineRule="exact"/>
              <w:rPr>
                <w:sz w:val="20"/>
                <w:szCs w:val="20"/>
                <w:color w:val="auto"/>
              </w:rPr>
            </w:pPr>
            <w:r>
              <w:rPr>
                <w:rFonts w:ascii="Arial" w:cs="Arial" w:eastAsia="Arial" w:hAnsi="Arial"/>
                <w:sz w:val="12"/>
                <w:szCs w:val="12"/>
                <w:b w:val="1"/>
                <w:bCs w:val="1"/>
                <w:color w:val="auto"/>
                <w:w w:val="84"/>
              </w:rPr>
              <w:t>of Low Sales</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Period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jc w:val="center"/>
              <w:ind w:right="540"/>
              <w:spacing w:after="0" w:line="135" w:lineRule="exact"/>
              <w:rPr>
                <w:sz w:val="20"/>
                <w:szCs w:val="20"/>
                <w:color w:val="auto"/>
              </w:rPr>
            </w:pPr>
            <w:r>
              <w:rPr>
                <w:rFonts w:ascii="Arial" w:cs="Arial" w:eastAsia="Arial" w:hAnsi="Arial"/>
                <w:sz w:val="12"/>
                <w:szCs w:val="12"/>
                <w:b w:val="1"/>
                <w:bCs w:val="1"/>
                <w:color w:val="auto"/>
                <w:w w:val="86"/>
              </w:rPr>
              <w:t>Price to</w:t>
            </w:r>
          </w:p>
        </w:tc>
        <w:tc>
          <w:tcPr>
            <w:tcW w:w="96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86"/>
              </w:rPr>
              <w:t>Price to</w:t>
            </w:r>
          </w:p>
        </w:tc>
        <w:tc>
          <w:tcPr>
            <w:tcW w:w="20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Distributions</w:t>
            </w:r>
          </w:p>
        </w:tc>
        <w:tc>
          <w:tcPr>
            <w:tcW w:w="0" w:type="dxa"/>
            <w:vAlign w:val="bottom"/>
          </w:tcPr>
          <w:p>
            <w:pPr>
              <w:spacing w:after="0"/>
              <w:rPr>
                <w:sz w:val="1"/>
                <w:szCs w:val="1"/>
                <w:color w:val="auto"/>
              </w:rPr>
            </w:pPr>
          </w:p>
        </w:tc>
      </w:tr>
      <w:tr>
        <w:trPr>
          <w:trHeight w:val="143"/>
        </w:trPr>
        <w:tc>
          <w:tcPr>
            <w:tcW w:w="47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NAV</w:t>
            </w:r>
            <w:r>
              <w:rPr>
                <w:rFonts w:ascii="Arial" w:cs="Arial" w:eastAsia="Arial" w:hAnsi="Arial"/>
                <w:sz w:val="9"/>
                <w:szCs w:val="9"/>
                <w:b w:val="1"/>
                <w:bCs w:val="1"/>
                <w:color w:val="auto"/>
              </w:rPr>
              <w:t>(1)</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High</w:t>
            </w:r>
          </w:p>
        </w:tc>
        <w:tc>
          <w:tcPr>
            <w:tcW w:w="220" w:type="dxa"/>
            <w:vAlign w:val="bottom"/>
          </w:tcPr>
          <w:p>
            <w:pPr>
              <w:spacing w:after="0"/>
              <w:rPr>
                <w:sz w:val="12"/>
                <w:szCs w:val="12"/>
                <w:color w:val="auto"/>
              </w:rPr>
            </w:pPr>
          </w:p>
        </w:tc>
        <w:tc>
          <w:tcPr>
            <w:tcW w:w="1040" w:type="dxa"/>
            <w:vAlign w:val="bottom"/>
            <w:gridSpan w:val="2"/>
          </w:tcPr>
          <w:p>
            <w:pPr>
              <w:ind w:left="200"/>
              <w:spacing w:after="0"/>
              <w:rPr>
                <w:sz w:val="20"/>
                <w:szCs w:val="20"/>
                <w:color w:val="auto"/>
              </w:rPr>
            </w:pPr>
            <w:r>
              <w:rPr>
                <w:rFonts w:ascii="Arial" w:cs="Arial" w:eastAsia="Arial" w:hAnsi="Arial"/>
                <w:sz w:val="11"/>
                <w:szCs w:val="11"/>
                <w:b w:val="1"/>
                <w:bCs w:val="1"/>
                <w:color w:val="auto"/>
              </w:rPr>
              <w:t>Low</w:t>
            </w:r>
          </w:p>
        </w:tc>
        <w:tc>
          <w:tcPr>
            <w:tcW w:w="120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8"/>
              </w:rPr>
              <w:t>NAV</w:t>
            </w:r>
            <w:r>
              <w:rPr>
                <w:rFonts w:ascii="Arial" w:cs="Arial" w:eastAsia="Arial" w:hAnsi="Arial"/>
                <w:sz w:val="9"/>
                <w:szCs w:val="9"/>
                <w:b w:val="1"/>
                <w:bCs w:val="1"/>
                <w:color w:val="auto"/>
                <w:w w:val="98"/>
              </w:rPr>
              <w:t>(2)</w:t>
            </w:r>
          </w:p>
        </w:tc>
        <w:tc>
          <w:tcPr>
            <w:tcW w:w="9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3"/>
              </w:rPr>
              <w:t>NAV</w:t>
            </w:r>
            <w:r>
              <w:rPr>
                <w:rFonts w:ascii="Arial" w:cs="Arial" w:eastAsia="Arial" w:hAnsi="Arial"/>
                <w:sz w:val="9"/>
                <w:szCs w:val="9"/>
                <w:b w:val="1"/>
                <w:bCs w:val="1"/>
                <w:color w:val="auto"/>
                <w:w w:val="93"/>
              </w:rPr>
              <w:t>(2)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Declared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Fiscal Year Ending September 30, 2014</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740" w:type="dxa"/>
            <w:vAlign w:val="bottom"/>
            <w:gridSpan w:val="2"/>
          </w:tcPr>
          <w:p>
            <w:pPr>
              <w:spacing w:after="0"/>
              <w:rPr>
                <w:sz w:val="20"/>
                <w:szCs w:val="20"/>
                <w:color w:val="auto"/>
              </w:rPr>
            </w:pPr>
            <w:r>
              <w:rPr>
                <w:rFonts w:ascii="Arial" w:cs="Arial" w:eastAsia="Arial" w:hAnsi="Arial"/>
                <w:sz w:val="16"/>
                <w:szCs w:val="16"/>
                <w:color w:val="auto"/>
              </w:rPr>
              <w:t>First quarter (through December 6, 2013)</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N/A</w:t>
            </w:r>
          </w:p>
        </w:tc>
        <w:tc>
          <w:tcPr>
            <w:tcW w:w="620" w:type="dxa"/>
            <w:vAlign w:val="bottom"/>
          </w:tcPr>
          <w:p>
            <w:pPr>
              <w:jc w:val="right"/>
              <w:spacing w:after="0"/>
              <w:rPr>
                <w:sz w:val="20"/>
                <w:szCs w:val="20"/>
                <w:color w:val="auto"/>
              </w:rPr>
            </w:pPr>
            <w:r>
              <w:rPr>
                <w:rFonts w:ascii="Arial" w:cs="Arial" w:eastAsia="Arial" w:hAnsi="Arial"/>
                <w:sz w:val="16"/>
                <w:szCs w:val="16"/>
                <w:color w:val="auto"/>
              </w:rPr>
              <w:t>$  12.17</w:t>
            </w:r>
          </w:p>
        </w:tc>
        <w:tc>
          <w:tcPr>
            <w:tcW w:w="200" w:type="dxa"/>
            <w:vAlign w:val="bottom"/>
          </w:tcPr>
          <w:p>
            <w:pPr>
              <w:spacing w:after="0"/>
              <w:rPr>
                <w:sz w:val="24"/>
                <w:szCs w:val="24"/>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  10.83</w:t>
            </w:r>
          </w:p>
        </w:tc>
        <w:tc>
          <w:tcPr>
            <w:tcW w:w="1200" w:type="dxa"/>
            <w:vAlign w:val="bottom"/>
            <w:gridSpan w:val="2"/>
          </w:tcPr>
          <w:p>
            <w:pPr>
              <w:jc w:val="right"/>
              <w:ind w:right="400"/>
              <w:spacing w:after="0"/>
              <w:rPr>
                <w:sz w:val="20"/>
                <w:szCs w:val="20"/>
                <w:color w:val="auto"/>
              </w:rPr>
            </w:pPr>
            <w:r>
              <w:rPr>
                <w:rFonts w:ascii="Arial" w:cs="Arial" w:eastAsia="Arial" w:hAnsi="Arial"/>
                <w:sz w:val="16"/>
                <w:szCs w:val="16"/>
                <w:color w:val="auto"/>
              </w:rPr>
              <w:t>N/A%</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280"/>
              <w:spacing w:after="0"/>
              <w:rPr>
                <w:sz w:val="20"/>
                <w:szCs w:val="20"/>
                <w:color w:val="auto"/>
              </w:rPr>
            </w:pPr>
            <w:r>
              <w:rPr>
                <w:rFonts w:ascii="Arial" w:cs="Arial" w:eastAsia="Arial" w:hAnsi="Arial"/>
                <w:sz w:val="16"/>
                <w:szCs w:val="16"/>
                <w:color w:val="auto"/>
                <w:w w:val="86"/>
              </w:rPr>
              <w:t>0.28</w:t>
            </w:r>
            <w:r>
              <w:rPr>
                <w:rFonts w:ascii="Arial" w:cs="Arial" w:eastAsia="Arial" w:hAnsi="Arial"/>
                <w:sz w:val="27"/>
                <w:szCs w:val="27"/>
                <w:color w:val="auto"/>
                <w:w w:val="86"/>
                <w:vertAlign w:val="superscript"/>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Fiscal Year Ended September 30, 2013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Fourth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10.49</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11.83</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10.97</w:t>
            </w: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540" w:type="dxa"/>
            <w:vAlign w:val="bottom"/>
          </w:tcPr>
          <w:p>
            <w:pPr>
              <w:spacing w:after="0"/>
              <w:rPr>
                <w:sz w:val="22"/>
                <w:szCs w:val="2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Third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10.43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11.83</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10.45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Second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10.50</w:t>
            </w:r>
          </w:p>
        </w:tc>
        <w:tc>
          <w:tcPr>
            <w:tcW w:w="620" w:type="dxa"/>
            <w:vAlign w:val="bottom"/>
          </w:tcPr>
          <w:p>
            <w:pPr>
              <w:jc w:val="right"/>
              <w:spacing w:after="0"/>
              <w:rPr>
                <w:sz w:val="20"/>
                <w:szCs w:val="20"/>
                <w:color w:val="auto"/>
              </w:rPr>
            </w:pPr>
            <w:r>
              <w:rPr>
                <w:rFonts w:ascii="Arial" w:cs="Arial" w:eastAsia="Arial" w:hAnsi="Arial"/>
                <w:sz w:val="16"/>
                <w:szCs w:val="16"/>
                <w:color w:val="auto"/>
              </w:rPr>
              <w:t>12.18</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11.01</w:t>
            </w: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540" w:type="dxa"/>
            <w:vAlign w:val="bottom"/>
          </w:tcPr>
          <w:p>
            <w:pPr>
              <w:spacing w:after="0"/>
              <w:rPr>
                <w:sz w:val="22"/>
                <w:szCs w:val="2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10.38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11.10</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10.07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305"/>
        </w:trPr>
        <w:tc>
          <w:tcPr>
            <w:tcW w:w="4740" w:type="dxa"/>
            <w:vAlign w:val="bottom"/>
            <w:gridSpan w:val="2"/>
          </w:tcPr>
          <w:p>
            <w:pPr>
              <w:spacing w:after="0"/>
              <w:rPr>
                <w:sz w:val="20"/>
                <w:szCs w:val="20"/>
                <w:color w:val="auto"/>
              </w:rPr>
            </w:pPr>
            <w:r>
              <w:rPr>
                <w:rFonts w:ascii="Arial" w:cs="Arial" w:eastAsia="Arial" w:hAnsi="Arial"/>
                <w:sz w:val="16"/>
                <w:szCs w:val="16"/>
                <w:b w:val="1"/>
                <w:bCs w:val="1"/>
                <w:color w:val="auto"/>
              </w:rPr>
              <w:t>Fiscal Year Ended September 30, 2012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Fourth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10.22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11.44</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10.36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Third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10.16</w:t>
            </w:r>
          </w:p>
        </w:tc>
        <w:tc>
          <w:tcPr>
            <w:tcW w:w="620" w:type="dxa"/>
            <w:vAlign w:val="bottom"/>
          </w:tcPr>
          <w:p>
            <w:pPr>
              <w:jc w:val="right"/>
              <w:spacing w:after="0"/>
              <w:rPr>
                <w:sz w:val="20"/>
                <w:szCs w:val="20"/>
                <w:color w:val="auto"/>
              </w:rPr>
            </w:pPr>
            <w:r>
              <w:rPr>
                <w:rFonts w:ascii="Arial" w:cs="Arial" w:eastAsia="Arial" w:hAnsi="Arial"/>
                <w:sz w:val="16"/>
                <w:szCs w:val="16"/>
                <w:color w:val="auto"/>
              </w:rPr>
              <w:t>10.70</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9.27</w:t>
            </w: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5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Second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10.38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11.23</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10.31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First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10.19</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11.02</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8.57</w:t>
            </w: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5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Fiscal Year Ended September 30, 2011</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Fourth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10.13</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11.52</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8.89</w:t>
            </w: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5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Third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11.08</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10.97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Second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11.30</w:t>
            </w:r>
          </w:p>
        </w:tc>
        <w:tc>
          <w:tcPr>
            <w:tcW w:w="620" w:type="dxa"/>
            <w:vAlign w:val="bottom"/>
          </w:tcPr>
          <w:p>
            <w:pPr>
              <w:jc w:val="right"/>
              <w:spacing w:after="0"/>
              <w:rPr>
                <w:sz w:val="20"/>
                <w:szCs w:val="20"/>
                <w:color w:val="auto"/>
              </w:rPr>
            </w:pPr>
            <w:r>
              <w:rPr>
                <w:rFonts w:ascii="Arial" w:cs="Arial" w:eastAsia="Arial" w:hAnsi="Arial"/>
                <w:sz w:val="16"/>
                <w:szCs w:val="16"/>
                <w:color w:val="auto"/>
              </w:rPr>
              <w:t>13.05</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11.21</w:t>
            </w: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5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11.14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10.60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b w:val="1"/>
                <w:bCs w:val="1"/>
                <w:color w:val="auto"/>
              </w:rPr>
              <w:t>Fiscal Year Ended September 30, 2010</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Fourth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10.69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9.17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Third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10.94</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11.84</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9.02</w:t>
            </w: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5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Second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11.07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8.88</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First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11.86</w:t>
            </w:r>
          </w:p>
        </w:tc>
        <w:tc>
          <w:tcPr>
            <w:tcW w:w="620" w:type="dxa"/>
            <w:vAlign w:val="bottom"/>
          </w:tcPr>
          <w:p>
            <w:pPr>
              <w:jc w:val="right"/>
              <w:spacing w:after="0"/>
              <w:rPr>
                <w:sz w:val="20"/>
                <w:szCs w:val="20"/>
                <w:color w:val="auto"/>
              </w:rPr>
            </w:pPr>
            <w:r>
              <w:rPr>
                <w:rFonts w:ascii="Arial" w:cs="Arial" w:eastAsia="Arial" w:hAnsi="Arial"/>
                <w:sz w:val="16"/>
                <w:szCs w:val="16"/>
                <w:color w:val="auto"/>
              </w:rPr>
              <w:t>9.15</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7.63</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(23)</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Fiscal Year Ended September 30, 2009</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Fourth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11.85</w:t>
            </w:r>
          </w:p>
        </w:tc>
        <w:tc>
          <w:tcPr>
            <w:tcW w:w="620" w:type="dxa"/>
            <w:vAlign w:val="bottom"/>
          </w:tcPr>
          <w:p>
            <w:pPr>
              <w:jc w:val="right"/>
              <w:spacing w:after="0"/>
              <w:rPr>
                <w:sz w:val="20"/>
                <w:szCs w:val="20"/>
                <w:color w:val="auto"/>
              </w:rPr>
            </w:pPr>
            <w:r>
              <w:rPr>
                <w:rFonts w:ascii="Arial" w:cs="Arial" w:eastAsia="Arial" w:hAnsi="Arial"/>
                <w:sz w:val="16"/>
                <w:szCs w:val="16"/>
                <w:color w:val="auto"/>
              </w:rPr>
              <w:t>9.06</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6.28</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(24)</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Third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11.72</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3.85</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(35)</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Second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12.00</w:t>
            </w:r>
          </w:p>
        </w:tc>
        <w:tc>
          <w:tcPr>
            <w:tcW w:w="620" w:type="dxa"/>
            <w:vAlign w:val="bottom"/>
          </w:tcPr>
          <w:p>
            <w:pPr>
              <w:jc w:val="right"/>
              <w:spacing w:after="0"/>
              <w:rPr>
                <w:sz w:val="20"/>
                <w:szCs w:val="20"/>
                <w:color w:val="auto"/>
              </w:rPr>
            </w:pPr>
            <w:r>
              <w:rPr>
                <w:rFonts w:ascii="Arial" w:cs="Arial" w:eastAsia="Arial" w:hAnsi="Arial"/>
                <w:sz w:val="16"/>
                <w:szCs w:val="16"/>
                <w:color w:val="auto"/>
              </w:rPr>
              <w:t>4.05</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2.64</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(66)</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10.24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2.35</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9" w:lineRule="exact"/>
        <w:rPr>
          <w:sz w:val="20"/>
          <w:szCs w:val="20"/>
          <w:color w:val="auto"/>
        </w:rPr>
      </w:pPr>
    </w:p>
    <w:p>
      <w:pPr>
        <w:ind w:left="340" w:right="280" w:hanging="332"/>
        <w:spacing w:after="0" w:line="266"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Calculated as of the respective high or low closing sales price divided by the quarter end NAV.</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Includes distribution of $0.28 per share payable January 2, 2014 to stockholders of record as of December 20, 2013.</w:t>
      </w:r>
    </w:p>
    <w:p>
      <w:pPr>
        <w:spacing w:after="0" w:line="226"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$11.28 and $10.61 as of September 30, 2013 and 2012, respectively. Our NAV per share was $10.49 and $10.22 as of September 30, 2013 and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September 30, 2013, we had 11 stockholders of record.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900" w:right="38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leverage available to us and our SBIC Funds, both before and after the offering and other borrowing terms;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76" w:lineRule="exact"/>
        <w:rPr>
          <w:sz w:val="20"/>
          <w:szCs w:val="20"/>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existing stockholders who purchase a relatively small amount of shares in the offering or a relatively large amount of shares in the offering; and</w:t>
      </w:r>
    </w:p>
    <w:p>
      <w:pPr>
        <w:spacing w:after="0" w:line="142" w:lineRule="exact"/>
        <w:rPr>
          <w:rFonts w:ascii="Arial" w:cs="Arial" w:eastAsia="Arial" w:hAnsi="Arial"/>
          <w:sz w:val="17"/>
          <w:szCs w:val="17"/>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offering expenses and commissions (a 5% discount from NAV); (2) an offering of 100,000 shares (10% of the outstanding shares) at $9.00 per share after offering expenses and commissions (a 10% discount from NAV); and (3) an offering of 250,000 shares (25% of the outstanding shares) at $7.50 per share after offering expenses and commissions (a 25% discount from NAV).</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5"/>
              </w:rPr>
              <w:t>Example 1</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5"/>
              </w:rPr>
              <w:t>Example 2</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5"/>
              </w:rPr>
              <w:t>Example 3</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00" w:type="dxa"/>
            <w:vAlign w:val="bottom"/>
          </w:tcPr>
          <w:p>
            <w:pPr>
              <w:spacing w:after="0"/>
              <w:rPr>
                <w:sz w:val="12"/>
                <w:szCs w:val="12"/>
                <w:color w:val="auto"/>
              </w:rPr>
            </w:pPr>
          </w:p>
        </w:tc>
        <w:tc>
          <w:tcPr>
            <w:tcW w:w="20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00" w:type="dxa"/>
            <w:vAlign w:val="bottom"/>
          </w:tcPr>
          <w:p>
            <w:pPr>
              <w:spacing w:after="0"/>
              <w:rPr>
                <w:sz w:val="12"/>
                <w:szCs w:val="12"/>
                <w:color w:val="auto"/>
              </w:rPr>
            </w:pPr>
          </w:p>
        </w:tc>
        <w:tc>
          <w:tcPr>
            <w:tcW w:w="18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Prior to Sale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at 5% Discount</w:t>
            </w:r>
          </w:p>
        </w:tc>
        <w:tc>
          <w:tcPr>
            <w:tcW w:w="100" w:type="dxa"/>
            <w:vAlign w:val="bottom"/>
          </w:tcPr>
          <w:p>
            <w:pPr>
              <w:spacing w:after="0"/>
              <w:rPr>
                <w:sz w:val="14"/>
                <w:szCs w:val="14"/>
                <w:color w:val="auto"/>
              </w:rPr>
            </w:pPr>
          </w:p>
        </w:tc>
        <w:tc>
          <w:tcPr>
            <w:tcW w:w="20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at 10% Discount</w:t>
            </w:r>
          </w:p>
        </w:tc>
        <w:tc>
          <w:tcPr>
            <w:tcW w:w="100" w:type="dxa"/>
            <w:vAlign w:val="bottom"/>
          </w:tcPr>
          <w:p>
            <w:pPr>
              <w:spacing w:after="0"/>
              <w:rPr>
                <w:sz w:val="14"/>
                <w:szCs w:val="14"/>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Below NAV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Sale</w:t>
            </w: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Sale</w:t>
            </w: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Sale</w:t>
            </w: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3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i w:val="1"/>
                <w:iCs w:val="1"/>
                <w:color w:val="auto"/>
              </w:rPr>
              <w:t>Offering Price</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9.47</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7.89</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Net offering proceeds per share to issuer</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b w:val="1"/>
                <w:bCs w:val="1"/>
                <w:i w:val="1"/>
                <w:iCs w:val="1"/>
                <w:color w:val="auto"/>
              </w:rPr>
              <w:t>Decrease to NAV</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1,050,000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5.00 %</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1,100,000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1,250,000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25.00 %</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NAV per share</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9.98</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(0.20)%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9.91</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(0.90)%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9.50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 to Stockholder A</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0.95%</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0.91%</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0.80%</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(20.00)%</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NAV held by stockholder A</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1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99,800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99,100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3940" w:type="dxa"/>
            <w:vAlign w:val="bottom"/>
          </w:tcPr>
          <w:p>
            <w:pPr>
              <w:ind w:left="300"/>
              <w:spacing w:after="0" w:line="130" w:lineRule="exact"/>
              <w:rPr>
                <w:sz w:val="20"/>
                <w:szCs w:val="20"/>
                <w:color w:val="auto"/>
              </w:rPr>
            </w:pPr>
            <w:r>
              <w:rPr>
                <w:rFonts w:ascii="Arial" w:cs="Arial" w:eastAsia="Arial" w:hAnsi="Arial"/>
                <w:sz w:val="14"/>
                <w:szCs w:val="14"/>
                <w:color w:val="auto"/>
                <w:w w:val="94"/>
              </w:rPr>
              <w:t>Total investment by stockholder A (assumed to be $10.00 per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940" w:type="dxa"/>
            <w:vAlign w:val="bottom"/>
          </w:tcPr>
          <w:p>
            <w:pPr>
              <w:ind w:left="300"/>
              <w:spacing w:after="0"/>
              <w:rPr>
                <w:sz w:val="20"/>
                <w:szCs w:val="20"/>
                <w:color w:val="auto"/>
              </w:rPr>
            </w:pPr>
            <w:r>
              <w:rPr>
                <w:rFonts w:ascii="Arial" w:cs="Arial" w:eastAsia="Arial" w:hAnsi="Arial"/>
                <w:sz w:val="14"/>
                <w:szCs w:val="14"/>
                <w:color w:val="auto"/>
              </w:rPr>
              <w:t>share)</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140" w:type="dxa"/>
            <w:vAlign w:val="bottom"/>
          </w:tcPr>
          <w:p>
            <w:pPr>
              <w:spacing w:after="0"/>
              <w:rPr>
                <w:sz w:val="15"/>
                <w:szCs w:val="15"/>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Total dilution to stockholder A (total NAV less total</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investment)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(900)</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NAV per share held by stockholder A</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9.98</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9.91</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40" w:type="dxa"/>
            <w:vAlign w:val="bottom"/>
          </w:tcPr>
          <w:p>
            <w:pPr>
              <w:ind w:left="300"/>
              <w:spacing w:after="0" w:line="130" w:lineRule="exact"/>
              <w:rPr>
                <w:sz w:val="20"/>
                <w:szCs w:val="20"/>
                <w:color w:val="auto"/>
              </w:rPr>
            </w:pPr>
            <w:r>
              <w:rPr>
                <w:rFonts w:ascii="Arial" w:cs="Arial" w:eastAsia="Arial" w:hAnsi="Arial"/>
                <w:sz w:val="14"/>
                <w:szCs w:val="14"/>
                <w:color w:val="auto"/>
                <w:w w:val="97"/>
              </w:rPr>
              <w:t>Investment per share held by stockholder A (assumed to be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940" w:type="dxa"/>
            <w:vAlign w:val="bottom"/>
          </w:tcPr>
          <w:p>
            <w:pPr>
              <w:ind w:left="300"/>
              <w:spacing w:after="0"/>
              <w:rPr>
                <w:sz w:val="20"/>
                <w:szCs w:val="20"/>
                <w:color w:val="auto"/>
              </w:rPr>
            </w:pPr>
            <w:r>
              <w:rPr>
                <w:rFonts w:ascii="Arial" w:cs="Arial" w:eastAsia="Arial" w:hAnsi="Arial"/>
                <w:sz w:val="14"/>
                <w:szCs w:val="14"/>
                <w:color w:val="auto"/>
              </w:rPr>
              <w:t>$10.00 per share on shares held prior to sale)</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5"/>
                <w:szCs w:val="15"/>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w w:val="96"/>
              </w:rPr>
              <w:t>Dilution per share held by stockholder A (NAV per share less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investment per share)</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(0.09)</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(0.50)</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40" w:type="dxa"/>
            <w:vAlign w:val="bottom"/>
          </w:tcPr>
          <w:p>
            <w:pPr>
              <w:ind w:left="300"/>
              <w:spacing w:after="0" w:line="130" w:lineRule="exact"/>
              <w:rPr>
                <w:sz w:val="20"/>
                <w:szCs w:val="20"/>
                <w:color w:val="auto"/>
              </w:rPr>
            </w:pPr>
            <w:r>
              <w:rPr>
                <w:rFonts w:ascii="Arial" w:cs="Arial" w:eastAsia="Arial" w:hAnsi="Arial"/>
                <w:sz w:val="14"/>
                <w:szCs w:val="14"/>
                <w:color w:val="auto"/>
              </w:rPr>
              <w:t>Percentage dilution to stockholder A (dilution per share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940" w:type="dxa"/>
            <w:vAlign w:val="bottom"/>
          </w:tcPr>
          <w:p>
            <w:pPr>
              <w:ind w:left="300"/>
              <w:spacing w:after="0"/>
              <w:rPr>
                <w:sz w:val="20"/>
                <w:szCs w:val="20"/>
                <w:color w:val="auto"/>
              </w:rPr>
            </w:pPr>
            <w:r>
              <w:rPr>
                <w:rFonts w:ascii="Arial" w:cs="Arial" w:eastAsia="Arial" w:hAnsi="Arial"/>
                <w:sz w:val="14"/>
                <w:szCs w:val="14"/>
                <w:color w:val="auto"/>
              </w:rPr>
              <w:t>divided by investment per share)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7"/>
                <w:szCs w:val="17"/>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17"/>
                <w:szCs w:val="17"/>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6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25% discount offering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Prior to Sale</w:t>
            </w:r>
          </w:p>
        </w:tc>
        <w:tc>
          <w:tcPr>
            <w:tcW w:w="100" w:type="dxa"/>
            <w:vAlign w:val="bottom"/>
          </w:tcPr>
          <w:p>
            <w:pPr>
              <w:spacing w:after="0"/>
              <w:rPr>
                <w:sz w:val="14"/>
                <w:szCs w:val="14"/>
                <w:color w:val="auto"/>
              </w:rPr>
            </w:pPr>
          </w:p>
        </w:tc>
        <w:tc>
          <w:tcPr>
            <w:tcW w:w="22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50% Participation</w:t>
            </w:r>
          </w:p>
        </w:tc>
        <w:tc>
          <w:tcPr>
            <w:tcW w:w="120" w:type="dxa"/>
            <w:vAlign w:val="bottom"/>
          </w:tcPr>
          <w:p>
            <w:pPr>
              <w:spacing w:after="0"/>
              <w:rPr>
                <w:sz w:val="14"/>
                <w:szCs w:val="14"/>
                <w:color w:val="auto"/>
              </w:rPr>
            </w:pPr>
          </w:p>
        </w:tc>
        <w:tc>
          <w:tcPr>
            <w:tcW w:w="1880" w:type="dxa"/>
            <w:vAlign w:val="bottom"/>
            <w:gridSpan w:val="4"/>
          </w:tcPr>
          <w:p>
            <w:pPr>
              <w:ind w:left="24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8"/>
              </w:rPr>
              <w:t>Following</w:t>
            </w:r>
          </w:p>
        </w:tc>
        <w:tc>
          <w:tcPr>
            <w:tcW w:w="620" w:type="dxa"/>
            <w:vAlign w:val="bottom"/>
            <w:tcBorders>
              <w:top w:val="single" w:sz="8" w:color="auto"/>
            </w:tcBorders>
          </w:tcPr>
          <w:p>
            <w:pPr>
              <w:jc w:val="right"/>
              <w:ind w:right="148"/>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62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Below NAV</w:t>
            </w:r>
          </w:p>
        </w:tc>
        <w:tc>
          <w:tcPr>
            <w:tcW w:w="1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Sale</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Sale</w:t>
            </w: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Offering Price</w:t>
            </w: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5"/>
                <w:szCs w:val="15"/>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7.89</w:t>
            </w:r>
          </w:p>
        </w:tc>
        <w:tc>
          <w:tcPr>
            <w:tcW w:w="380" w:type="dxa"/>
            <w:vAlign w:val="bottom"/>
          </w:tcPr>
          <w:p>
            <w:pPr>
              <w:spacing w:after="0"/>
              <w:rPr>
                <w:sz w:val="15"/>
                <w:szCs w:val="15"/>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7.89</w:t>
            </w:r>
          </w:p>
        </w:tc>
        <w:tc>
          <w:tcPr>
            <w:tcW w:w="400" w:type="dxa"/>
            <w:vAlign w:val="bottom"/>
          </w:tcPr>
          <w:p>
            <w:pPr>
              <w:spacing w:after="0"/>
              <w:rPr>
                <w:sz w:val="15"/>
                <w:szCs w:val="15"/>
                <w:color w:val="auto"/>
              </w:rPr>
            </w:pPr>
          </w:p>
        </w:tc>
        <w:tc>
          <w:tcPr>
            <w:tcW w:w="70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proceeds per share to issuer</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7.50</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7.50</w:t>
            </w:r>
          </w:p>
        </w:tc>
        <w:tc>
          <w:tcPr>
            <w:tcW w:w="4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4"/>
                <w:szCs w:val="14"/>
                <w:b w:val="1"/>
                <w:bCs w:val="1"/>
                <w:i w:val="1"/>
                <w:iCs w:val="1"/>
                <w:color w:val="auto"/>
              </w:rPr>
              <w:t>Increases in Shares and Decrease to NAV</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1,000,000</w:t>
            </w: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1,250,000</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25.00 %</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1,250,000</w:t>
            </w:r>
          </w:p>
        </w:tc>
        <w:tc>
          <w:tcPr>
            <w:tcW w:w="4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25.00 %</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4"/>
                <w:szCs w:val="14"/>
                <w:color w:val="auto"/>
              </w:rPr>
              <w:t>NAV per share</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9.50</w:t>
            </w:r>
          </w:p>
        </w:tc>
        <w:tc>
          <w:tcPr>
            <w:tcW w:w="380" w:type="dxa"/>
            <w:vAlign w:val="bottom"/>
          </w:tcPr>
          <w:p>
            <w:pPr>
              <w:spacing w:after="0"/>
              <w:rPr>
                <w:sz w:val="15"/>
                <w:szCs w:val="15"/>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(5.00)%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9.50</w:t>
            </w:r>
          </w:p>
        </w:tc>
        <w:tc>
          <w:tcPr>
            <w:tcW w:w="400" w:type="dxa"/>
            <w:vAlign w:val="bottom"/>
          </w:tcPr>
          <w:p>
            <w:pPr>
              <w:spacing w:after="0"/>
              <w:rPr>
                <w:sz w:val="15"/>
                <w:szCs w:val="15"/>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(Dilution)/Accretion to Participating Stockholder A</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80" w:type="dxa"/>
            <w:vAlign w:val="bottom"/>
          </w:tcPr>
          <w:p>
            <w:pPr>
              <w:spacing w:after="0"/>
              <w:rPr>
                <w:sz w:val="15"/>
                <w:szCs w:val="15"/>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10,000</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11,250</w:t>
            </w:r>
          </w:p>
        </w:tc>
        <w:tc>
          <w:tcPr>
            <w:tcW w:w="380" w:type="dxa"/>
            <w:vAlign w:val="bottom"/>
          </w:tcPr>
          <w:p>
            <w:pPr>
              <w:spacing w:after="0"/>
              <w:rPr>
                <w:sz w:val="15"/>
                <w:szCs w:val="15"/>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12.50 %</w:t>
            </w:r>
          </w:p>
        </w:tc>
        <w:tc>
          <w:tcPr>
            <w:tcW w:w="120" w:type="dxa"/>
            <w:vAlign w:val="bottom"/>
          </w:tcPr>
          <w:p>
            <w:pPr>
              <w:spacing w:after="0"/>
              <w:rPr>
                <w:sz w:val="15"/>
                <w:szCs w:val="15"/>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13,750</w:t>
            </w:r>
          </w:p>
        </w:tc>
        <w:tc>
          <w:tcPr>
            <w:tcW w:w="400" w:type="dxa"/>
            <w:vAlign w:val="bottom"/>
          </w:tcPr>
          <w:p>
            <w:pPr>
              <w:spacing w:after="0"/>
              <w:rPr>
                <w:sz w:val="15"/>
                <w:szCs w:val="15"/>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37.50 %</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0.90%</w:t>
            </w:r>
          </w:p>
        </w:tc>
        <w:tc>
          <w:tcPr>
            <w:tcW w:w="10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1.10%</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8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NAV held by stockholder A</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106,875</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6.88 %</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130,625</w:t>
            </w:r>
          </w:p>
        </w:tc>
        <w:tc>
          <w:tcPr>
            <w:tcW w:w="4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30.63 %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780" w:type="dxa"/>
            <w:vAlign w:val="bottom"/>
          </w:tcPr>
          <w:p>
            <w:pPr>
              <w:ind w:left="280"/>
              <w:spacing w:after="0" w:line="130" w:lineRule="exact"/>
              <w:rPr>
                <w:sz w:val="20"/>
                <w:szCs w:val="20"/>
                <w:color w:val="auto"/>
              </w:rPr>
            </w:pPr>
            <w:r>
              <w:rPr>
                <w:rFonts w:ascii="Arial" w:cs="Arial" w:eastAsia="Arial" w:hAnsi="Arial"/>
                <w:sz w:val="14"/>
                <w:szCs w:val="14"/>
                <w:color w:val="auto"/>
              </w:rPr>
              <w:t>Total investment by stockholder A (assumed to be $10.00 per share on shares held prior</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auto"/>
              </w:rPr>
              <w:t>to sale)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4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109,863</w:t>
            </w:r>
          </w:p>
        </w:tc>
        <w:tc>
          <w:tcPr>
            <w:tcW w:w="38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9.86 %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129,588</w:t>
            </w:r>
          </w:p>
        </w:tc>
        <w:tc>
          <w:tcPr>
            <w:tcW w:w="40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29.59 %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(dilution)/accretion to stockholder A (total NAV less total investment)</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(2,988)</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1,037</w:t>
            </w:r>
          </w:p>
        </w:tc>
        <w:tc>
          <w:tcPr>
            <w:tcW w:w="4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8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NAV per share held by stockholder A</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9.50</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9.50</w:t>
            </w:r>
          </w:p>
        </w:tc>
        <w:tc>
          <w:tcPr>
            <w:tcW w:w="4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780" w:type="dxa"/>
            <w:vAlign w:val="bottom"/>
          </w:tcPr>
          <w:p>
            <w:pPr>
              <w:ind w:left="280"/>
              <w:spacing w:after="0" w:line="130" w:lineRule="exact"/>
              <w:rPr>
                <w:sz w:val="20"/>
                <w:szCs w:val="20"/>
                <w:color w:val="auto"/>
              </w:rPr>
            </w:pPr>
            <w:r>
              <w:rPr>
                <w:rFonts w:ascii="Arial" w:cs="Arial" w:eastAsia="Arial" w:hAnsi="Arial"/>
                <w:sz w:val="14"/>
                <w:szCs w:val="14"/>
                <w:color w:val="auto"/>
              </w:rPr>
              <w:t>Investment per share held by stockholder A (assumed to be $10.00 per share on shares</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auto"/>
              </w:rPr>
              <w:t>held prior to sale)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9.77</w:t>
            </w:r>
          </w:p>
        </w:tc>
        <w:tc>
          <w:tcPr>
            <w:tcW w:w="38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(2.30)%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9.42</w:t>
            </w:r>
          </w:p>
        </w:tc>
        <w:tc>
          <w:tcPr>
            <w:tcW w:w="40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78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(Dilution)/accretion per share held by stockholder A (NAV per share less investment per</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(0.27)</w:t>
            </w:r>
          </w:p>
        </w:tc>
        <w:tc>
          <w:tcPr>
            <w:tcW w:w="3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0.08</w:t>
            </w:r>
          </w:p>
        </w:tc>
        <w:tc>
          <w:tcPr>
            <w:tcW w:w="4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780" w:type="dxa"/>
            <w:vAlign w:val="bottom"/>
          </w:tcPr>
          <w:p>
            <w:pPr>
              <w:ind w:left="280"/>
              <w:spacing w:after="0" w:line="130" w:lineRule="exact"/>
              <w:rPr>
                <w:sz w:val="20"/>
                <w:szCs w:val="20"/>
                <w:color w:val="auto"/>
              </w:rPr>
            </w:pPr>
            <w:r>
              <w:rPr>
                <w:rFonts w:ascii="Arial" w:cs="Arial" w:eastAsia="Arial" w:hAnsi="Arial"/>
                <w:sz w:val="14"/>
                <w:szCs w:val="14"/>
                <w:color w:val="auto"/>
              </w:rPr>
              <w:t>Percentage (dilution)/accretion to stockholder A (dilution/accretion per share divided by</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auto"/>
              </w:rPr>
              <w:t>investment per share)</w:t>
            </w:r>
          </w:p>
        </w:tc>
        <w:tc>
          <w:tcPr>
            <w:tcW w:w="80" w:type="dxa"/>
            <w:vAlign w:val="bottom"/>
          </w:tcPr>
          <w:p>
            <w:pPr>
              <w:spacing w:after="0"/>
              <w:rPr>
                <w:sz w:val="17"/>
                <w:szCs w:val="17"/>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from NAV per share, although it is not possible to predict the level of market price decline that may occur. Actual sales prices and discounts may differ from the presentation below.</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250,000 shares (25% of the outstanding shares) at $7.50 per share after offering expenses and commissions (a 25% discount from NAV).</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2"/>
              </w:rPr>
              <w:t>Example 1</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w w:val="92"/>
              </w:rPr>
              <w:t>Example 2</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w w:val="95"/>
              </w:rPr>
              <w:t>Example 3</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left="408"/>
              <w:spacing w:after="0" w:line="149" w:lineRule="exact"/>
              <w:rPr>
                <w:sz w:val="20"/>
                <w:szCs w:val="20"/>
                <w:color w:val="auto"/>
              </w:rPr>
            </w:pPr>
            <w:r>
              <w:rPr>
                <w:rFonts w:ascii="Arial" w:cs="Arial" w:eastAsia="Arial" w:hAnsi="Arial"/>
                <w:sz w:val="14"/>
                <w:szCs w:val="14"/>
                <w:b w:val="1"/>
                <w:bCs w:val="1"/>
                <w:color w:val="auto"/>
                <w:w w:val="99"/>
              </w:rPr>
              <w:t>5% Offering</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0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9"/>
              </w:rPr>
              <w:t>Prior to Sale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at 5% Discount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10% Discount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8"/>
              </w:rPr>
              <w:t>Following</w:t>
            </w:r>
          </w:p>
        </w:tc>
        <w:tc>
          <w:tcPr>
            <w:tcW w:w="62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8"/>
              </w:rPr>
              <w:t>Following</w:t>
            </w:r>
          </w:p>
        </w:tc>
        <w:tc>
          <w:tcPr>
            <w:tcW w:w="620" w:type="dxa"/>
            <w:vAlign w:val="bottom"/>
            <w:tcBorders>
              <w:top w:val="single" w:sz="8" w:color="auto"/>
            </w:tcBorders>
          </w:tcPr>
          <w:p>
            <w:pPr>
              <w:ind w:left="240"/>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Below NAV</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Sale</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Sale</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Sale</w:t>
            </w: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i w:val="1"/>
                <w:iCs w:val="1"/>
                <w:color w:val="auto"/>
              </w:rPr>
              <w:t>Offering Price</w:t>
            </w: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9.47</w:t>
            </w: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7.89</w:t>
            </w:r>
          </w:p>
        </w:tc>
        <w:tc>
          <w:tcPr>
            <w:tcW w:w="40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Net offering proceeds per share to issuer</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9.50</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9.00</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7.50</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b w:val="1"/>
                <w:bCs w:val="1"/>
                <w:i w:val="1"/>
                <w:iCs w:val="1"/>
                <w:color w:val="auto"/>
              </w:rPr>
              <w:t>Decrease to NAV</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1,050,000</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5.00 %</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1,100,000</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10.00 %</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1,250,000</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25.00 %</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NAV per share</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9.98</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(0.20)%</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9.91</w:t>
            </w:r>
          </w:p>
        </w:tc>
        <w:tc>
          <w:tcPr>
            <w:tcW w:w="4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(0.90)%</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9.50</w:t>
            </w:r>
          </w:p>
        </w:tc>
        <w:tc>
          <w:tcPr>
            <w:tcW w:w="4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 to Stockholder A</w:t>
            </w: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2,500</w:t>
            </w:r>
          </w:p>
        </w:tc>
        <w:tc>
          <w:tcPr>
            <w:tcW w:w="40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0.05%</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0.90%</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0.20%</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NAV held by stockholder A</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4,990</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9,910</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23,750</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ind w:left="300"/>
              <w:spacing w:after="0"/>
              <w:rPr>
                <w:sz w:val="20"/>
                <w:szCs w:val="20"/>
                <w:color w:val="auto"/>
              </w:rPr>
            </w:pPr>
            <w:r>
              <w:rPr>
                <w:rFonts w:ascii="Arial" w:cs="Arial" w:eastAsia="Arial" w:hAnsi="Arial"/>
                <w:sz w:val="14"/>
                <w:szCs w:val="14"/>
                <w:color w:val="auto"/>
              </w:rPr>
              <w:t>Total investment by stockholder A</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5,000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9,470</w:t>
            </w: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19,725</w:t>
            </w:r>
          </w:p>
        </w:tc>
        <w:tc>
          <w:tcPr>
            <w:tcW w:w="40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Total dilution to stockholder A (total NAV less</w:t>
            </w: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investment)</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440</w:t>
            </w:r>
          </w:p>
        </w:tc>
        <w:tc>
          <w:tcPr>
            <w:tcW w:w="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4,025</w:t>
            </w:r>
          </w:p>
        </w:tc>
        <w:tc>
          <w:tcPr>
            <w:tcW w:w="4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NAV per share held by stockholder A</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9.98</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9.91</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9.50</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ind w:left="300"/>
              <w:spacing w:after="0"/>
              <w:rPr>
                <w:sz w:val="20"/>
                <w:szCs w:val="20"/>
                <w:color w:val="auto"/>
              </w:rPr>
            </w:pPr>
            <w:r>
              <w:rPr>
                <w:rFonts w:ascii="Arial" w:cs="Arial" w:eastAsia="Arial" w:hAnsi="Arial"/>
                <w:sz w:val="14"/>
                <w:szCs w:val="14"/>
                <w:color w:val="auto"/>
              </w:rPr>
              <w:t>Investment per share held by stockholder A</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9.47</w:t>
            </w: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7.89</w:t>
            </w:r>
          </w:p>
        </w:tc>
        <w:tc>
          <w:tcPr>
            <w:tcW w:w="40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Dilution per share held by stockholder A (NAV</w:t>
            </w: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per share less investment per share)</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0.44</w:t>
            </w:r>
          </w:p>
        </w:tc>
        <w:tc>
          <w:tcPr>
            <w:tcW w:w="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4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20" w:type="dxa"/>
            <w:vAlign w:val="bottom"/>
          </w:tcPr>
          <w:p>
            <w:pPr>
              <w:ind w:left="300"/>
              <w:spacing w:after="0" w:line="130" w:lineRule="exact"/>
              <w:rPr>
                <w:sz w:val="20"/>
                <w:szCs w:val="20"/>
                <w:color w:val="auto"/>
              </w:rPr>
            </w:pPr>
            <w:r>
              <w:rPr>
                <w:rFonts w:ascii="Arial" w:cs="Arial" w:eastAsia="Arial" w:hAnsi="Arial"/>
                <w:sz w:val="14"/>
                <w:szCs w:val="14"/>
                <w:color w:val="auto"/>
              </w:rPr>
              <w:t>Percentage dilution to stockholder A (dilution</w:t>
            </w: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420" w:type="dxa"/>
            <w:vAlign w:val="bottom"/>
          </w:tcPr>
          <w:p>
            <w:pPr>
              <w:ind w:left="300"/>
              <w:spacing w:after="0"/>
              <w:rPr>
                <w:sz w:val="20"/>
                <w:szCs w:val="20"/>
                <w:color w:val="auto"/>
              </w:rPr>
            </w:pPr>
            <w:r>
              <w:rPr>
                <w:rFonts w:ascii="Arial" w:cs="Arial" w:eastAsia="Arial" w:hAnsi="Arial"/>
                <w:sz w:val="14"/>
                <w:szCs w:val="14"/>
                <w:color w:val="auto"/>
              </w:rPr>
              <w:t>per share divided by investment per share)</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4.65 %</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October 1, 2008:</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Record Dates</w:t>
            </w:r>
          </w:p>
        </w:tc>
        <w:tc>
          <w:tcPr>
            <w:tcW w:w="3520" w:type="dxa"/>
            <w:vAlign w:val="bottom"/>
            <w:gridSpan w:val="3"/>
            <w:vMerge w:val="restart"/>
          </w:tcPr>
          <w:p>
            <w:pPr>
              <w:jc w:val="right"/>
              <w:ind w:right="1000"/>
              <w:spacing w:after="0"/>
              <w:rPr>
                <w:sz w:val="20"/>
                <w:szCs w:val="20"/>
                <w:color w:val="auto"/>
              </w:rPr>
            </w:pPr>
            <w:r>
              <w:rPr>
                <w:rFonts w:ascii="Arial" w:cs="Arial" w:eastAsia="Arial" w:hAnsi="Arial"/>
                <w:sz w:val="14"/>
                <w:szCs w:val="14"/>
                <w:b w:val="1"/>
                <w:bCs w:val="1"/>
                <w:color w:val="auto"/>
              </w:rPr>
              <w:t>Payment Dates</w:t>
            </w:r>
          </w:p>
        </w:tc>
        <w:tc>
          <w:tcPr>
            <w:tcW w:w="18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Distributions</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35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6"/>
              </w:rPr>
              <w:t>Fiscal Year</w:t>
            </w:r>
          </w:p>
        </w:tc>
        <w:tc>
          <w:tcPr>
            <w:tcW w:w="3780" w:type="dxa"/>
            <w:vAlign w:val="bottom"/>
            <w:tcBorders>
              <w:top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b w:val="1"/>
                <w:bCs w:val="1"/>
                <w:color w:val="auto"/>
              </w:rPr>
              <w:t>Ending September 30, 2014</w:t>
            </w:r>
          </w:p>
        </w:tc>
        <w:tc>
          <w:tcPr>
            <w:tcW w:w="16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December 20, 2013</w:t>
            </w:r>
          </w:p>
        </w:tc>
        <w:tc>
          <w:tcPr>
            <w:tcW w:w="1600" w:type="dxa"/>
            <w:vAlign w:val="bottom"/>
          </w:tcPr>
          <w:p>
            <w:pPr>
              <w:spacing w:after="0"/>
              <w:rPr>
                <w:sz w:val="20"/>
                <w:szCs w:val="20"/>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January 2, 2014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53"/>
        </w:trPr>
        <w:tc>
          <w:tcPr>
            <w:tcW w:w="84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September 20, 2013</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1, 2013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21, 2013</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2013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March 22, 2013</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2013</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21, 2012</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2, 2013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4"/>
        </w:trPr>
        <w:tc>
          <w:tcPr>
            <w:tcW w:w="46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September 20, 2012</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1, 2012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21, 2012</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2, 2012</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March 22, 2012</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April 2, 2012</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23, 2011</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3, 2012</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4"/>
        </w:trPr>
        <w:tc>
          <w:tcPr>
            <w:tcW w:w="46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September 23, 2011</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3, 2011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20, 2011</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2011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March 15, 2011</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2011</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17, 2010</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3, 2011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24"/>
        </w:trPr>
        <w:tc>
          <w:tcPr>
            <w:tcW w:w="46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2010</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September 14, 2010</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1, 2010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24, 2010</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2010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March 25, 2010</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2010</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24, 2009</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4, 2010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4"/>
        </w:trPr>
        <w:tc>
          <w:tcPr>
            <w:tcW w:w="46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September 8, 2009</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1, 2009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24, 2009</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2009</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March 25, 2009</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2009</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23, 2008</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4, 2009</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4"/>
        </w:trPr>
        <w:tc>
          <w:tcPr>
            <w:tcW w:w="46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 Form 1099-DIV will be sent to stockholders that will state the amount and composition of distributions and provide information with respect to appropriate tax treatment of our distributions.</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ratio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Unregistered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did not engage in any sales of unregistered securities during the fiscal years ended September 30, 2013, 2012 and 2011, respectively.</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12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4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 regions.</w:t>
      </w:r>
    </w:p>
    <w:p>
      <w:pPr>
        <w:spacing w:after="0" w:line="1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have elected to be treated, and intend to qualify annually as a RIC under the Code.</w:t>
      </w:r>
    </w:p>
    <w:p>
      <w:pPr>
        <w:spacing w:after="0" w:line="70" w:lineRule="exact"/>
        <w:rPr>
          <w:sz w:val="20"/>
          <w:szCs w:val="20"/>
          <w:color w:val="auto"/>
        </w:rPr>
      </w:pPr>
    </w:p>
    <w:p>
      <w:pPr>
        <w:ind w:right="420" w:firstLine="456"/>
        <w:spacing w:after="0" w:line="279" w:lineRule="auto"/>
        <w:rPr>
          <w:sz w:val="20"/>
          <w:szCs w:val="20"/>
          <w:color w:val="auto"/>
        </w:rPr>
      </w:pPr>
      <w:r>
        <w:rPr>
          <w:rFonts w:ascii="Arial" w:cs="Arial" w:eastAsia="Arial" w:hAnsi="Arial"/>
          <w:sz w:val="17"/>
          <w:szCs w:val="17"/>
          <w:color w:val="auto"/>
        </w:rPr>
        <w:t>Our wholly owned subsidiaries, SBIC LP and SBIC II, were organized as Delaware limited partnerships in May 2010 and July 2012, respectively. SBIC LP and SBIC II received licenses from the SBA to operate as SBICs, under Section 301(c) of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$1.8 billion in debt and equity capital and has invested approximately $3.0 billion in almost 300 companies with 125 different financial sponsors through its managed funds.</w:t>
      </w:r>
    </w:p>
    <w:p>
      <w:pPr>
        <w:spacing w:after="0" w:line="18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900" w:hanging="325"/>
        <w:spacing w:after="0" w:line="261"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 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85" w:lineRule="exact"/>
        <w:rPr>
          <w:rFonts w:ascii="Arial" w:cs="Arial" w:eastAsia="Arial" w:hAnsi="Arial"/>
          <w:sz w:val="18"/>
          <w:szCs w:val="18"/>
          <w:color w:val="auto"/>
        </w:rPr>
      </w:pPr>
    </w:p>
    <w:p>
      <w:pPr>
        <w:ind w:left="900" w:right="220" w:hanging="325"/>
        <w:spacing w:after="0" w:line="266"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hedge funds and CLO funds have, and may again, withdraw capital from the middle-market, resulting in opportunities for alternative funding sources.</w:t>
      </w:r>
    </w:p>
    <w:p>
      <w:pPr>
        <w:spacing w:after="0" w:line="81" w:lineRule="exact"/>
        <w:rPr>
          <w:rFonts w:ascii="Arial" w:cs="Arial" w:eastAsia="Arial" w:hAnsi="Arial"/>
          <w:sz w:val="18"/>
          <w:szCs w:val="18"/>
          <w:color w:val="auto"/>
        </w:rPr>
      </w:pPr>
    </w:p>
    <w:p>
      <w:pPr>
        <w:ind w:left="900" w:right="40" w:hanging="325"/>
        <w:spacing w:after="0" w:line="289"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that the current credit market dislocation for middle-market companies improves the risk-adjusted returns of our investments. </w:t>
      </w:r>
      <w:r>
        <w:rPr>
          <w:rFonts w:ascii="Arial" w:cs="Arial" w:eastAsia="Arial" w:hAnsi="Arial"/>
          <w:sz w:val="17"/>
          <w:szCs w:val="17"/>
          <w:color w:val="auto"/>
        </w:rPr>
        <w:t>In the current credit environment, market participants have reduced lending to middle-market and non-investment grade borrowers.</w:t>
      </w:r>
      <w:r>
        <w:rPr>
          <w:rFonts w:ascii="Arial" w:cs="Arial" w:eastAsia="Arial" w:hAnsi="Arial"/>
          <w:sz w:val="17"/>
          <w:szCs w:val="17"/>
          <w:b w:val="1"/>
          <w:bCs w:val="1"/>
          <w:color w:val="auto"/>
        </w:rPr>
        <w:t xml:space="preserve"> </w:t>
      </w:r>
      <w:r>
        <w:rPr>
          <w:rFonts w:ascii="Arial" w:cs="Arial" w:eastAsia="Arial" w:hAnsi="Arial"/>
          <w:sz w:val="17"/>
          <w:szCs w:val="17"/>
          <w:color w:val="auto"/>
        </w:rPr>
        <w:t>As a result, there is less competition in our market, more conservative capital structures, higher yields and stronger covenants.</w:t>
      </w:r>
    </w:p>
    <w:p>
      <w:pPr>
        <w:spacing w:after="0" w:line="63" w:lineRule="exact"/>
        <w:rPr>
          <w:rFonts w:ascii="Arial" w:cs="Arial" w:eastAsia="Arial" w:hAnsi="Arial"/>
          <w:sz w:val="17"/>
          <w:szCs w:val="17"/>
          <w:color w:val="auto"/>
        </w:rPr>
      </w:pPr>
    </w:p>
    <w:p>
      <w:pPr>
        <w:ind w:left="900" w:right="120" w:hanging="325"/>
        <w:spacing w:after="0" w:line="277"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7"/>
          <w:szCs w:val="17"/>
          <w:color w:val="auto"/>
        </w:rPr>
        <w:t>We expect that private equity firms will continue to be active investors in middle-market companies. These</w:t>
      </w:r>
      <w:r>
        <w:rPr>
          <w:rFonts w:ascii="Arial" w:cs="Arial" w:eastAsia="Arial" w:hAnsi="Arial"/>
          <w:sz w:val="17"/>
          <w:szCs w:val="17"/>
          <w:b w:val="1"/>
          <w:bCs w:val="1"/>
          <w:color w:val="auto"/>
        </w:rPr>
        <w:t xml:space="preserve"> </w:t>
      </w:r>
      <w:r>
        <w:rPr>
          <w:rFonts w:ascii="Arial" w:cs="Arial" w:eastAsia="Arial" w:hAnsi="Arial"/>
          <w:sz w:val="17"/>
          <w:szCs w:val="17"/>
          <w:color w:val="auto"/>
        </w:rPr>
        <w:t>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73"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there is a substantial supply of opportunities. </w:t>
      </w:r>
      <w:r>
        <w:rPr>
          <w:rFonts w:ascii="Arial" w:cs="Arial" w:eastAsia="Arial" w:hAnsi="Arial"/>
          <w:sz w:val="17"/>
          <w:szCs w:val="17"/>
          <w:color w:val="auto"/>
        </w:rPr>
        <w:t>A high volume of financings will come due in the next few years. Additionally, we</w:t>
      </w:r>
      <w:r>
        <w:rPr>
          <w:rFonts w:ascii="Arial" w:cs="Arial" w:eastAsia="Arial" w:hAnsi="Arial"/>
          <w:sz w:val="17"/>
          <w:szCs w:val="17"/>
          <w:b w:val="1"/>
          <w:bCs w:val="1"/>
          <w:color w:val="auto"/>
        </w:rPr>
        <w:t xml:space="preserve"> </w:t>
      </w:r>
      <w:r>
        <w:rPr>
          <w:rFonts w:ascii="Arial" w:cs="Arial" w:eastAsia="Arial" w:hAnsi="Arial"/>
          <w:sz w:val="17"/>
          <w:szCs w:val="17"/>
          <w:color w:val="auto"/>
        </w:rPr>
        <w:t>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Advantages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13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Experienced Management Team</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senior investment professionals of our Investment Adviser have worked together for many years and average over 25 years of experience in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Lending to middle-market companies requires deep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214"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Disciplined Investment Approach with Strong Value Orientation</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5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31" w:lineRule="exact"/>
        <w:rPr>
          <w:sz w:val="20"/>
          <w:szCs w:val="20"/>
          <w:color w:val="auto"/>
        </w:rPr>
      </w:pPr>
    </w:p>
    <w:p>
      <w:pPr>
        <w:ind w:left="900" w:hanging="325"/>
        <w:spacing w:after="0"/>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Ability to Source and Evaluate Transactions through our Investment Adviser’s Research Capability and Established Network</w:t>
      </w:r>
    </w:p>
    <w:p>
      <w:pPr>
        <w:spacing w:after="0" w:line="1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60" w:right="2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Flexible Transaction Structuring</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58" w:lineRule="exact"/>
        <w:rPr>
          <w:sz w:val="20"/>
          <w:szCs w:val="20"/>
          <w:color w:val="auto"/>
        </w:rPr>
      </w:pPr>
    </w:p>
    <w:p>
      <w:pPr>
        <w:jc w:val="both"/>
        <w:ind w:right="160" w:firstLine="456"/>
        <w:spacing w:after="0" w:line="297"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maintain a multi-currency $430.0 million Credit Facility which matures in February 2016 and is secured by substantially all of our investment portfolio assets (excluding the assets of our SBIC Funds), under which we had $145.5 million (including a $28.0 million temporary draw) and $145.0 million (including a $35.5 million temporary draw) of debt outstanding with a weighted average interest rate of 3.33% and 3.49% as of September 30, 2013 and 2012, respectively. Pricing of borrowings under our current Credit Facility is set at 275 basis points over LIBOR. As of September 30, 2013 and 2012, we had $284.5 million and $235.0 million, respectively, available to us under our Credit Facility. We believe that our capital resources will provide us with the flexibility to take advantage of market opportunities when they arise. Our use of leverage, as calculated under the asset coverage requirements of the 1940 Act, may generally range between 60% to 80% of our net assets.</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of September 30, 2013 and 2012, SBIC LP had drawn $150.0 million in SBA debentures, with a weighted average interest rate of 3.70%, exclusive of 3.43% of upfront fees (4.04% inclusive of the upfront fees), and had no remaining borrowing capacity.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priority claim over such assets relative to all other creditors. See “Regulation” for more information.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January 2013, we issued $71.3 million in aggregate principal amount of 2025 Notes. Interest on the 2025 Notes accrues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60"/>
          </w:cols>
          <w:pgMar w:left="240" w:top="459" w:right="3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Investment Policy Overview</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seek to create a diversified portfolio that includes senior secured loans, mezzanine debt and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64"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Over time, we expect that our portfolio will continue to consist primarily of senior secured loans, mezzanine debt and, to a lesser extent, equity investments in qualifying assets such as private or thinly traded or small market-capitalization, U.S. middle market public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Selection Criteria” for more information.</w:t>
      </w:r>
    </w:p>
    <w:p>
      <w:pPr>
        <w:spacing w:after="0" w:line="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Senior Secured Debt</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Mezzanine Debt</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loans, mezzanine debt generally earns a higher return than senior secured loans.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efficiently and effectively.</w:t>
      </w:r>
    </w:p>
    <w:p>
      <w:pPr>
        <w:spacing w:after="0" w:line="214"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Leading and defensible competitive market positions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also seeks portfolio companies that it believes possess competitive advantages in scale, scope, customer loyalty, product pricing or product quality as compared to their competitors to protect their market position.</w:t>
      </w:r>
    </w:p>
    <w:p>
      <w:pPr>
        <w:spacing w:after="0" w:line="214"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stable borrowers with positive cash flow</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investment philosophy places a premium on fundamental analysis and has a distinct value-orientation. 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200"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Proven management teams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208"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sponsorship</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high-quality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ability, and a strong incentive, to contribute additional capital in difficult economic times should financial or operational issues arise so as to maintain their ownership position.</w:t>
      </w:r>
    </w:p>
    <w:p>
      <w:pPr>
        <w:spacing w:after="0" w:line="181"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in different borrowers and industries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Investment Adviser seeks to invest our assets broadly among portfolio companies and across industries. The Investment Adviser believes that this diversified approach may reduce the risk that a downturn in any one portfolio company or industry will have a disproportionate impact on the value of our portfolio.</w:t>
      </w:r>
    </w:p>
    <w:p>
      <w:pPr>
        <w:spacing w:after="0" w:line="208"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Viable exit strategy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Investment Adviser seeks to invest in portfolio companies that we believe will provide a steady stream of cash flow to repay our loans while also reinvesting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also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Diligence</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131"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7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Upon the completion of due diligence and a decision to proceed with an investment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Investment Adviser monitors credit risk of each portfolio company regularly and periodically with a goal toward identifying early, and when able and appropriate, exiting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Typically, our mezzanine debt has maturities of three to ten years. Mezzanine debt may have interest-only payments in the early years with cash or PIK payments with amortization of principal deferred to the later years. In some cases, we may invest in debt securities that, by their terms, convert into equity or additional debt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securities or defers payment of interest for the first few years after our investment. Also, in some cases our mezzanine debt may be collateralized by a subordinated lien on some or all of the assets of the borrower.</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92" w:lineRule="exact"/>
        <w:rPr>
          <w:sz w:val="20"/>
          <w:szCs w:val="20"/>
          <w:color w:val="auto"/>
        </w:rPr>
      </w:pPr>
    </w:p>
    <w:p>
      <w:pPr>
        <w:ind w:left="900" w:right="200" w:hanging="67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75" w:lineRule="exact"/>
        <w:rPr>
          <w:rFonts w:ascii="Arial" w:cs="Arial" w:eastAsia="Arial" w:hAnsi="Arial"/>
          <w:sz w:val="18"/>
          <w:szCs w:val="18"/>
          <w:color w:val="auto"/>
        </w:rPr>
      </w:pPr>
    </w:p>
    <w:p>
      <w:pPr>
        <w:ind w:left="900" w:hanging="67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130" w:lineRule="exact"/>
        <w:rPr>
          <w:rFonts w:ascii="Arial" w:cs="Arial" w:eastAsia="Arial" w:hAnsi="Arial"/>
          <w:sz w:val="18"/>
          <w:szCs w:val="18"/>
          <w:color w:val="auto"/>
        </w:rPr>
      </w:pPr>
    </w:p>
    <w:p>
      <w:pPr>
        <w:jc w:val="both"/>
        <w:ind w:left="900" w:right="40" w:hanging="676"/>
        <w:spacing w:after="0" w:line="286"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6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93"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We expect to hold most of our investments to maturity or repayment, but we may sell certain investments earlier if a liquidity event takes place, such as the sale or refinancing of a portfolio company. We also may turn over investments to better position the portfolio in light of market conditions.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Monitoring</w:t>
      </w:r>
    </w:p>
    <w:p>
      <w:pPr>
        <w:spacing w:after="0" w:line="11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The Investment Adviser monitors our portfolio companies on an ongoing basis. The Investment Adviser also monitors the financial trends of each portfolio company to determine if it is meeting its business plan and to assess the appropriate course of action for each portfolio company.</w:t>
      </w:r>
    </w:p>
    <w:p>
      <w:pPr>
        <w:spacing w:after="0" w:line="3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76" w:lineRule="exact"/>
        <w:rPr>
          <w:sz w:val="20"/>
          <w:szCs w:val="20"/>
          <w:color w:val="auto"/>
        </w:rPr>
      </w:pPr>
    </w:p>
    <w:p>
      <w:pPr>
        <w:ind w:left="900" w:hanging="67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130" w:lineRule="exact"/>
        <w:rPr>
          <w:rFonts w:ascii="Arial" w:cs="Arial" w:eastAsia="Arial" w:hAnsi="Arial"/>
          <w:sz w:val="18"/>
          <w:szCs w:val="18"/>
          <w:color w:val="auto"/>
        </w:rPr>
      </w:pPr>
    </w:p>
    <w:p>
      <w:pPr>
        <w:ind w:left="900" w:right="480" w:hanging="67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67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130" w:lineRule="exact"/>
        <w:rPr>
          <w:rFonts w:ascii="Arial" w:cs="Arial" w:eastAsia="Arial" w:hAnsi="Arial"/>
          <w:sz w:val="18"/>
          <w:szCs w:val="18"/>
          <w:color w:val="auto"/>
        </w:rPr>
      </w:pPr>
    </w:p>
    <w:p>
      <w:pPr>
        <w:ind w:left="900" w:hanging="67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130" w:lineRule="exact"/>
        <w:rPr>
          <w:rFonts w:ascii="Arial" w:cs="Arial" w:eastAsia="Arial" w:hAnsi="Arial"/>
          <w:sz w:val="18"/>
          <w:szCs w:val="18"/>
          <w:color w:val="auto"/>
        </w:rPr>
      </w:pPr>
    </w:p>
    <w:p>
      <w:pPr>
        <w:ind w:left="900" w:hanging="67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60"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Staffing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mezzanine lending, leveraged finance, distressed debt and private equity businesses.</w:t>
      </w:r>
    </w:p>
    <w:p>
      <w:pPr>
        <w:spacing w:after="0" w:line="28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Consolidated Portfolio</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Aerospace and Defense</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Environmental Services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Auto Sector</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Financial Services</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   Beverage, Food and Tobacco</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Grocery</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Broadcasting and Entertainment</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   Healthcare, Education and Childcare</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   Buildings and Real Estate</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   Home &amp; Office Furnishings, Housewares &amp;</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Business Services</w:t>
            </w:r>
          </w:p>
        </w:tc>
        <w:tc>
          <w:tcPr>
            <w:tcW w:w="54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Durable Consumer Products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Cable Television</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   Hotels, Motels, Inns and Gaming</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Cargo Transportation</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Insurance</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   Chemicals, Plastics and Rubber</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w w:val="94"/>
              </w:rPr>
              <w:t>•   Leisure, Amusement, Motion Picture, Entertainment</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Communications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Logistics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Consumer Products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Manufacturing/Basic Industries</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   Containers Packaging &amp; Glass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Media</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Distribution</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   Mining, Steel, Iron and Non-Precious Metals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Diversified/Conglomerate Manufacturing</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Oil and Gas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Diversified/Conglomerate Services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Other Media</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w w:val="99"/>
              </w:rPr>
              <w:t>•   Diversified Natural Resources, Precious Metals and Minerals</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   Personal, Food and Miscellaneous Services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Education</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Printing and Publishing</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Electronics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Retail Stores</w:t>
            </w:r>
          </w:p>
        </w:tc>
      </w:t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Energy/Utilities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Telecommunications</w:t>
            </w:r>
          </w:p>
        </w:tc>
      </w:tr>
    </w:tbl>
    <w:p>
      <w:pPr>
        <w:spacing w:after="0" w:line="37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 September 30: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Portfolio Company</w:t>
            </w:r>
          </w:p>
        </w:tc>
        <w:tc>
          <w:tcPr>
            <w:tcW w:w="34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2013</w:t>
            </w:r>
          </w:p>
        </w:tc>
        <w:tc>
          <w:tcPr>
            <w:tcW w:w="3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Portfolio Company</w:t>
            </w:r>
          </w:p>
        </w:tc>
        <w:tc>
          <w:tcPr>
            <w:tcW w:w="26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Pre-Paid Legal Services, Inc.</w:t>
            </w: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Last Mile Funding, Corp. (3 PD, Inc.)</w:t>
            </w:r>
          </w:p>
        </w:tc>
        <w:tc>
          <w:tcPr>
            <w:tcW w:w="8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2"/>
            <w:vMerge w:val="continue"/>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300" w:type="dxa"/>
            <w:vAlign w:val="bottom"/>
            <w:vMerge w:val="continue"/>
          </w:tcPr>
          <w:p>
            <w:pPr>
              <w:spacing w:after="0"/>
              <w:rPr>
                <w:sz w:val="17"/>
                <w:szCs w:val="17"/>
                <w:color w:val="auto"/>
              </w:rPr>
            </w:pPr>
          </w:p>
        </w:tc>
        <w:tc>
          <w:tcPr>
            <w:tcW w:w="416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49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Magnum Hunter Resources Corporation</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60" w:type="dxa"/>
            <w:vAlign w:val="bottom"/>
            <w:gridSpan w:val="2"/>
          </w:tcPr>
          <w:p>
            <w:pPr>
              <w:spacing w:after="0" w:line="201" w:lineRule="exact"/>
              <w:rPr>
                <w:sz w:val="20"/>
                <w:szCs w:val="20"/>
                <w:color w:val="auto"/>
              </w:rPr>
            </w:pPr>
            <w:r>
              <w:rPr>
                <w:rFonts w:ascii="Arial" w:cs="Arial" w:eastAsia="Arial" w:hAnsi="Arial"/>
                <w:sz w:val="18"/>
                <w:szCs w:val="18"/>
                <w:color w:val="auto"/>
              </w:rPr>
              <w:t>Magnum Hunter Resources Corporation</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(Eureka Hunter Pipeline, LLC)</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1"/>
                <w:szCs w:val="21"/>
                <w:color w:val="auto"/>
              </w:rPr>
            </w:pP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(Eureka Hunter Pipeline, LLC)</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Brand Energy and Infrastructure Services, Inc.</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LTI Flexible Products, Inc.</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92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Jacobs Entertainment, Inc.</w:t>
            </w:r>
          </w:p>
        </w:tc>
        <w:tc>
          <w:tcPr>
            <w:tcW w:w="56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5"/>
                <w:szCs w:val="15"/>
                <w:color w:val="auto"/>
              </w:rPr>
            </w:pPr>
          </w:p>
        </w:tc>
        <w:tc>
          <w:tcPr>
            <w:tcW w:w="4160" w:type="dxa"/>
            <w:vAlign w:val="bottom"/>
            <w:gridSpan w:val="2"/>
          </w:tcPr>
          <w:p>
            <w:pPr>
              <w:spacing w:after="0" w:line="182" w:lineRule="exact"/>
              <w:rPr>
                <w:sz w:val="20"/>
                <w:szCs w:val="20"/>
                <w:color w:val="auto"/>
              </w:rPr>
            </w:pPr>
            <w:r>
              <w:rPr>
                <w:rFonts w:ascii="Arial" w:cs="Arial" w:eastAsia="Arial" w:hAnsi="Arial"/>
                <w:sz w:val="18"/>
                <w:szCs w:val="18"/>
                <w:color w:val="auto"/>
              </w:rPr>
              <w:t>New Service Champ Holdings, Inc.</w:t>
            </w: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5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spacing w:after="0"/>
              <w:rPr>
                <w:sz w:val="3"/>
                <w:szCs w:val="3"/>
                <w:color w:val="auto"/>
              </w:rPr>
            </w:pPr>
          </w:p>
        </w:tc>
        <w:tc>
          <w:tcPr>
            <w:tcW w:w="4160" w:type="dxa"/>
            <w:vAlign w:val="bottom"/>
            <w:gridSpan w:val="2"/>
            <w:vMerge w:val="restart"/>
          </w:tcPr>
          <w:p>
            <w:pPr>
              <w:ind w:left="180"/>
              <w:spacing w:after="0"/>
              <w:rPr>
                <w:sz w:val="20"/>
                <w:szCs w:val="20"/>
                <w:color w:val="auto"/>
              </w:rPr>
            </w:pPr>
            <w:r>
              <w:rPr>
                <w:rFonts w:ascii="Arial" w:cs="Arial" w:eastAsia="Arial" w:hAnsi="Arial"/>
                <w:sz w:val="18"/>
                <w:szCs w:val="18"/>
                <w:color w:val="auto"/>
              </w:rPr>
              <w:t>(Service Champ Inc.)</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4</w:t>
            </w:r>
          </w:p>
        </w:tc>
        <w:tc>
          <w:tcPr>
            <w:tcW w:w="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LTI Flexible Products, Inc.</w:t>
            </w:r>
          </w:p>
        </w:tc>
        <w:tc>
          <w:tcPr>
            <w:tcW w:w="560" w:type="dxa"/>
            <w:vAlign w:val="bottom"/>
            <w:tcBorders>
              <w:bottom w:val="single" w:sz="8" w:color="CCEEFF"/>
            </w:tcBorders>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4</w:t>
            </w:r>
          </w:p>
        </w:tc>
        <w:tc>
          <w:tcPr>
            <w:tcW w:w="300" w:type="dxa"/>
            <w:vAlign w:val="bottom"/>
            <w:vMerge w:val="continue"/>
          </w:tcPr>
          <w:p>
            <w:pPr>
              <w:spacing w:after="0"/>
              <w:rPr>
                <w:sz w:val="18"/>
                <w:szCs w:val="18"/>
                <w:color w:val="auto"/>
              </w:rPr>
            </w:pPr>
          </w:p>
        </w:tc>
        <w:tc>
          <w:tcPr>
            <w:tcW w:w="4160" w:type="dxa"/>
            <w:vAlign w:val="bottom"/>
            <w:tcBorders>
              <w:bottom w:val="single" w:sz="8" w:color="CCEEFF"/>
            </w:tcBorders>
            <w:gridSpan w:val="2"/>
            <w:vMerge w:val="continue"/>
          </w:tcPr>
          <w:p>
            <w:pPr>
              <w:spacing w:after="0"/>
              <w:rPr>
                <w:sz w:val="18"/>
                <w:szCs w:val="18"/>
                <w:color w:val="auto"/>
              </w:rPr>
            </w:pPr>
          </w:p>
        </w:tc>
        <w:tc>
          <w:tcPr>
            <w:tcW w:w="1160" w:type="dxa"/>
            <w:vAlign w:val="bottom"/>
            <w:tcBorders>
              <w:bottom w:val="single" w:sz="8" w:color="CCEEFF"/>
            </w:tcBorders>
            <w:gridSpan w:val="2"/>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2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Vestcom International, Inc.</w:t>
            </w:r>
          </w:p>
        </w:tc>
        <w:tc>
          <w:tcPr>
            <w:tcW w:w="560" w:type="dxa"/>
            <w:vAlign w:val="bottom"/>
            <w:gridSpan w:val="2"/>
          </w:tcPr>
          <w:p>
            <w:pPr>
              <w:jc w:val="right"/>
              <w:ind w:right="200"/>
              <w:spacing w:after="0" w:line="156"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5"/>
                <w:szCs w:val="15"/>
                <w:color w:val="auto"/>
              </w:rPr>
            </w:pPr>
          </w:p>
        </w:tc>
        <w:tc>
          <w:tcPr>
            <w:tcW w:w="416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Pre-Paid Legal Services, Inc.</w:t>
            </w:r>
          </w:p>
        </w:tc>
        <w:tc>
          <w:tcPr>
            <w:tcW w:w="116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6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American Gilsonite Company</w:t>
            </w:r>
          </w:p>
        </w:tc>
        <w:tc>
          <w:tcPr>
            <w:tcW w:w="11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3</w:t>
            </w:r>
          </w:p>
        </w:tc>
        <w:tc>
          <w:tcPr>
            <w:tcW w:w="1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Instant Web, Inc.</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446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920" w:type="dxa"/>
            <w:vAlign w:val="bottom"/>
            <w:gridSpan w:val="2"/>
            <w:vMerge w:val="continue"/>
            <w:shd w:val="clear" w:color="auto" w:fill="CCEEFF"/>
          </w:tcPr>
          <w:p>
            <w:pPr>
              <w:spacing w:after="0"/>
              <w:rPr>
                <w:sz w:val="5"/>
                <w:szCs w:val="5"/>
                <w:color w:val="auto"/>
              </w:rPr>
            </w:pPr>
          </w:p>
        </w:tc>
        <w:tc>
          <w:tcPr>
            <w:tcW w:w="560" w:type="dxa"/>
            <w:vAlign w:val="bottom"/>
            <w:gridSpan w:val="2"/>
            <w:vMerge w:val="continue"/>
            <w:shd w:val="clear" w:color="auto" w:fill="CCEEFF"/>
          </w:tcPr>
          <w:p>
            <w:pPr>
              <w:spacing w:after="0"/>
              <w:rPr>
                <w:sz w:val="5"/>
                <w:szCs w:val="5"/>
                <w:color w:val="auto"/>
              </w:rPr>
            </w:pPr>
          </w:p>
        </w:tc>
        <w:tc>
          <w:tcPr>
            <w:tcW w:w="300" w:type="dxa"/>
            <w:vAlign w:val="bottom"/>
          </w:tcPr>
          <w:p>
            <w:pPr>
              <w:spacing w:after="0"/>
              <w:rPr>
                <w:sz w:val="5"/>
                <w:szCs w:val="5"/>
                <w:color w:val="auto"/>
              </w:rPr>
            </w:pPr>
          </w:p>
        </w:tc>
        <w:tc>
          <w:tcPr>
            <w:tcW w:w="4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Brand Energy and Infrastructure Services, Inc.</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ind w:left="20"/>
              <w:spacing w:after="0"/>
              <w:rPr>
                <w:sz w:val="20"/>
                <w:szCs w:val="20"/>
                <w:color w:val="auto"/>
              </w:rPr>
            </w:pPr>
            <w:r>
              <w:rPr>
                <w:rFonts w:ascii="Arial" w:cs="Arial" w:eastAsia="Arial" w:hAnsi="Arial"/>
                <w:sz w:val="18"/>
                <w:szCs w:val="18"/>
                <w:color w:val="auto"/>
              </w:rPr>
              <w:t>Penton Media, Inc.</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2"/>
                <w:szCs w:val="12"/>
                <w:color w:val="auto"/>
              </w:rPr>
            </w:pPr>
          </w:p>
        </w:tc>
        <w:tc>
          <w:tcPr>
            <w:tcW w:w="4160" w:type="dxa"/>
            <w:vAlign w:val="bottom"/>
            <w:gridSpan w:val="2"/>
            <w:vMerge w:val="continue"/>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920" w:type="dxa"/>
            <w:vAlign w:val="bottom"/>
            <w:gridSpan w:val="2"/>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4460" w:type="dxa"/>
            <w:vAlign w:val="bottom"/>
            <w:gridSpan w:val="3"/>
            <w:vMerge w:val="restart"/>
          </w:tcPr>
          <w:p>
            <w:pPr>
              <w:ind w:left="300"/>
              <w:spacing w:after="0"/>
              <w:rPr>
                <w:sz w:val="20"/>
                <w:szCs w:val="20"/>
                <w:color w:val="auto"/>
              </w:rPr>
            </w:pPr>
            <w:r>
              <w:rPr>
                <w:rFonts w:ascii="Arial" w:cs="Arial" w:eastAsia="Arial" w:hAnsi="Arial"/>
                <w:sz w:val="18"/>
                <w:szCs w:val="18"/>
                <w:color w:val="auto"/>
              </w:rPr>
              <w:t>Learning Care Group, Inc.</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TRAK Acquisition Corp.</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4460" w:type="dxa"/>
            <w:vAlign w:val="bottom"/>
            <w:gridSpan w:val="3"/>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920" w:type="dxa"/>
            <w:vAlign w:val="bottom"/>
            <w:gridSpan w:val="2"/>
            <w:vMerge w:val="continue"/>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300" w:type="dxa"/>
            <w:vAlign w:val="bottom"/>
          </w:tcPr>
          <w:p>
            <w:pPr>
              <w:spacing w:after="0"/>
              <w:rPr>
                <w:sz w:val="8"/>
                <w:szCs w:val="8"/>
                <w:color w:val="auto"/>
              </w:rPr>
            </w:pPr>
          </w:p>
        </w:tc>
        <w:tc>
          <w:tcPr>
            <w:tcW w:w="4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Penton Media, Inc.</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920" w:type="dxa"/>
            <w:vAlign w:val="bottom"/>
            <w:gridSpan w:val="2"/>
            <w:vMerge w:val="restart"/>
          </w:tcPr>
          <w:p>
            <w:pPr>
              <w:ind w:left="20"/>
              <w:spacing w:after="0"/>
              <w:rPr>
                <w:sz w:val="20"/>
                <w:szCs w:val="20"/>
                <w:color w:val="auto"/>
              </w:rPr>
            </w:pPr>
            <w:r>
              <w:rPr>
                <w:rFonts w:ascii="Arial" w:cs="Arial" w:eastAsia="Arial" w:hAnsi="Arial"/>
                <w:sz w:val="18"/>
                <w:szCs w:val="18"/>
                <w:color w:val="auto"/>
              </w:rPr>
              <w:t>Varel International Energy Mezzanine Funding Corp.</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0"/>
                <w:szCs w:val="10"/>
                <w:color w:val="auto"/>
              </w:rPr>
            </w:pPr>
          </w:p>
        </w:tc>
        <w:tc>
          <w:tcPr>
            <w:tcW w:w="4160" w:type="dxa"/>
            <w:vAlign w:val="bottom"/>
            <w:gridSpan w:val="2"/>
            <w:vMerge w:val="continue"/>
            <w:shd w:val="clear" w:color="auto" w:fill="CCEEFF"/>
          </w:tcPr>
          <w:p>
            <w:pPr>
              <w:spacing w:after="0"/>
              <w:rPr>
                <w:sz w:val="10"/>
                <w:szCs w:val="10"/>
                <w:color w:val="auto"/>
              </w:rPr>
            </w:pPr>
          </w:p>
        </w:tc>
        <w:tc>
          <w:tcPr>
            <w:tcW w:w="116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92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4460" w:type="dxa"/>
            <w:vAlign w:val="bottom"/>
            <w:gridSpan w:val="3"/>
            <w:vMerge w:val="restart"/>
          </w:tcPr>
          <w:p>
            <w:pPr>
              <w:ind w:left="300"/>
              <w:spacing w:after="0"/>
              <w:rPr>
                <w:sz w:val="20"/>
                <w:szCs w:val="20"/>
                <w:color w:val="auto"/>
              </w:rPr>
            </w:pPr>
            <w:r>
              <w:rPr>
                <w:rFonts w:ascii="Arial" w:cs="Arial" w:eastAsia="Arial" w:hAnsi="Arial"/>
                <w:sz w:val="18"/>
                <w:szCs w:val="18"/>
                <w:color w:val="auto"/>
              </w:rPr>
              <w:t>Prince Mineral Holdings Corp.</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60" w:type="dxa"/>
            <w:vAlign w:val="bottom"/>
            <w:gridSpan w:val="3"/>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2"/>
          </w:tcPr>
          <w:p>
            <w:pPr>
              <w:jc w:val="right"/>
              <w:ind w:right="1370"/>
              <w:spacing w:after="0"/>
              <w:rPr>
                <w:sz w:val="20"/>
                <w:szCs w:val="20"/>
                <w:color w:val="auto"/>
              </w:rPr>
            </w:pPr>
            <w:r>
              <w:rPr>
                <w:rFonts w:ascii="Arial" w:cs="Arial" w:eastAsia="Arial" w:hAnsi="Arial"/>
                <w:sz w:val="18"/>
                <w:szCs w:val="18"/>
                <w:color w:val="auto"/>
              </w:rPr>
              <w:t>74</w:t>
            </w:r>
          </w:p>
        </w:tc>
        <w:tc>
          <w:tcPr>
            <w:tcW w:w="2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67" w:name="page168"/>
    <w:bookmarkEnd w:id="1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3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4920" w:type="dxa"/>
            <w:vAlign w:val="bottom"/>
            <w:gridSpan w:val="3"/>
          </w:tcPr>
          <w:p>
            <w:pPr>
              <w:ind w:left="20"/>
              <w:spacing w:after="0"/>
              <w:rPr>
                <w:sz w:val="20"/>
                <w:szCs w:val="20"/>
                <w:color w:val="auto"/>
              </w:rPr>
            </w:pPr>
            <w:r>
              <w:rPr>
                <w:rFonts w:ascii="Arial" w:cs="Arial" w:eastAsia="Arial" w:hAnsi="Arial"/>
                <w:sz w:val="18"/>
                <w:szCs w:val="18"/>
                <w:b w:val="1"/>
                <w:bCs w:val="1"/>
                <w:color w:val="auto"/>
              </w:rPr>
              <w:t>Industry</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2013</w:t>
            </w:r>
          </w:p>
        </w:tc>
        <w:tc>
          <w:tcPr>
            <w:tcW w:w="4320" w:type="dxa"/>
            <w:vAlign w:val="bottom"/>
            <w:gridSpan w:val="3"/>
          </w:tcPr>
          <w:p>
            <w:pPr>
              <w:ind w:left="300"/>
              <w:spacing w:after="0"/>
              <w:rPr>
                <w:sz w:val="20"/>
                <w:szCs w:val="20"/>
                <w:color w:val="auto"/>
              </w:rPr>
            </w:pPr>
            <w:r>
              <w:rPr>
                <w:rFonts w:ascii="Arial" w:cs="Arial" w:eastAsia="Arial" w:hAnsi="Arial"/>
                <w:sz w:val="18"/>
                <w:szCs w:val="18"/>
                <w:b w:val="1"/>
                <w:bCs w:val="1"/>
                <w:color w:val="auto"/>
              </w:rPr>
              <w:t>Industry</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424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Food and Miscellaneous Services</w:t>
            </w: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34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Education &amp; Childcare</w:t>
            </w:r>
          </w:p>
        </w:tc>
        <w:tc>
          <w:tcPr>
            <w:tcW w:w="9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Personal,</w:t>
            </w:r>
          </w:p>
        </w:tc>
        <w:tc>
          <w:tcPr>
            <w:tcW w:w="4240" w:type="dxa"/>
            <w:vAlign w:val="bottom"/>
            <w:gridSpan w:val="2"/>
            <w:vMerge w:val="continue"/>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30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71"/>
              </w:rPr>
              <w:t>Healthcare,</w:t>
            </w:r>
          </w:p>
        </w:tc>
        <w:tc>
          <w:tcPr>
            <w:tcW w:w="33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20" w:type="dxa"/>
            <w:vAlign w:val="bottom"/>
            <w:gridSpan w:val="3"/>
          </w:tcPr>
          <w:p>
            <w:pPr>
              <w:ind w:left="20"/>
              <w:spacing w:after="0"/>
              <w:rPr>
                <w:sz w:val="20"/>
                <w:szCs w:val="20"/>
                <w:color w:val="auto"/>
              </w:rPr>
            </w:pPr>
            <w:r>
              <w:rPr>
                <w:rFonts w:ascii="Arial" w:cs="Arial" w:eastAsia="Arial" w:hAnsi="Arial"/>
                <w:sz w:val="18"/>
                <w:szCs w:val="18"/>
                <w:color w:val="auto"/>
              </w:rPr>
              <w:t>Printing and Publishing</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Business Services</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9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Energy / Utilities</w:t>
            </w:r>
          </w:p>
        </w:tc>
        <w:tc>
          <w:tcPr>
            <w:tcW w:w="5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6"/>
                <w:szCs w:val="16"/>
                <w:color w:val="auto"/>
              </w:rPr>
            </w:pPr>
          </w:p>
        </w:tc>
        <w:tc>
          <w:tcPr>
            <w:tcW w:w="4020" w:type="dxa"/>
            <w:vAlign w:val="bottom"/>
            <w:gridSpan w:val="2"/>
          </w:tcPr>
          <w:p>
            <w:pPr>
              <w:spacing w:after="0" w:line="189" w:lineRule="exact"/>
              <w:rPr>
                <w:sz w:val="20"/>
                <w:szCs w:val="20"/>
                <w:color w:val="auto"/>
              </w:rPr>
            </w:pPr>
            <w:r>
              <w:rPr>
                <w:rFonts w:ascii="Arial" w:cs="Arial" w:eastAsia="Arial" w:hAnsi="Arial"/>
                <w:sz w:val="18"/>
                <w:szCs w:val="18"/>
                <w:color w:val="auto"/>
              </w:rPr>
              <w:t>Auto Sector</w:t>
            </w:r>
          </w:p>
        </w:tc>
        <w:tc>
          <w:tcPr>
            <w:tcW w:w="12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spacing w:after="0"/>
              <w:rPr>
                <w:sz w:val="3"/>
                <w:szCs w:val="3"/>
                <w:color w:val="auto"/>
              </w:rPr>
            </w:pPr>
          </w:p>
        </w:tc>
        <w:tc>
          <w:tcPr>
            <w:tcW w:w="4020" w:type="dxa"/>
            <w:vAlign w:val="bottom"/>
            <w:gridSpan w:val="2"/>
            <w:vMerge w:val="restart"/>
            <w:shd w:val="clear" w:color="auto" w:fill="CCEEFF"/>
          </w:tcPr>
          <w:p>
            <w:pPr>
              <w:spacing w:after="0" w:line="196" w:lineRule="exact"/>
              <w:rPr>
                <w:sz w:val="20"/>
                <w:szCs w:val="20"/>
                <w:color w:val="auto"/>
              </w:rPr>
            </w:pPr>
            <w:r>
              <w:rPr>
                <w:rFonts w:ascii="Arial" w:cs="Arial" w:eastAsia="Arial" w:hAnsi="Arial"/>
                <w:sz w:val="18"/>
                <w:szCs w:val="18"/>
                <w:color w:val="auto"/>
              </w:rPr>
              <w:t>Business Services</w:t>
            </w:r>
          </w:p>
        </w:tc>
        <w:tc>
          <w:tcPr>
            <w:tcW w:w="1260" w:type="dxa"/>
            <w:vAlign w:val="bottom"/>
            <w:gridSpan w:val="2"/>
            <w:vMerge w:val="restart"/>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00" w:type="dxa"/>
            <w:vAlign w:val="bottom"/>
            <w:vMerge w:val="restart"/>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gridSpan w:val="3"/>
            <w:shd w:val="clear" w:color="auto" w:fill="CCEEFF"/>
          </w:tcPr>
          <w:p>
            <w:pPr>
              <w:ind w:left="20"/>
              <w:spacing w:after="0" w:line="156" w:lineRule="exact"/>
              <w:rPr>
                <w:sz w:val="20"/>
                <w:szCs w:val="20"/>
                <w:color w:val="auto"/>
              </w:rPr>
            </w:pPr>
            <w:r>
              <w:rPr>
                <w:rFonts w:ascii="Arial" w:cs="Arial" w:eastAsia="Arial" w:hAnsi="Arial"/>
                <w:sz w:val="18"/>
                <w:szCs w:val="18"/>
                <w:color w:val="auto"/>
              </w:rPr>
              <w:t>Electronics</w:t>
            </w:r>
          </w:p>
        </w:tc>
        <w:tc>
          <w:tcPr>
            <w:tcW w:w="560" w:type="dxa"/>
            <w:vAlign w:val="bottom"/>
            <w:tcBorders>
              <w:bottom w:val="single" w:sz="8" w:color="CCEEFF"/>
            </w:tcBorders>
            <w:gridSpan w:val="2"/>
            <w:shd w:val="clear" w:color="auto" w:fill="CCEEFF"/>
          </w:tcPr>
          <w:p>
            <w:pPr>
              <w:jc w:val="right"/>
              <w:ind w:right="200"/>
              <w:spacing w:after="0" w:line="156" w:lineRule="exact"/>
              <w:rPr>
                <w:sz w:val="20"/>
                <w:szCs w:val="20"/>
                <w:color w:val="auto"/>
              </w:rPr>
            </w:pPr>
            <w:r>
              <w:rPr>
                <w:rFonts w:ascii="Arial" w:cs="Arial" w:eastAsia="Arial" w:hAnsi="Arial"/>
                <w:sz w:val="18"/>
                <w:szCs w:val="18"/>
                <w:color w:val="auto"/>
              </w:rPr>
              <w:t>7</w:t>
            </w:r>
          </w:p>
        </w:tc>
        <w:tc>
          <w:tcPr>
            <w:tcW w:w="300" w:type="dxa"/>
            <w:vAlign w:val="bottom"/>
            <w:vMerge w:val="continue"/>
          </w:tcPr>
          <w:p>
            <w:pPr>
              <w:spacing w:after="0"/>
              <w:rPr>
                <w:sz w:val="18"/>
                <w:szCs w:val="18"/>
                <w:color w:val="auto"/>
              </w:rPr>
            </w:pPr>
          </w:p>
        </w:tc>
        <w:tc>
          <w:tcPr>
            <w:tcW w:w="402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920" w:type="dxa"/>
            <w:vAlign w:val="bottom"/>
            <w:gridSpan w:val="3"/>
            <w:vMerge w:val="restart"/>
          </w:tcPr>
          <w:p>
            <w:pPr>
              <w:ind w:left="20"/>
              <w:spacing w:after="0"/>
              <w:rPr>
                <w:sz w:val="20"/>
                <w:szCs w:val="20"/>
                <w:color w:val="auto"/>
              </w:rPr>
            </w:pPr>
            <w:r>
              <w:rPr>
                <w:rFonts w:ascii="Arial" w:cs="Arial" w:eastAsia="Arial" w:hAnsi="Arial"/>
                <w:sz w:val="18"/>
                <w:szCs w:val="18"/>
                <w:color w:val="auto"/>
              </w:rPr>
              <w:t>Healthcare, Education &amp; Childcare</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w:t>
            </w:r>
          </w:p>
        </w:tc>
        <w:tc>
          <w:tcPr>
            <w:tcW w:w="4320" w:type="dxa"/>
            <w:vAlign w:val="bottom"/>
            <w:gridSpan w:val="3"/>
          </w:tcPr>
          <w:p>
            <w:pPr>
              <w:ind w:left="300"/>
              <w:spacing w:after="0" w:line="142" w:lineRule="exact"/>
              <w:rPr>
                <w:sz w:val="20"/>
                <w:szCs w:val="20"/>
                <w:color w:val="auto"/>
              </w:rPr>
            </w:pPr>
            <w:r>
              <w:rPr>
                <w:rFonts w:ascii="Arial" w:cs="Arial" w:eastAsia="Arial" w:hAnsi="Arial"/>
                <w:sz w:val="16"/>
                <w:szCs w:val="16"/>
                <w:color w:val="auto"/>
              </w:rPr>
              <w:t>Cargo Transport</w:t>
            </w:r>
          </w:p>
        </w:tc>
        <w:tc>
          <w:tcPr>
            <w:tcW w:w="126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920" w:type="dxa"/>
            <w:vAlign w:val="bottom"/>
            <w:gridSpan w:val="3"/>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4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92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Oil and Gas</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2"/>
                <w:szCs w:val="12"/>
                <w:color w:val="auto"/>
              </w:rPr>
            </w:pPr>
          </w:p>
        </w:tc>
        <w:tc>
          <w:tcPr>
            <w:tcW w:w="4020" w:type="dxa"/>
            <w:vAlign w:val="bottom"/>
            <w:gridSpan w:val="2"/>
            <w:vMerge w:val="continue"/>
            <w:shd w:val="clear" w:color="auto" w:fill="CCEEFF"/>
          </w:tcPr>
          <w:p>
            <w:pPr>
              <w:spacing w:after="0"/>
              <w:rPr>
                <w:sz w:val="12"/>
                <w:szCs w:val="12"/>
                <w:color w:val="auto"/>
              </w:rPr>
            </w:pPr>
          </w:p>
        </w:tc>
        <w:tc>
          <w:tcPr>
            <w:tcW w:w="126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920" w:type="dxa"/>
            <w:vAlign w:val="bottom"/>
            <w:gridSpan w:val="3"/>
            <w:vMerge w:val="continue"/>
            <w:shd w:val="clear" w:color="auto" w:fill="CCEEFF"/>
          </w:tcPr>
          <w:p>
            <w:pPr>
              <w:spacing w:after="0"/>
              <w:rPr>
                <w:sz w:val="7"/>
                <w:szCs w:val="7"/>
                <w:color w:val="auto"/>
              </w:rPr>
            </w:pPr>
          </w:p>
        </w:tc>
        <w:tc>
          <w:tcPr>
            <w:tcW w:w="560" w:type="dxa"/>
            <w:vAlign w:val="bottom"/>
            <w:gridSpan w:val="2"/>
            <w:vMerge w:val="continue"/>
            <w:shd w:val="clear" w:color="auto" w:fill="CCEEFF"/>
          </w:tcPr>
          <w:p>
            <w:pPr>
              <w:spacing w:after="0"/>
              <w:rPr>
                <w:sz w:val="7"/>
                <w:szCs w:val="7"/>
                <w:color w:val="auto"/>
              </w:rPr>
            </w:pPr>
          </w:p>
        </w:tc>
        <w:tc>
          <w:tcPr>
            <w:tcW w:w="4320" w:type="dxa"/>
            <w:vAlign w:val="bottom"/>
            <w:gridSpan w:val="3"/>
            <w:vMerge w:val="restart"/>
          </w:tcPr>
          <w:p>
            <w:pPr>
              <w:ind w:left="300"/>
              <w:spacing w:after="0"/>
              <w:rPr>
                <w:sz w:val="20"/>
                <w:szCs w:val="20"/>
                <w:color w:val="auto"/>
              </w:rPr>
            </w:pPr>
            <w:r>
              <w:rPr>
                <w:rFonts w:ascii="Arial" w:cs="Arial" w:eastAsia="Arial" w:hAnsi="Arial"/>
                <w:sz w:val="18"/>
                <w:szCs w:val="18"/>
                <w:color w:val="auto"/>
              </w:rPr>
              <w:t>Consumer Products</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920" w:type="dxa"/>
            <w:vAlign w:val="bottom"/>
            <w:gridSpan w:val="3"/>
            <w:vMerge w:val="restart"/>
          </w:tcPr>
          <w:p>
            <w:pPr>
              <w:ind w:left="20"/>
              <w:spacing w:after="0"/>
              <w:rPr>
                <w:sz w:val="20"/>
                <w:szCs w:val="20"/>
                <w:color w:val="auto"/>
              </w:rPr>
            </w:pPr>
            <w:r>
              <w:rPr>
                <w:rFonts w:ascii="Arial" w:cs="Arial" w:eastAsia="Arial" w:hAnsi="Arial"/>
                <w:sz w:val="18"/>
                <w:szCs w:val="18"/>
                <w:color w:val="auto"/>
              </w:rPr>
              <w:t>Chemicals, Plastics and Rubber</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w:t>
            </w:r>
          </w:p>
        </w:tc>
        <w:tc>
          <w:tcPr>
            <w:tcW w:w="432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920" w:type="dxa"/>
            <w:vAlign w:val="bottom"/>
            <w:gridSpan w:val="3"/>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Distribution</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92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Consumer Products</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0"/>
                <w:szCs w:val="10"/>
                <w:color w:val="auto"/>
              </w:rPr>
            </w:pPr>
          </w:p>
        </w:tc>
        <w:tc>
          <w:tcPr>
            <w:tcW w:w="4020" w:type="dxa"/>
            <w:vAlign w:val="bottom"/>
            <w:gridSpan w:val="2"/>
            <w:vMerge w:val="continue"/>
            <w:shd w:val="clear" w:color="auto" w:fill="CCEEFF"/>
          </w:tcPr>
          <w:p>
            <w:pPr>
              <w:spacing w:after="0"/>
              <w:rPr>
                <w:sz w:val="10"/>
                <w:szCs w:val="10"/>
                <w:color w:val="auto"/>
              </w:rPr>
            </w:pPr>
          </w:p>
        </w:tc>
        <w:tc>
          <w:tcPr>
            <w:tcW w:w="1260" w:type="dxa"/>
            <w:vAlign w:val="bottom"/>
            <w:gridSpan w:val="2"/>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20" w:type="dxa"/>
            <w:vAlign w:val="bottom"/>
            <w:gridSpan w:val="3"/>
            <w:vMerge w:val="continue"/>
            <w:shd w:val="clear" w:color="auto" w:fill="CCEEFF"/>
          </w:tcPr>
          <w:p>
            <w:pPr>
              <w:spacing w:after="0"/>
              <w:rPr>
                <w:sz w:val="9"/>
                <w:szCs w:val="9"/>
                <w:color w:val="auto"/>
              </w:rPr>
            </w:pPr>
          </w:p>
        </w:tc>
        <w:tc>
          <w:tcPr>
            <w:tcW w:w="560" w:type="dxa"/>
            <w:vAlign w:val="bottom"/>
            <w:gridSpan w:val="2"/>
            <w:vMerge w:val="continue"/>
            <w:shd w:val="clear" w:color="auto" w:fill="CCEEFF"/>
          </w:tcPr>
          <w:p>
            <w:pPr>
              <w:spacing w:after="0"/>
              <w:rPr>
                <w:sz w:val="9"/>
                <w:szCs w:val="9"/>
                <w:color w:val="auto"/>
              </w:rPr>
            </w:pPr>
          </w:p>
        </w:tc>
        <w:tc>
          <w:tcPr>
            <w:tcW w:w="4320" w:type="dxa"/>
            <w:vAlign w:val="bottom"/>
            <w:gridSpan w:val="3"/>
            <w:vMerge w:val="restart"/>
          </w:tcPr>
          <w:p>
            <w:pPr>
              <w:ind w:left="300"/>
              <w:spacing w:after="0"/>
              <w:rPr>
                <w:sz w:val="20"/>
                <w:szCs w:val="20"/>
                <w:color w:val="auto"/>
              </w:rPr>
            </w:pPr>
            <w:r>
              <w:rPr>
                <w:rFonts w:ascii="Arial" w:cs="Arial" w:eastAsia="Arial" w:hAnsi="Arial"/>
                <w:sz w:val="18"/>
                <w:szCs w:val="18"/>
                <w:color w:val="auto"/>
              </w:rPr>
              <w:t>Personal, Food and Miscellaneous Services</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920" w:type="dxa"/>
            <w:vAlign w:val="bottom"/>
            <w:gridSpan w:val="3"/>
            <w:vMerge w:val="restart"/>
          </w:tcPr>
          <w:p>
            <w:pPr>
              <w:ind w:left="20"/>
              <w:spacing w:after="0"/>
              <w:rPr>
                <w:sz w:val="20"/>
                <w:szCs w:val="20"/>
                <w:color w:val="auto"/>
              </w:rPr>
            </w:pPr>
            <w:r>
              <w:rPr>
                <w:rFonts w:ascii="Arial" w:cs="Arial" w:eastAsia="Arial" w:hAnsi="Arial"/>
                <w:sz w:val="18"/>
                <w:szCs w:val="18"/>
                <w:color w:val="auto"/>
              </w:rPr>
              <w:t>Hotels, Motels, Inns and Gaming</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w:t>
            </w:r>
          </w:p>
        </w:tc>
        <w:tc>
          <w:tcPr>
            <w:tcW w:w="4320" w:type="dxa"/>
            <w:vAlign w:val="bottom"/>
            <w:gridSpan w:val="3"/>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20" w:type="dxa"/>
            <w:vAlign w:val="bottom"/>
            <w:gridSpan w:val="3"/>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6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and our trade allocation procedures. Some types of negotiated co-investments may be made only if we receive an order from the SEC permitting us to do so. We have sought, and there can be no assurance that we will obtain, such an order.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46"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September 30, 2013.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2013 Consolidated Financial Statements included elsewhere in this prospectus.</w:t>
      </w:r>
    </w:p>
    <w:p>
      <w:pPr>
        <w:spacing w:after="0" w:line="18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Substantially all of our investments (except those of our SBIC Funds) are pledged as collateral under our Credit Facility. Unless otherwise noted, we held no voting board membership on any of our portfolio companies.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Nature of Business</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 Investment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Voting Percentage</w:t>
            </w:r>
          </w:p>
        </w:tc>
        <w:tc>
          <w:tcPr>
            <w:tcW w:w="0" w:type="dxa"/>
            <w:vAlign w:val="bottom"/>
          </w:tcPr>
          <w:p>
            <w:pPr>
              <w:spacing w:after="0"/>
              <w:rPr>
                <w:sz w:val="1"/>
                <w:szCs w:val="1"/>
                <w:color w:val="auto"/>
              </w:rPr>
            </w:pPr>
          </w:p>
        </w:tc>
      </w:tr>
      <w:tr>
        <w:trPr>
          <w:trHeight w:val="185"/>
        </w:trPr>
        <w:tc>
          <w:tcPr>
            <w:tcW w:w="5040" w:type="dxa"/>
            <w:vAlign w:val="bottom"/>
            <w:gridSpan w:val="3"/>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Companies Less than 5% Owned</w:t>
            </w:r>
          </w:p>
        </w:tc>
        <w:tc>
          <w:tcPr>
            <w:tcW w:w="25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Acentia, LLC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Electronics</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1.5%</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3130 Fairview Park Drive, Ste. 800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Falls Church, VA 22042</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Affinion Group Holdings,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0"/>
              </w:rPr>
              <w:t>Consumer Products</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Subordinated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 High Ridge Park</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Stamford, CT 06850</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AHC Mezzanine, LLC (Advanstar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Other Media</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0.1%</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350 Park Avenue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New York, NY 10022</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Aircell Business Aviation Services LLC</w:t>
            </w: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Communications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1250 North Arlington Heights Road, Ste. 500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Itasca, IL 60143</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Alegeus Technologies, LLC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Financial Services</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0.5%</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(Alegeus Technologies Holdings Corp.)</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Preferred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1601 Trapelo Rd.</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Waltham, MA 02451</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Gilsonite Company</w:t>
            </w: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4"/>
              </w:rPr>
              <w:t>Diversified Natural Resources,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29950 South Bonanza Highway</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3"/>
              </w:rPr>
              <w:t>Precious Metals and Minerals</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Bonanza, UT 84008</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American Surgical Holdings,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Healthcare, Education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2.1%</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(AH Holdings, Inc.)</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and Childcare</w:t>
            </w: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Warrants</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10039 Bissonnet Street, Ste. 250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Houston, TX 77036</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Autumn Games,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1"/>
              </w:rPr>
              <w:t>Broadcasting and</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 Thompson St.</w:t>
            </w:r>
          </w:p>
        </w:tc>
        <w:tc>
          <w:tcPr>
            <w:tcW w:w="19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Entertainment</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Nature of Business</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 Investment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Voting Percentage</w:t>
            </w:r>
          </w:p>
        </w:tc>
        <w:tc>
          <w:tcPr>
            <w:tcW w:w="0" w:type="dxa"/>
            <w:vAlign w:val="bottom"/>
          </w:tcPr>
          <w:p>
            <w:pPr>
              <w:spacing w:after="0"/>
              <w:rPr>
                <w:sz w:val="1"/>
                <w:szCs w:val="1"/>
                <w:color w:val="auto"/>
              </w:rPr>
            </w:pPr>
          </w:p>
        </w:tc>
      </w:tr>
      <w:tr>
        <w:trPr>
          <w:trHeight w:val="185"/>
        </w:trPr>
        <w:tc>
          <w:tcPr>
            <w:tcW w:w="5040" w:type="dxa"/>
            <w:vAlign w:val="bottom"/>
            <w:gridSpan w:val="3"/>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20" w:type="dxa"/>
            <w:vAlign w:val="bottom"/>
            <w:tcBorders>
              <w:top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Brand Energy and Infrastructure Services,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8"/>
              </w:rPr>
              <w:t>Energy / Utilities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1325 Cobb International Dr., Ste. A-1</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Kennesaw, GA 30152</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Carolina Beverage Group, LLC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Beverage, Food and Tobacco</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110 Barley Park Lane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Mooresville, NC 28115</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CEVA Group PLC</w:t>
            </w: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Cargo Transport</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 St. George Street</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London W1S 1FS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United Kingdom</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Columbus International,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Communications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Ste. 205-207 Dowell House Cr.</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Roebuck &amp; Palmetto Sts.</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Bridgetown, Barbados, West Indies</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3"/>
              </w:rPr>
              <w:t>Electronics</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Subordinated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(Convergint Technologies Holdings, LLC)</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Preferred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1651 Wilkening Rd.</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Schaumburg, IL 60173</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Credit Infonet,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Personal, Food and</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4540 Honeywell Court</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Miscelleneous Services</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Dayton, OH 45424</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CT Technologies Intermediate Holdings,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0"/>
              </w:rPr>
              <w:t>Business Services</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925 North Point Parkway, Ste. 350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Alpharetta, GA 30005</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Cydcor LLC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Business Services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3011 Townsgate Road, Ste. 400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Westlake Village, CA 91361</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Envision Acquisition Company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Healthcare, Education</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2181 East Aurora Road, Ste. 201</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and Childcare</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Twinsburg, OH 44087</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Escort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Electronics</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5440 West Chester Road</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West Chester, OH 45069-2950</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Eureka Hunter Pipeline, LLC (Magnum Hunter Resources Corporation)</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777 Post Oak Blvd., Ste. 650</w:t>
            </w:r>
          </w:p>
        </w:tc>
        <w:tc>
          <w:tcPr>
            <w:tcW w:w="1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5"/>
              </w:rPr>
              <w:t>Energy/Utilities Oil and Gas</w:t>
            </w:r>
          </w:p>
        </w:tc>
        <w:tc>
          <w:tcPr>
            <w:tcW w:w="24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1960" w:type="dxa"/>
            <w:vAlign w:val="bottom"/>
            <w:gridSpan w:val="2"/>
            <w:vMerge w:val="continue"/>
            <w:shd w:val="clear" w:color="auto" w:fill="CCEEFF"/>
          </w:tcPr>
          <w:p>
            <w:pPr>
              <w:spacing w:after="0"/>
              <w:rPr>
                <w:sz w:val="8"/>
                <w:szCs w:val="8"/>
                <w:color w:val="auto"/>
              </w:rPr>
            </w:pPr>
          </w:p>
        </w:tc>
        <w:tc>
          <w:tcPr>
            <w:tcW w:w="2480" w:type="dxa"/>
            <w:vAlign w:val="bottom"/>
            <w:gridSpan w:val="2"/>
            <w:vMerge w:val="continue"/>
            <w:shd w:val="clear" w:color="auto" w:fill="CCEEFF"/>
          </w:tcPr>
          <w:p>
            <w:pPr>
              <w:spacing w:after="0"/>
              <w:rPr>
                <w:sz w:val="8"/>
                <w:szCs w:val="8"/>
                <w:color w:val="auto"/>
              </w:rPr>
            </w:pPr>
          </w:p>
        </w:tc>
        <w:tc>
          <w:tcPr>
            <w:tcW w:w="1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020" w:type="dxa"/>
            <w:vAlign w:val="bottom"/>
            <w:gridSpan w:val="2"/>
            <w:vMerge w:val="continue"/>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80" w:type="dxa"/>
            <w:vAlign w:val="bottom"/>
            <w:gridSpan w:val="2"/>
            <w:vMerge w:val="restart"/>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shd w:val="clear" w:color="auto" w:fill="CCEEFF"/>
          </w:tcPr>
          <w:p>
            <w:pPr>
              <w:spacing w:after="0"/>
              <w:rPr>
                <w:sz w:val="5"/>
                <w:szCs w:val="5"/>
                <w:color w:val="auto"/>
              </w:rPr>
            </w:pPr>
          </w:p>
        </w:tc>
        <w:tc>
          <w:tcPr>
            <w:tcW w:w="250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80" w:type="dxa"/>
            <w:vAlign w:val="bottom"/>
            <w:gridSpan w:val="2"/>
            <w:vMerge w:val="continue"/>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Warrants</w:t>
            </w: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Galls, LLC; Quartermaster,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Distribution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Common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3.1%</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(CI (Galls) Prime Investment Holdings, LLC)</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1340 Russell Cave Road</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Lexington, KY 40505</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Good Sam Enterprises,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0"/>
              </w:rPr>
              <w:t>Consumer Products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250 Parkway Dr., Ste. 270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Lincolnshire, IL 60069</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Greatwide Logistics Services, L.L.C.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Cargo Transport</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0.4%</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(Transportation 100 HoldCo, LLC)</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12404 Park Central Dr., Ste. 300s</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Dallas, TX 75251</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Hanley-Wood,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3"/>
              </w:rPr>
              <w:t>Other Media</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Ste. 600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Preferred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Nature of Business</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 Investment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Voting Percentage</w:t>
            </w:r>
          </w:p>
        </w:tc>
        <w:tc>
          <w:tcPr>
            <w:tcW w:w="0" w:type="dxa"/>
            <w:vAlign w:val="bottom"/>
          </w:tcPr>
          <w:p>
            <w:pPr>
              <w:spacing w:after="0"/>
              <w:rPr>
                <w:sz w:val="1"/>
                <w:szCs w:val="1"/>
                <w:color w:val="auto"/>
              </w:rPr>
            </w:pPr>
          </w:p>
        </w:tc>
      </w:tr>
      <w:tr>
        <w:trPr>
          <w:trHeight w:val="185"/>
        </w:trPr>
        <w:tc>
          <w:tcPr>
            <w:tcW w:w="5040" w:type="dxa"/>
            <w:vAlign w:val="bottom"/>
            <w:gridSpan w:val="3"/>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20" w:type="dxa"/>
            <w:vAlign w:val="bottom"/>
            <w:tcBorders>
              <w:top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IDQ Holdings,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Auto Sector</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2901 West Kingsley Road</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Garland, TX 75041</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ILC Industries, LLC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Electronics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c/o ILC Holdings Inc.</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 Maritime Plaza, Ste. 1555</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San Francisco, CA 94111</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Infusystems Holdings,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Healthcare, Education</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31700 Research Park Drive</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and Childcare</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Madison Heights, MI 48071</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Instant Web,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Printing and Publishing</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7951 Powers Boulevard</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Chanhassen, MN 55317</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Interactive Health Solutions,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Healthcare, Education and</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3800 North Wilke Road, Ste. 155</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Childcare</w:t>
            </w: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Preferred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Heights, IL 60004</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Jackson Hewitt Tax Services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Personal, Food and</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3 Sylvan Way, Ste. 301</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Miscelleneous Services</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Parsippany, NJ 07054</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Jacobs Entertainment,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4"/>
              </w:rPr>
              <w:t>Hotels, Motels, Inns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17301 W. Colfax Ave., Ste. 250</w:t>
            </w:r>
          </w:p>
        </w:tc>
        <w:tc>
          <w:tcPr>
            <w:tcW w:w="19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and Gaming</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Golden, CO 80401</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JF Acquisition, LLC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Distribution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2.5%</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1330 St. Mary’s Street, Ste. 210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Raleigh, NC 27605</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Kadmon Pharmaceuticals,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Healthcare, Education</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(Kadmon Holdings, LLC)</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and Childcare</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Alexandria Center for Life Sciences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450 East 29</w:t>
            </w:r>
            <w:r>
              <w:rPr>
                <w:rFonts w:ascii="Arial" w:cs="Arial" w:eastAsia="Arial" w:hAnsi="Arial"/>
                <w:sz w:val="12"/>
                <w:szCs w:val="12"/>
                <w:color w:val="auto"/>
              </w:rPr>
              <w:t>th</w:t>
            </w:r>
            <w:r>
              <w:rPr>
                <w:rFonts w:ascii="Arial" w:cs="Arial" w:eastAsia="Arial" w:hAnsi="Arial"/>
                <w:sz w:val="14"/>
                <w:szCs w:val="14"/>
                <w:color w:val="auto"/>
              </w:rPr>
              <w:t xml:space="preserve"> Street, 5</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10016</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K2 Pure Solutions NoCal, L.P.</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Chemicals, Plastics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and Rubber</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Uniontown, OH 44685</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Language Line, LLC</w:t>
            </w: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89"/>
              </w:rPr>
              <w:t>Personal, Food and</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Lower Ragsdale Drive</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Miscelleneous Services</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Building 2, Ste. 400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Monterey, CA 93940</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Learning Care Group (US) No. 2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Education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(Learning Care Group (US), Inc.)</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Warrants</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21333 Haggerty Road, Ste. 300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Novi, MI 48375</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LINC USA GP and LINC Energy Finance (USA), Inc.</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1000 Louisiana Street, Ste. 1500</w:t>
            </w:r>
          </w:p>
        </w:tc>
        <w:tc>
          <w:tcPr>
            <w:tcW w:w="1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1"/>
              </w:rPr>
              <w:t>Oil and Gas</w:t>
            </w:r>
          </w:p>
        </w:tc>
        <w:tc>
          <w:tcPr>
            <w:tcW w:w="24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Houston, TX 77002</w:t>
            </w:r>
          </w:p>
        </w:tc>
        <w:tc>
          <w:tcPr>
            <w:tcW w:w="1960" w:type="dxa"/>
            <w:vAlign w:val="bottom"/>
            <w:tcBorders>
              <w:bottom w:val="single" w:sz="8" w:color="CCEEFF"/>
            </w:tcBorders>
            <w:gridSpan w:val="2"/>
            <w:vMerge w:val="continue"/>
            <w:shd w:val="clear" w:color="auto" w:fill="CCEEFF"/>
          </w:tcPr>
          <w:p>
            <w:pPr>
              <w:spacing w:after="0"/>
              <w:rPr>
                <w:sz w:val="13"/>
                <w:szCs w:val="13"/>
                <w:color w:val="auto"/>
              </w:rPr>
            </w:pPr>
          </w:p>
        </w:tc>
        <w:tc>
          <w:tcPr>
            <w:tcW w:w="2480" w:type="dxa"/>
            <w:vAlign w:val="bottom"/>
            <w:tcBorders>
              <w:bottom w:val="single" w:sz="8" w:color="CCEEFF"/>
            </w:tcBorders>
            <w:gridSpan w:val="2"/>
            <w:vMerge w:val="continue"/>
            <w:shd w:val="clear" w:color="auto" w:fill="CCEEFF"/>
          </w:tcPr>
          <w:p>
            <w:pPr>
              <w:spacing w:after="0"/>
              <w:rPr>
                <w:sz w:val="13"/>
                <w:szCs w:val="13"/>
                <w:color w:val="auto"/>
              </w:rPr>
            </w:pPr>
          </w:p>
        </w:tc>
        <w:tc>
          <w:tcPr>
            <w:tcW w:w="19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LTI Flexible Products,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Chemical, Plastic</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600 S. McClure Road,</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and Rubber</w:t>
            </w: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Stanislaus County, CA 95357</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MSpark, Inc. (f/k/a MailSouth,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4"/>
              </w:rPr>
              <w:t>Printing and Publishing</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Subordinated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Nature of Business</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 Investment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Voting Percentage</w:t>
            </w:r>
          </w:p>
        </w:tc>
        <w:tc>
          <w:tcPr>
            <w:tcW w:w="0" w:type="dxa"/>
            <w:vAlign w:val="bottom"/>
          </w:tcPr>
          <w:p>
            <w:pPr>
              <w:spacing w:after="0"/>
              <w:rPr>
                <w:sz w:val="1"/>
                <w:szCs w:val="1"/>
                <w:color w:val="auto"/>
              </w:rPr>
            </w:pPr>
          </w:p>
        </w:tc>
      </w:tr>
      <w:tr>
        <w:trPr>
          <w:trHeight w:val="185"/>
        </w:trPr>
        <w:tc>
          <w:tcPr>
            <w:tcW w:w="5040" w:type="dxa"/>
            <w:vAlign w:val="bottom"/>
            <w:gridSpan w:val="3"/>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20" w:type="dxa"/>
            <w:vAlign w:val="bottom"/>
            <w:tcBorders>
              <w:top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Paradigm Management Services,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Healthcare, Education</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(Paradigm Acquisition Corp.)</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and Childcare</w:t>
            </w: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1277 Treat Boulevard, Ste. 800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Walnut Creek, CA 94597</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Penton Media,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Other Media</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249 W. 17</w:t>
            </w:r>
            <w:r>
              <w:rPr>
                <w:rFonts w:ascii="Arial" w:cs="Arial" w:eastAsia="Arial" w:hAnsi="Arial"/>
                <w:sz w:val="12"/>
                <w:szCs w:val="12"/>
                <w:color w:val="auto"/>
              </w:rPr>
              <w:t>th</w:t>
            </w:r>
            <w:r>
              <w:rPr>
                <w:rFonts w:ascii="Arial" w:cs="Arial" w:eastAsia="Arial" w:hAnsi="Arial"/>
                <w:sz w:val="14"/>
                <w:szCs w:val="14"/>
                <w:color w:val="auto"/>
              </w:rPr>
              <w:t xml:space="preserve"> Street, 4</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New York, NY 10011</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w:t>
            </w: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89"/>
              </w:rPr>
              <w:t>Personal, Food and</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(MidOcean PPL Holdings, Inc.)</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Miscellaneous Services</w:t>
            </w: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Pre-Paid Way</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Ada, OK 74820</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Prince Mineral Holdings Corp.</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Mining, Steel, Iron and</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14 East 44th Street</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Non-Precious Metals</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New York, NY 10020</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Questex Media Group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3"/>
              </w:rPr>
              <w:t>Other Media</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(QMG HoldCo, LLC)</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275 Grove Street, Ste. 2-130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Newton, MA 02466</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ROC Finance LLC and ROC Finance 1 Corp.</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Hotels, Motels, Inns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One Campus Maritus, 1086 Woodward Avenue,</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and Gaming</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Detroit, MI 48226</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TRAK Acquisition Corp.</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0"/>
              </w:rPr>
              <w:t>Business Services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1001 Brickell Bay Drive, 27</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Warrants</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Miami, FL 33131</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TZ Holdings, L.P. (Trizetto Group,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Insurance</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0.2%</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567 San Nicolas Drive, Ste. 360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Newport Beach, CA 92660</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Varel International Energy Mezzanine Funding Corp.</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1625 West Crosby Road, Ste. 124</w:t>
            </w:r>
          </w:p>
        </w:tc>
        <w:tc>
          <w:tcPr>
            <w:tcW w:w="1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1"/>
              </w:rPr>
              <w:t>Oil and Gas</w:t>
            </w:r>
          </w:p>
        </w:tc>
        <w:tc>
          <w:tcPr>
            <w:tcW w:w="24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Carrolton, TX 75006</w:t>
            </w:r>
          </w:p>
        </w:tc>
        <w:tc>
          <w:tcPr>
            <w:tcW w:w="1960" w:type="dxa"/>
            <w:vAlign w:val="bottom"/>
            <w:tcBorders>
              <w:bottom w:val="single" w:sz="8" w:color="CCEEFF"/>
            </w:tcBorders>
            <w:gridSpan w:val="2"/>
            <w:vMerge w:val="continue"/>
            <w:shd w:val="clear" w:color="auto" w:fill="CCEEFF"/>
          </w:tcPr>
          <w:p>
            <w:pPr>
              <w:spacing w:after="0"/>
              <w:rPr>
                <w:sz w:val="13"/>
                <w:szCs w:val="13"/>
                <w:color w:val="auto"/>
              </w:rPr>
            </w:pPr>
          </w:p>
        </w:tc>
        <w:tc>
          <w:tcPr>
            <w:tcW w:w="2480" w:type="dxa"/>
            <w:vAlign w:val="bottom"/>
            <w:tcBorders>
              <w:bottom w:val="single" w:sz="8" w:color="CCEEFF"/>
            </w:tcBorders>
            <w:gridSpan w:val="2"/>
            <w:vMerge w:val="continue"/>
            <w:shd w:val="clear" w:color="auto" w:fill="CCEEFF"/>
          </w:tcPr>
          <w:p>
            <w:pPr>
              <w:spacing w:after="0"/>
              <w:rPr>
                <w:sz w:val="13"/>
                <w:szCs w:val="13"/>
                <w:color w:val="auto"/>
              </w:rPr>
            </w:pPr>
          </w:p>
        </w:tc>
        <w:tc>
          <w:tcPr>
            <w:tcW w:w="19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Veritext Corp. (VText Holdings,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Business Services</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Common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3.6%</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50 Public Square, 29</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Cleveland, OH 44113</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Vestcom Parent Holdings,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4"/>
              </w:rPr>
              <w:t>Printing and Publishing</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Subordinated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(Vestcom International, Inc.)</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7304 Kanis Road</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Little Rock, AR 72204</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VRide Holdings,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Personal Transportation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3.3%</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1220 Rankin Drive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Troy, MI 48083</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Worley Claims Services,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1"/>
              </w:rPr>
              <w:t>Insurance</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303 Timber Creek,</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Hammond, LA 70403</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AKA Diversified Holdings,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Retail</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7505 South Louise Avenue,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Sioux Falls, SD 57108</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DirectBuy Holdings,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Consumer Products</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8450 Broadway</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Merrillville, IN 46410</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500" w:type="dxa"/>
            <w:vAlign w:val="bottom"/>
          </w:tcPr>
          <w:p>
            <w:pPr>
              <w:spacing w:after="0"/>
              <w:rPr>
                <w:sz w:val="14"/>
                <w:szCs w:val="14"/>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Nature of Business</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 Investment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Voting Percentage</w:t>
            </w:r>
          </w:p>
        </w:tc>
        <w:tc>
          <w:tcPr>
            <w:tcW w:w="0" w:type="dxa"/>
            <w:vAlign w:val="bottom"/>
          </w:tcPr>
          <w:p>
            <w:pPr>
              <w:spacing w:after="0"/>
              <w:rPr>
                <w:sz w:val="1"/>
                <w:szCs w:val="1"/>
                <w:color w:val="auto"/>
              </w:rPr>
            </w:pPr>
          </w:p>
        </w:tc>
      </w:tr>
      <w:tr>
        <w:trPr>
          <w:trHeight w:val="185"/>
        </w:trPr>
        <w:tc>
          <w:tcPr>
            <w:tcW w:w="2540" w:type="dxa"/>
            <w:vAlign w:val="bottom"/>
            <w:gridSpan w:val="2"/>
            <w:vMerge w:val="continue"/>
          </w:tcPr>
          <w:p>
            <w:pPr>
              <w:spacing w:after="0"/>
              <w:rPr>
                <w:sz w:val="16"/>
                <w:szCs w:val="16"/>
                <w:color w:val="auto"/>
              </w:rPr>
            </w:pPr>
          </w:p>
        </w:tc>
        <w:tc>
          <w:tcPr>
            <w:tcW w:w="250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20" w:type="dxa"/>
            <w:vAlign w:val="bottom"/>
            <w:tcBorders>
              <w:top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EnviroSolutions Holdings, Inc.</w:t>
            </w:r>
          </w:p>
        </w:tc>
        <w:tc>
          <w:tcPr>
            <w:tcW w:w="250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Environmental Services</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13.7%</w:t>
            </w: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11220 Asset Loop, Ste. 201</w:t>
            </w:r>
          </w:p>
        </w:tc>
        <w:tc>
          <w:tcPr>
            <w:tcW w:w="25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Manassas, VA 20109</w:t>
            </w:r>
          </w:p>
        </w:tc>
        <w:tc>
          <w:tcPr>
            <w:tcW w:w="2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40" w:type="dxa"/>
            <w:vAlign w:val="bottom"/>
            <w:gridSpan w:val="2"/>
          </w:tcPr>
          <w:p>
            <w:pPr>
              <w:spacing w:after="0"/>
              <w:rPr>
                <w:sz w:val="20"/>
                <w:szCs w:val="20"/>
                <w:color w:val="auto"/>
              </w:rPr>
            </w:pPr>
            <w:r>
              <w:rPr>
                <w:rFonts w:ascii="Arial" w:cs="Arial" w:eastAsia="Arial" w:hAnsi="Arial"/>
                <w:sz w:val="14"/>
                <w:szCs w:val="14"/>
                <w:color w:val="auto"/>
              </w:rPr>
              <w:t>PAS Technologies, Inc.</w:t>
            </w:r>
          </w:p>
        </w:tc>
        <w:tc>
          <w:tcPr>
            <w:tcW w:w="250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Aerospace and Defense</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5"/>
              </w:rPr>
              <w:t>22.0%</w:t>
            </w: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(PAS Tech Holdings, Inc.)</w:t>
            </w: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1234 Atlantic Street</w:t>
            </w: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color w:val="auto"/>
              </w:rPr>
              <w:t>North Kansas City, MO 64116</w:t>
            </w:r>
          </w:p>
        </w:tc>
        <w:tc>
          <w:tcPr>
            <w:tcW w:w="2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Performance Holdings, Inc.</w:t>
            </w:r>
          </w:p>
        </w:tc>
        <w:tc>
          <w:tcPr>
            <w:tcW w:w="250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5"/>
              </w:rPr>
              <w:t>Leisure, Amusement, Motion</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Subordinated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(NCP-Performance)</w:t>
            </w:r>
          </w:p>
        </w:tc>
        <w:tc>
          <w:tcPr>
            <w:tcW w:w="25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3"/>
              </w:rPr>
              <w:t>Pictures, Entertainment</w:t>
            </w: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 Performance Way</w:t>
            </w:r>
          </w:p>
        </w:tc>
        <w:tc>
          <w:tcPr>
            <w:tcW w:w="25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Chapel Hill, NC 27514</w:t>
            </w:r>
          </w:p>
        </w:tc>
        <w:tc>
          <w:tcPr>
            <w:tcW w:w="2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40" w:type="dxa"/>
            <w:vAlign w:val="bottom"/>
            <w:gridSpan w:val="2"/>
          </w:tcPr>
          <w:p>
            <w:pPr>
              <w:spacing w:after="0"/>
              <w:rPr>
                <w:sz w:val="20"/>
                <w:szCs w:val="20"/>
                <w:color w:val="auto"/>
              </w:rPr>
            </w:pPr>
            <w:r>
              <w:rPr>
                <w:rFonts w:ascii="Arial" w:cs="Arial" w:eastAsia="Arial" w:hAnsi="Arial"/>
                <w:sz w:val="14"/>
                <w:szCs w:val="14"/>
                <w:color w:val="auto"/>
              </w:rPr>
              <w:t>Service Champ, Inc.</w:t>
            </w:r>
          </w:p>
        </w:tc>
        <w:tc>
          <w:tcPr>
            <w:tcW w:w="250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Auto Sector</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7.7%</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180 New Britain Blvd.</w:t>
            </w: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color w:val="auto"/>
              </w:rPr>
              <w:t>Chalfont, PA 18914</w:t>
            </w:r>
          </w:p>
        </w:tc>
        <w:tc>
          <w:tcPr>
            <w:tcW w:w="2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Companies 25% or More Owned</w:t>
            </w:r>
          </w:p>
        </w:tc>
        <w:tc>
          <w:tcPr>
            <w:tcW w:w="25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540" w:type="dxa"/>
            <w:vAlign w:val="bottom"/>
            <w:gridSpan w:val="2"/>
          </w:tcPr>
          <w:p>
            <w:pPr>
              <w:spacing w:after="0"/>
              <w:rPr>
                <w:sz w:val="20"/>
                <w:szCs w:val="20"/>
                <w:color w:val="auto"/>
              </w:rPr>
            </w:pPr>
            <w:r>
              <w:rPr>
                <w:rFonts w:ascii="Arial" w:cs="Arial" w:eastAsia="Arial" w:hAnsi="Arial"/>
                <w:sz w:val="14"/>
                <w:szCs w:val="14"/>
                <w:color w:val="auto"/>
              </w:rPr>
              <w:t>SuttonPark Holdings, Inc.</w:t>
            </w:r>
          </w:p>
        </w:tc>
        <w:tc>
          <w:tcPr>
            <w:tcW w:w="250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Business Services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4"/>
              </w:rPr>
              <w:t>100.0%</w:t>
            </w:r>
            <w:r>
              <w:rPr>
                <w:rFonts w:ascii="Arial" w:cs="Arial" w:eastAsia="Arial" w:hAnsi="Arial"/>
                <w:sz w:val="12"/>
                <w:szCs w:val="12"/>
                <w:color w:val="auto"/>
                <w:w w:val="94"/>
              </w:rPr>
              <w:t>(2),(3)</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590 Madison Avenue, 15</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Subordinated Debt</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New York, NY 10022</w:t>
            </w: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Preferred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UP Support Services, Inc.</w:t>
            </w:r>
          </w:p>
        </w:tc>
        <w:tc>
          <w:tcPr>
            <w:tcW w:w="250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rPr>
              <w:t>Oil &amp; Gas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30.2%</w:t>
            </w:r>
            <w:r>
              <w:rPr>
                <w:rFonts w:ascii="Arial" w:cs="Arial" w:eastAsia="Arial" w:hAnsi="Arial"/>
                <w:sz w:val="12"/>
                <w:szCs w:val="12"/>
                <w:color w:val="auto"/>
                <w:w w:val="93"/>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4848 Loop Central Drive</w:t>
            </w:r>
          </w:p>
        </w:tc>
        <w:tc>
          <w:tcPr>
            <w:tcW w:w="25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Houston, TX 77081</w:t>
            </w:r>
          </w:p>
        </w:tc>
        <w:tc>
          <w:tcPr>
            <w:tcW w:w="2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where we have voting rights.</w:t>
      </w:r>
    </w:p>
    <w:p>
      <w:pPr>
        <w:ind w:left="340" w:hanging="332"/>
        <w:spacing w:after="0" w:line="221"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Indicates that we hold voting seats on portfolio companies’ boards of directors.</w:t>
      </w: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Indicates that we provide managerial assistance. See “Certain Relationships and Transactions” for more information.</w:t>
      </w:r>
    </w:p>
    <w:p>
      <w:pPr>
        <w:spacing w:after="0" w:line="19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7940" w:type="dxa"/>
            <w:vAlign w:val="bottom"/>
            <w:vMerge w:val="restart"/>
          </w:tcPr>
          <w:p>
            <w:pPr>
              <w:spacing w:after="0"/>
              <w:rPr>
                <w:sz w:val="14"/>
                <w:szCs w:val="14"/>
                <w:color w:val="auto"/>
              </w:rPr>
            </w:pPr>
          </w:p>
        </w:tc>
        <w:tc>
          <w:tcPr>
            <w:tcW w:w="20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34"/>
        </w:trPr>
        <w:tc>
          <w:tcPr>
            <w:tcW w:w="1420" w:type="dxa"/>
            <w:vAlign w:val="bottom"/>
            <w:tcBorders>
              <w:bottom w:val="single" w:sz="8" w:color="auto"/>
            </w:tcBorders>
            <w:vMerge w:val="continue"/>
          </w:tcPr>
          <w:p>
            <w:pPr>
              <w:spacing w:after="0"/>
              <w:rPr>
                <w:sz w:val="11"/>
                <w:szCs w:val="11"/>
                <w:color w:val="auto"/>
              </w:rPr>
            </w:pPr>
          </w:p>
        </w:tc>
        <w:tc>
          <w:tcPr>
            <w:tcW w:w="7940" w:type="dxa"/>
            <w:vAlign w:val="bottom"/>
            <w:vMerge w:val="continue"/>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1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360" w:type="dxa"/>
            <w:vAlign w:val="bottom"/>
            <w:gridSpan w:val="2"/>
            <w:vMerge w:val="restart"/>
            <w:shd w:val="clear" w:color="auto" w:fill="CCEEFF"/>
          </w:tcPr>
          <w:p>
            <w:pPr>
              <w:spacing w:after="0" w:line="155" w:lineRule="exact"/>
              <w:rPr>
                <w:sz w:val="20"/>
                <w:szCs w:val="20"/>
                <w:color w:val="auto"/>
              </w:rPr>
            </w:pPr>
            <w:r>
              <w:rPr>
                <w:rFonts w:ascii="Arial" w:cs="Arial" w:eastAsia="Arial" w:hAnsi="Arial"/>
                <w:sz w:val="14"/>
                <w:szCs w:val="14"/>
                <w:color w:val="auto"/>
              </w:rPr>
              <w:t>Personal, Food and Miscellaneous Services</w:t>
            </w: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9360" w:type="dxa"/>
            <w:vAlign w:val="bottom"/>
            <w:gridSpan w:val="2"/>
            <w:vMerge w:val="continue"/>
            <w:shd w:val="clear" w:color="auto" w:fill="CCEEFF"/>
          </w:tcPr>
          <w:p>
            <w:pPr>
              <w:spacing w:after="0"/>
              <w:rPr>
                <w:sz w:val="11"/>
                <w:szCs w:val="11"/>
                <w:color w:val="auto"/>
              </w:rPr>
            </w:pPr>
          </w:p>
        </w:tc>
        <w:tc>
          <w:tcPr>
            <w:tcW w:w="1500" w:type="dxa"/>
            <w:vAlign w:val="bottom"/>
            <w:gridSpan w:val="2"/>
            <w:shd w:val="clear" w:color="auto" w:fill="CCEEFF"/>
          </w:tcPr>
          <w:p>
            <w:pPr>
              <w:jc w:val="right"/>
              <w:ind w:right="1000"/>
              <w:spacing w:after="0" w:line="136" w:lineRule="exact"/>
              <w:rPr>
                <w:sz w:val="20"/>
                <w:szCs w:val="20"/>
                <w:color w:val="auto"/>
              </w:rPr>
            </w:pPr>
            <w:r>
              <w:rPr>
                <w:rFonts w:ascii="Arial" w:cs="Arial" w:eastAsia="Arial" w:hAnsi="Arial"/>
                <w:sz w:val="14"/>
                <w:szCs w:val="14"/>
                <w:color w:val="auto"/>
              </w:rPr>
              <w:t>11%</w:t>
            </w:r>
          </w:p>
        </w:tc>
        <w:tc>
          <w:tcPr>
            <w:tcW w:w="5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Printing and Publishing</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9</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8</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Electronics</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8</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Energy/Utilities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8</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Healthcare, Education and Childcare</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7</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Oil and Gas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7</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6</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5</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Hotels, Motels, Inns and Gaming</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5</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Media</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5</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Auto Sector</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4</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Communication</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3</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Distribution</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2</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Diversified Natural Resources, Precious Metals and Minerals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2</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Environmental Services</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2</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Cargo Transport</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1</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Education</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1</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Mining, Steel, Iron and Non-Precious Metals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1</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Insurance</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1</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Buildings and Real Estate</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Leisure, Amusement, Motion Pictures, Entertainment</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Telecommunications</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4</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3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360" w:type="dxa"/>
            <w:vAlign w:val="bottom"/>
            <w:gridSpan w:val="2"/>
            <w:vMerge w:val="continue"/>
          </w:tcPr>
          <w:p>
            <w:pPr>
              <w:spacing w:after="0"/>
              <w:rPr>
                <w:sz w:val="13"/>
                <w:szCs w:val="13"/>
                <w:color w:val="auto"/>
              </w:rPr>
            </w:pPr>
          </w:p>
        </w:tc>
        <w:tc>
          <w:tcPr>
            <w:tcW w:w="1500" w:type="dxa"/>
            <w:vAlign w:val="bottom"/>
            <w:gridSpan w:val="2"/>
          </w:tcPr>
          <w:p>
            <w:pPr>
              <w:jc w:val="right"/>
              <w:ind w:right="1000"/>
              <w:spacing w:after="0" w:line="155" w:lineRule="exact"/>
              <w:rPr>
                <w:sz w:val="20"/>
                <w:szCs w:val="20"/>
                <w:color w:val="auto"/>
              </w:rPr>
            </w:pPr>
            <w:r>
              <w:rPr>
                <w:rFonts w:ascii="Arial" w:cs="Arial" w:eastAsia="Arial" w:hAnsi="Arial"/>
                <w:sz w:val="14"/>
                <w:szCs w:val="14"/>
                <w:color w:val="auto"/>
              </w:rPr>
              <w:t>100%</w:t>
            </w: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Director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4000" w:type="dxa"/>
            <w:vAlign w:val="bottom"/>
            <w:gridSpan w:val="3"/>
          </w:tcPr>
          <w:p>
            <w:pPr>
              <w:ind w:left="340"/>
              <w:spacing w:after="0"/>
              <w:rPr>
                <w:sz w:val="20"/>
                <w:szCs w:val="20"/>
                <w:color w:val="auto"/>
              </w:rPr>
            </w:pPr>
            <w:r>
              <w:rPr>
                <w:rFonts w:ascii="Arial" w:cs="Arial" w:eastAsia="Arial" w:hAnsi="Arial"/>
                <w:sz w:val="18"/>
                <w:szCs w:val="18"/>
                <w:b w:val="1"/>
                <w:bCs w:val="1"/>
                <w:color w:val="auto"/>
              </w:rPr>
              <w:t>Position</w:t>
            </w: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Since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of Term</w:t>
            </w:r>
          </w:p>
        </w:tc>
      </w:tr>
      <w:tr>
        <w:trPr>
          <w:trHeight w:val="216"/>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00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4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400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4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4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Arthur H. Penn</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50</w:t>
            </w:r>
          </w:p>
        </w:tc>
        <w:tc>
          <w:tcPr>
            <w:tcW w:w="40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Chairman of the Board and Chief</w:t>
            </w:r>
          </w:p>
        </w:tc>
        <w:tc>
          <w:tcPr>
            <w:tcW w:w="7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2016</w:t>
            </w:r>
          </w:p>
        </w:tc>
      </w:tr>
      <w:tr>
        <w:trPr>
          <w:trHeight w:val="230"/>
        </w:trPr>
        <w:tc>
          <w:tcPr>
            <w:tcW w:w="4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Officer</w:t>
            </w: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Investment.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Age</w:t>
            </w:r>
          </w:p>
        </w:tc>
        <w:tc>
          <w:tcPr>
            <w:tcW w:w="492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460" w:type="dxa"/>
            <w:vAlign w:val="bottom"/>
            <w:tcBorders>
              <w:top w:val="single" w:sz="8" w:color="CCEEFF"/>
            </w:tcBorders>
            <w:shd w:val="clear" w:color="auto" w:fill="CCEEFF"/>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officer who is not a director of PennantPark Investment.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Age</w:t>
            </w:r>
          </w:p>
        </w:tc>
        <w:tc>
          <w:tcPr>
            <w:tcW w:w="492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460" w:type="dxa"/>
            <w:vAlign w:val="bottom"/>
            <w:tcBorders>
              <w:top w:val="single" w:sz="8" w:color="CCEEFF"/>
            </w:tcBorders>
            <w:shd w:val="clear" w:color="auto" w:fill="CCEEFF"/>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Compliance Officer</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office is located at 590 Madison Avenue, 15th Floor, New York, New York 10022.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efficiencies in managing us by eliminating the need to transfer substantial information quickly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18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board of directors and our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180" w:lineRule="exact"/>
        <w:rPr>
          <w:sz w:val="20"/>
          <w:szCs w:val="20"/>
          <w:color w:val="auto"/>
        </w:rPr>
      </w:pPr>
    </w:p>
    <w:p>
      <w:pPr>
        <w:ind w:right="160" w:firstLine="456"/>
        <w:spacing w:after="0" w:line="285"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the compliance policies and procedures and certain of its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w:t>
      </w:r>
    </w:p>
    <w:p>
      <w:pPr>
        <w:spacing w:after="0" w:line="2" w:lineRule="exact"/>
        <w:rPr>
          <w:sz w:val="20"/>
          <w:szCs w:val="20"/>
          <w:color w:val="auto"/>
        </w:rPr>
      </w:pPr>
    </w:p>
    <w:p>
      <w:pPr>
        <w:ind w:right="80" w:firstLine="8"/>
        <w:spacing w:after="0" w:line="255"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9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our business and operations. For example, our ability to incur indebtedness is limited by the asset coverage requirements set forth in the 1940 Act (including any relief provided by the SEC thereto),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our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Adam K. Bernstein (50), Director. Mr. Bernstein became a Director of PennantPark Investment and PennantPark Floating Rate Capital Ltd. in February 2007 and October 2010, respectively. Mr. Bernstein is President of The Bernstein Companies, a Washington, D.C.-based real estate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1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Marshall Brozost (46), Director. Mr. Brozost became a Director of PennantPark Investment Corporation and PennantPark Floating Rate Capital Ltd. in February 2007 and October 2010, respectively. Since May 2012, Mr. Brozost has been a Partner at Schulte Roth &amp; Zabel LLP, where he practices in the real estate and private equity groups. Prior to Schulte Roth &amp; Zabel, Mr. Brozost practiced law at O’Melveny &amp; Myers LLP from 2001 to 2004; Solomon &amp; Weinberg LLP from 2004 to 2005; and Dewey &amp; LeBoeuf LLP from 2005 to 2012. Mr. Brozost also served as a Vice President of Nomura Asset Capital Corporation from 1997 through 2000.</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Jeffrey Flug (51), Director. Mr. Flug became a Director of PennantPark Investment and PennantPark Floating Rate Capital Ltd. in February 2007 and October 2010, respectively. Since October 2012, Mr. Flug has been a director of Sears Hometown and Outlet Stores, Inc. Since 2009, Mr. Flug has been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78" w:lineRule="exact"/>
        <w:rPr>
          <w:sz w:val="20"/>
          <w:szCs w:val="20"/>
          <w:color w:val="auto"/>
        </w:rPr>
      </w:pPr>
    </w:p>
    <w:p>
      <w:pPr>
        <w:ind w:firstLine="571"/>
        <w:spacing w:after="0" w:line="286" w:lineRule="auto"/>
        <w:rPr>
          <w:sz w:val="20"/>
          <w:szCs w:val="20"/>
          <w:color w:val="auto"/>
        </w:rPr>
      </w:pPr>
      <w:r>
        <w:rPr>
          <w:rFonts w:ascii="Arial" w:cs="Arial" w:eastAsia="Arial" w:hAnsi="Arial"/>
          <w:sz w:val="17"/>
          <w:szCs w:val="17"/>
          <w:color w:val="auto"/>
        </w:rPr>
        <w:t>Samuel L. Katz (48), Director. Mr. Katz became a Director of PennantPark Investment and PennantPark Floating Rate Capital Ltd. in February 2007 and October 2010, respectively. Since 2007, Mr. Katz has been the Managing Partner of TZP Group LLC, a private equity fund. He served as Chief Executive Officer of MacAndrews &amp; Forbes Acquisition Holdings, Inc. from 2006 to 2007. From 1996 to 2006, Mr. Katz held a variety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Arthur H. Penn (50), Founder, Chief Executive Officer and Chairman of the board of directors. Mr. Penn became the Chief Executive Officer and a Director of PennantPark Investment and PennantPark Floating Rate Capital Ltd. at their inception in January 2007 and October 2010,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Aviv Efrat (49), Chief Financial Officer and Treasurer. Mr. Efrat became Chief Financial Officer and Treasurer of PennantPark Investment and PennantPark Floating Rate Capital Ltd. in February 2007 and October 2010,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Guy F. Talarico (58), Chief Compliance Officer. Mr. Talarico became Chief Compliance Officer of PennantPark Investment and PennantPark Floating Rate Capital Ltd. in May 2008 and March 2011, respectively. Mr. Talarico has served as Chief Compliance Officer for investment advisers, private funds and investment companies since 2004 when he founded Alaric Compliance Services, LLC.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the fiscal year ended September 30, 2013, we held four board of directors meetings, four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meeting of stockholders.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20" w:firstLine="571"/>
        <w:spacing w:after="0" w:line="277" w:lineRule="auto"/>
        <w:rPr>
          <w:sz w:val="20"/>
          <w:szCs w:val="20"/>
          <w:color w:val="auto"/>
        </w:rPr>
      </w:pPr>
      <w:r>
        <w:rPr>
          <w:rFonts w:ascii="Arial" w:cs="Arial" w:eastAsia="Arial" w:hAnsi="Arial"/>
          <w:sz w:val="18"/>
          <w:szCs w:val="18"/>
          <w:color w:val="auto"/>
        </w:rPr>
        <w:t>The members of the Audit Committee are Messrs. Bernstein, Brozost, Flug and Katz, each of whom is independent for purposes of the 1940 Act and the NASDAQ and NYSE corporate governance rules. Messrs. Flug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 xml:space="preserve">The members of the Nominating and Corporate Governance Committee are Messrs. Bernstein, Brozost, Flug and Katz, each of whom is independent for purposes of the 1940 Act and the NASDAQ and NYSE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i w:val="1"/>
          <w:iCs w:val="1"/>
          <w:color w:val="auto"/>
        </w:rPr>
        <w:t>.</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Nominating and Corporate Governance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Nominating and Corporate Governance Committee evaluate the membership of the board of directors and whether the board of directors maintains satisfactory policies regarding membership selection.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not an interested person of us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www.pennantpark.com</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2013. No compensation is paid directly by us to any interested director or executive officer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7"/>
              </w:rPr>
              <w:t>PennantPark Investment Corporation</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PennantPark Floating Rate Capital, Ltd.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2"/>
              </w:rPr>
              <w:t>Aggregate</w:t>
            </w:r>
          </w:p>
        </w:tc>
        <w:tc>
          <w:tcPr>
            <w:tcW w:w="13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Pension or</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89"/>
              </w:rPr>
              <w:t>Aggregate</w:t>
            </w:r>
          </w:p>
        </w:tc>
        <w:tc>
          <w:tcPr>
            <w:tcW w:w="156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8"/>
              </w:rPr>
              <w:t>Pension or</w:t>
            </w: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retirement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retirement</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benefits accrued</w:t>
            </w:r>
          </w:p>
        </w:tc>
        <w:tc>
          <w:tcPr>
            <w:tcW w:w="260" w:type="dxa"/>
            <w:vAlign w:val="bottom"/>
          </w:tcPr>
          <w:p>
            <w:pPr>
              <w:spacing w:after="0"/>
              <w:rPr>
                <w:sz w:val="12"/>
                <w:szCs w:val="12"/>
                <w:color w:val="auto"/>
              </w:rPr>
            </w:pPr>
          </w:p>
        </w:tc>
        <w:tc>
          <w:tcPr>
            <w:tcW w:w="12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Total paid to</w:t>
            </w:r>
          </w:p>
        </w:tc>
        <w:tc>
          <w:tcPr>
            <w:tcW w:w="26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8"/>
              </w:rPr>
              <w:t>benefits accrued</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paid to</w:t>
            </w:r>
          </w:p>
        </w:tc>
        <w:tc>
          <w:tcPr>
            <w:tcW w:w="0" w:type="dxa"/>
            <w:vAlign w:val="bottom"/>
          </w:tcPr>
          <w:p>
            <w:pPr>
              <w:spacing w:after="0"/>
              <w:rPr>
                <w:sz w:val="1"/>
                <w:szCs w:val="1"/>
                <w:color w:val="auto"/>
              </w:rPr>
            </w:pPr>
          </w:p>
        </w:tc>
      </w:tr>
      <w:tr>
        <w:trPr>
          <w:trHeight w:val="149"/>
        </w:trPr>
        <w:tc>
          <w:tcPr>
            <w:tcW w:w="25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from the</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as part of our</w:t>
            </w:r>
          </w:p>
        </w:tc>
        <w:tc>
          <w:tcPr>
            <w:tcW w:w="2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from the</w:t>
            </w: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as part of our</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71"/>
        </w:trPr>
        <w:tc>
          <w:tcPr>
            <w:tcW w:w="2540" w:type="dxa"/>
            <w:vAlign w:val="bottom"/>
            <w:gridSpan w:val="6"/>
            <w:vMerge w:val="continue"/>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Company</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expense</w:t>
            </w:r>
            <w:r>
              <w:rPr>
                <w:rFonts w:ascii="Arial" w:cs="Arial" w:eastAsia="Arial" w:hAnsi="Arial"/>
                <w:sz w:val="12"/>
                <w:szCs w:val="12"/>
                <w:b w:val="1"/>
                <w:bCs w:val="1"/>
                <w:color w:val="auto"/>
                <w:w w:val="87"/>
              </w:rPr>
              <w:t>(1)</w:t>
            </w:r>
          </w:p>
        </w:tc>
        <w:tc>
          <w:tcPr>
            <w:tcW w:w="2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Company</w:t>
            </w: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expense</w:t>
            </w:r>
            <w:r>
              <w:rPr>
                <w:rFonts w:ascii="Arial" w:cs="Arial" w:eastAsia="Arial" w:hAnsi="Arial"/>
                <w:sz w:val="12"/>
                <w:szCs w:val="12"/>
                <w:b w:val="1"/>
                <w:bCs w:val="1"/>
                <w:color w:val="auto"/>
                <w:w w:val="87"/>
              </w:rPr>
              <w:t>(1)</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Independent directors</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Adam K. Bernstein</w:t>
            </w:r>
          </w:p>
        </w:tc>
        <w:tc>
          <w:tcPr>
            <w:tcW w:w="8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ind w:left="84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gridSpan w:val="2"/>
          </w:tcPr>
          <w:p>
            <w:pPr>
              <w:jc w:val="right"/>
              <w:ind w:right="520"/>
              <w:spacing w:after="0"/>
              <w:rPr>
                <w:sz w:val="20"/>
                <w:szCs w:val="20"/>
                <w:color w:val="auto"/>
              </w:rPr>
            </w:pPr>
            <w:r>
              <w:rPr>
                <w:rFonts w:ascii="Arial" w:cs="Arial" w:eastAsia="Arial" w:hAnsi="Arial"/>
                <w:sz w:val="18"/>
                <w:szCs w:val="18"/>
                <w:color w:val="auto"/>
              </w:rPr>
              <w:t>102,500</w:t>
            </w:r>
          </w:p>
        </w:tc>
        <w:tc>
          <w:tcPr>
            <w:tcW w:w="130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None</w:t>
            </w:r>
          </w:p>
        </w:tc>
        <w:tc>
          <w:tcPr>
            <w:tcW w:w="540" w:type="dxa"/>
            <w:vAlign w:val="bottom"/>
            <w:tcBorders>
              <w:top w:val="single" w:sz="8" w:color="CCEEFF"/>
            </w:tcBorders>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w w:val="98"/>
              </w:rPr>
              <w:t>102,500</w:t>
            </w:r>
          </w:p>
        </w:tc>
        <w:tc>
          <w:tcPr>
            <w:tcW w:w="360" w:type="dxa"/>
            <w:vAlign w:val="bottom"/>
            <w:tcBorders>
              <w:top w:val="single" w:sz="8" w:color="CCEEFF"/>
            </w:tcBorders>
            <w:gridSpan w:val="2"/>
          </w:tcPr>
          <w:p>
            <w:pPr>
              <w:ind w:left="26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gridSpan w:val="2"/>
          </w:tcPr>
          <w:p>
            <w:pPr>
              <w:jc w:val="right"/>
              <w:ind w:right="540"/>
              <w:spacing w:after="0"/>
              <w:rPr>
                <w:sz w:val="20"/>
                <w:szCs w:val="20"/>
                <w:color w:val="auto"/>
              </w:rPr>
            </w:pPr>
            <w:r>
              <w:rPr>
                <w:rFonts w:ascii="Arial" w:cs="Arial" w:eastAsia="Arial" w:hAnsi="Arial"/>
                <w:sz w:val="18"/>
                <w:szCs w:val="18"/>
                <w:color w:val="auto"/>
              </w:rPr>
              <w:t>57,500</w:t>
            </w:r>
          </w:p>
        </w:tc>
        <w:tc>
          <w:tcPr>
            <w:tcW w:w="1560" w:type="dxa"/>
            <w:vAlign w:val="bottom"/>
            <w:tcBorders>
              <w:top w:val="single" w:sz="8" w:color="CCEEFF"/>
            </w:tcBorders>
            <w:gridSpan w:val="2"/>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9"/>
              </w:rPr>
              <w:t>$57,500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102,500</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102,500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57,500</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$57,500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5"/>
          </w:tcPr>
          <w:p>
            <w:pPr>
              <w:spacing w:after="0"/>
              <w:rPr>
                <w:sz w:val="20"/>
                <w:szCs w:val="20"/>
                <w:color w:val="auto"/>
              </w:rPr>
            </w:pPr>
            <w:r>
              <w:rPr>
                <w:rFonts w:ascii="Arial" w:cs="Arial" w:eastAsia="Arial" w:hAnsi="Arial"/>
                <w:sz w:val="18"/>
                <w:szCs w:val="18"/>
                <w:color w:val="auto"/>
              </w:rPr>
              <w:t>Jeffrey Flug</w:t>
            </w: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112,500</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112,500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60,000</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Samuel L. Katz</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112,500</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112,500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60,000</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$60,000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Interested director</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Arthur H. Penn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Executive officer</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5"/>
                <w:szCs w:val="15"/>
                <w:color w:val="auto"/>
              </w:rPr>
              <w:t>(2)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Mr. Efrat is an employee of the Administrator.</w:t>
      </w:r>
    </w:p>
    <w:p>
      <w:pPr>
        <w:spacing w:after="0" w:line="21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Each Independent Director receives an annual payment of $90,000 for services performed on behalf of us as a director. The Independent Directors also receive $2,500 plus reimbursement of reasonable out-of-pocket expenses incurred in connection with attending each board of directors meeting and receive $1,000 plus reimbursement of reasonable out-of-pocket expenses incurred in connection with attending each committee meeting (unless combined with a board of directors meeting). In addition, each Co-Chairman of the Audit Committee receives an annual fee of $12,500 and each Co-Chairman of any other committee receives an annual fee of $2,500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NAV or the market price at the time of payment. No compensation is expected to be paid to directors who are “interested persons” (as defined in the 1940 Act).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11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Our Investment Adviser has three experienced senior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7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88"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September 30, 2013, our portfolio managers also managed investments on behalf of the following entity: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720" w:type="dxa"/>
            <w:vAlign w:val="bottom"/>
            <w:gridSpan w:val="2"/>
          </w:tcPr>
          <w:p>
            <w:pPr>
              <w:ind w:left="340"/>
              <w:spacing w:after="0"/>
              <w:rPr>
                <w:sz w:val="20"/>
                <w:szCs w:val="20"/>
                <w:color w:val="auto"/>
              </w:rPr>
            </w:pPr>
            <w:r>
              <w:rPr>
                <w:rFonts w:ascii="Arial" w:cs="Arial" w:eastAsia="Arial" w:hAnsi="Arial"/>
                <w:sz w:val="18"/>
                <w:szCs w:val="18"/>
                <w:b w:val="1"/>
                <w:bCs w:val="1"/>
                <w:color w:val="auto"/>
              </w:rPr>
              <w:t>Gross Assets</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vMerge w:val="continue"/>
          </w:tcPr>
          <w:p>
            <w:pPr>
              <w:spacing w:after="0"/>
              <w:rPr>
                <w:sz w:val="20"/>
                <w:szCs w:val="20"/>
                <w:color w:val="auto"/>
              </w:rPr>
            </w:pPr>
          </w:p>
        </w:tc>
        <w:tc>
          <w:tcPr>
            <w:tcW w:w="2600" w:type="dxa"/>
            <w:vAlign w:val="bottom"/>
            <w:gridSpan w:val="3"/>
          </w:tcPr>
          <w:p>
            <w:pPr>
              <w:ind w:left="340"/>
              <w:spacing w:after="0"/>
              <w:rPr>
                <w:sz w:val="20"/>
                <w:szCs w:val="20"/>
                <w:color w:val="auto"/>
              </w:rPr>
            </w:pPr>
            <w:r>
              <w:rPr>
                <w:rFonts w:ascii="Arial" w:cs="Arial" w:eastAsia="Arial" w:hAnsi="Arial"/>
                <w:sz w:val="18"/>
                <w:szCs w:val="18"/>
                <w:b w:val="1"/>
                <w:bCs w:val="1"/>
                <w:color w:val="auto"/>
              </w:rPr>
              <w:t>Entity</w:t>
            </w:r>
          </w:p>
        </w:tc>
        <w:tc>
          <w:tcPr>
            <w:tcW w:w="3180" w:type="dxa"/>
            <w:vAlign w:val="bottom"/>
          </w:tcPr>
          <w:p>
            <w:pPr>
              <w:spacing w:after="0"/>
              <w:rPr>
                <w:sz w:val="20"/>
                <w:szCs w:val="20"/>
                <w:color w:val="auto"/>
              </w:rPr>
            </w:pPr>
            <w:r>
              <w:rPr>
                <w:rFonts w:ascii="Arial" w:cs="Arial" w:eastAsia="Arial" w:hAnsi="Arial"/>
                <w:sz w:val="18"/>
                <w:szCs w:val="18"/>
                <w:b w:val="1"/>
                <w:bCs w:val="1"/>
                <w:color w:val="auto"/>
              </w:rPr>
              <w:t>Investment Focus</w:t>
            </w:r>
          </w:p>
        </w:tc>
        <w:tc>
          <w:tcPr>
            <w:tcW w:w="1720" w:type="dxa"/>
            <w:vAlign w:val="bottom"/>
            <w:gridSpan w:val="2"/>
          </w:tcPr>
          <w:p>
            <w:pPr>
              <w:ind w:left="340"/>
              <w:spacing w:after="0"/>
              <w:rPr>
                <w:sz w:val="20"/>
                <w:szCs w:val="20"/>
                <w:color w:val="auto"/>
              </w:rPr>
            </w:pPr>
            <w:r>
              <w:rPr>
                <w:rFonts w:ascii="Arial" w:cs="Arial" w:eastAsia="Arial" w:hAnsi="Arial"/>
                <w:sz w:val="18"/>
                <w:szCs w:val="18"/>
                <w:b w:val="1"/>
                <w:bCs w:val="1"/>
                <w:color w:val="auto"/>
              </w:rPr>
              <w:t>($ in millions)</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PennantPark Floating Rate</w:t>
            </w:r>
          </w:p>
        </w:tc>
        <w:tc>
          <w:tcPr>
            <w:tcW w:w="34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Ltd.</w:t>
            </w:r>
          </w:p>
        </w:tc>
        <w:tc>
          <w:tcPr>
            <w:tcW w:w="2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Business development</w:t>
            </w: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Primarily floating rate loans, with an</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company</w:t>
            </w: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emphasis on senior secured loans, in</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middle-market leveraged</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companies.</w:t>
            </w: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Other Managed Fund</w:t>
            </w:r>
          </w:p>
        </w:tc>
        <w:tc>
          <w:tcPr>
            <w:tcW w:w="260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Private Investment</w:t>
            </w: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Other credit opportunities</w:t>
            </w:r>
          </w:p>
        </w:tc>
        <w:tc>
          <w:tcPr>
            <w:tcW w:w="17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2600" w:type="dxa"/>
            <w:vAlign w:val="bottom"/>
            <w:gridSpan w:val="3"/>
          </w:tcPr>
          <w:p>
            <w:pPr>
              <w:ind w:left="340"/>
              <w:spacing w:after="0"/>
              <w:rPr>
                <w:sz w:val="20"/>
                <w:szCs w:val="20"/>
                <w:color w:val="auto"/>
              </w:rPr>
            </w:pPr>
            <w:r>
              <w:rPr>
                <w:rFonts w:ascii="Arial" w:cs="Arial" w:eastAsia="Arial" w:hAnsi="Arial"/>
                <w:sz w:val="18"/>
                <w:szCs w:val="18"/>
                <w:color w:val="auto"/>
              </w:rPr>
              <w:t>Fund</w:t>
            </w:r>
          </w:p>
        </w:tc>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management and incentive fees payable by PennantPark Floating Rate Capital Ltd. are based on the gross assets and performance of PennantPark Floating Rate Capital Ltd.,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of December 11, 2013, to our knowledge, no person would be deemed to “control” us, as such term is defined in the 1940 Act. Our directors consist of an interested director and Independent Directors.</w:t>
      </w:r>
    </w:p>
    <w:p>
      <w:pPr>
        <w:spacing w:after="0" w:line="17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The following table sets forth, as of December 11, 2013,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of Common</w:t>
            </w:r>
          </w:p>
        </w:tc>
        <w:tc>
          <w:tcPr>
            <w:tcW w:w="0" w:type="dxa"/>
            <w:vAlign w:val="bottom"/>
          </w:tcPr>
          <w:p>
            <w:pPr>
              <w:spacing w:after="0"/>
              <w:rPr>
                <w:sz w:val="1"/>
                <w:szCs w:val="1"/>
                <w:color w:val="auto"/>
              </w:rPr>
            </w:pPr>
          </w:p>
        </w:tc>
      </w:tr>
      <w:tr>
        <w:trPr>
          <w:trHeight w:val="216"/>
        </w:trPr>
        <w:tc>
          <w:tcPr>
            <w:tcW w:w="6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 and Address</w:t>
            </w:r>
            <w:r>
              <w:rPr>
                <w:rFonts w:ascii="Arial" w:cs="Arial" w:eastAsia="Arial" w:hAnsi="Arial"/>
                <w:sz w:val="15"/>
                <w:szCs w:val="15"/>
                <w:b w:val="1"/>
                <w:bCs w:val="1"/>
                <w:color w:val="auto"/>
              </w:rPr>
              <w:t>(1)</w:t>
            </w:r>
          </w:p>
        </w:tc>
        <w:tc>
          <w:tcPr>
            <w:tcW w:w="254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Type of Ownership</w:t>
            </w:r>
            <w:r>
              <w:rPr>
                <w:rFonts w:ascii="Arial" w:cs="Arial" w:eastAsia="Arial" w:hAnsi="Arial"/>
                <w:sz w:val="15"/>
                <w:szCs w:val="15"/>
                <w:b w:val="1"/>
                <w:bCs w:val="1"/>
                <w:color w:val="auto"/>
              </w:rPr>
              <w:t>(4)</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Shares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Stock</w:t>
            </w:r>
          </w:p>
        </w:tc>
        <w:tc>
          <w:tcPr>
            <w:tcW w:w="0" w:type="dxa"/>
            <w:vAlign w:val="bottom"/>
          </w:tcPr>
          <w:p>
            <w:pPr>
              <w:spacing w:after="0"/>
              <w:rPr>
                <w:sz w:val="1"/>
                <w:szCs w:val="1"/>
                <w:color w:val="auto"/>
              </w:rPr>
            </w:pPr>
          </w:p>
        </w:tc>
      </w:tr>
      <w:tr>
        <w:trPr>
          <w:trHeight w:val="234"/>
        </w:trPr>
        <w:tc>
          <w:tcPr>
            <w:tcW w:w="6520" w:type="dxa"/>
            <w:vAlign w:val="bottom"/>
            <w:gridSpan w:val="3"/>
            <w:vMerge w:val="continue"/>
          </w:tcPr>
          <w:p>
            <w:pPr>
              <w:spacing w:after="0"/>
              <w:rPr>
                <w:sz w:val="20"/>
                <w:szCs w:val="20"/>
                <w:color w:val="auto"/>
              </w:rPr>
            </w:pPr>
          </w:p>
        </w:tc>
        <w:tc>
          <w:tcPr>
            <w:tcW w:w="2540" w:type="dxa"/>
            <w:vAlign w:val="bottom"/>
            <w:gridSpan w:val="2"/>
            <w:vMerge w:val="continue"/>
          </w:tcPr>
          <w:p>
            <w:pPr>
              <w:spacing w:after="0"/>
              <w:rPr>
                <w:sz w:val="20"/>
                <w:szCs w:val="20"/>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Owned</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580" w:type="dxa"/>
            <w:vAlign w:val="bottom"/>
            <w:tcBorders>
              <w:top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212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2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5"/>
                <w:szCs w:val="15"/>
                <w:color w:val="auto"/>
              </w:rPr>
              <w:t>(2)</w:t>
            </w:r>
          </w:p>
        </w:tc>
        <w:tc>
          <w:tcPr>
            <w:tcW w:w="254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88,971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Marshall Brozost</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13,540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Jeffrey Flug</w:t>
            </w:r>
          </w:p>
        </w:tc>
        <w:tc>
          <w:tcPr>
            <w:tcW w:w="254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227,288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Samuel L. Katz</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113,482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(3)</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537,323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Aviv Efrat</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44,790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520" w:type="dxa"/>
            <w:vAlign w:val="bottom"/>
            <w:gridSpan w:val="3"/>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2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1,025,394</w:t>
            </w:r>
          </w:p>
        </w:tc>
        <w:tc>
          <w:tcPr>
            <w:tcW w:w="5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15th Floor, New York, New York 10022.</w:t>
      </w:r>
    </w:p>
    <w:p>
      <w:pPr>
        <w:spacing w:after="0" w:line="23"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of PNNT held by JAM Investments, LLC.</w:t>
      </w:r>
    </w:p>
    <w:p>
      <w:pPr>
        <w:ind w:left="460" w:right="240" w:hanging="452"/>
        <w:spacing w:after="0" w:line="250"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Mr. Penn is the Managing Member of the Investment Adviser and may therefore be deemed to own beneficially the 342,611 shares of PNNT held by the Investment Adviser.</w:t>
      </w: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07"/>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senior investment professionals as of December 6, 2013. Information as to the beneficial ownerships is based on information furnished to us by such persons. We are not part of a “family of investment companies,” as that term is defined in the 1940 Act.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5760" w:type="dxa"/>
            <w:vAlign w:val="bottom"/>
            <w:gridSpan w:val="5"/>
          </w:tcPr>
          <w:p>
            <w:pPr>
              <w:jc w:val="center"/>
              <w:ind w:left="1130"/>
              <w:spacing w:after="0"/>
              <w:rPr>
                <w:sz w:val="20"/>
                <w:szCs w:val="20"/>
                <w:color w:val="auto"/>
              </w:rPr>
            </w:pPr>
            <w:r>
              <w:rPr>
                <w:rFonts w:ascii="Arial" w:cs="Arial" w:eastAsia="Arial" w:hAnsi="Arial"/>
                <w:sz w:val="18"/>
                <w:szCs w:val="18"/>
                <w:b w:val="1"/>
                <w:bCs w:val="1"/>
                <w:color w:val="auto"/>
                <w:w w:val="90"/>
              </w:rPr>
              <w:t>Dollar Range of the Common Stock of the Companies</w:t>
            </w:r>
            <w:r>
              <w:rPr>
                <w:rFonts w:ascii="Arial" w:cs="Arial" w:eastAsia="Arial" w:hAnsi="Arial"/>
                <w:sz w:val="15"/>
                <w:szCs w:val="15"/>
                <w:b w:val="1"/>
                <w:bCs w:val="1"/>
                <w:color w:val="auto"/>
                <w:w w:val="90"/>
              </w:rPr>
              <w:t>(1)</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740" w:type="dxa"/>
            <w:vAlign w:val="bottom"/>
          </w:tcPr>
          <w:p>
            <w:pPr>
              <w:spacing w:after="0"/>
              <w:rPr>
                <w:sz w:val="17"/>
                <w:szCs w:val="17"/>
                <w:color w:val="auto"/>
              </w:rPr>
            </w:pPr>
          </w:p>
        </w:tc>
        <w:tc>
          <w:tcPr>
            <w:tcW w:w="240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PennantPark</w:t>
            </w:r>
          </w:p>
        </w:tc>
        <w:tc>
          <w:tcPr>
            <w:tcW w:w="240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PennantPark</w:t>
            </w:r>
          </w:p>
        </w:tc>
        <w:tc>
          <w:tcPr>
            <w:tcW w:w="9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Investment</w:t>
            </w: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Floating Rate</w:t>
            </w: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Corporation</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Capital Ltd.</w:t>
            </w:r>
          </w:p>
        </w:tc>
        <w:tc>
          <w:tcPr>
            <w:tcW w:w="216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5"/>
                <w:szCs w:val="15"/>
                <w:color w:val="auto"/>
              </w:rPr>
              <w:t>(2)</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Over $1,000,000</w:t>
            </w:r>
          </w:p>
        </w:tc>
        <w:tc>
          <w:tcPr>
            <w:tcW w:w="2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$ 50,001 - $100,000</w:t>
            </w:r>
          </w:p>
        </w:tc>
        <w:tc>
          <w:tcPr>
            <w:tcW w:w="2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Marshall Brozost</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$100,001 - $500,000</w:t>
            </w:r>
          </w:p>
        </w:tc>
        <w:tc>
          <w:tcPr>
            <w:tcW w:w="220" w:type="dxa"/>
            <w:vAlign w:val="bottom"/>
          </w:tcPr>
          <w:p>
            <w:pPr>
              <w:spacing w:after="0"/>
              <w:rPr>
                <w:sz w:val="18"/>
                <w:szCs w:val="18"/>
                <w:color w:val="auto"/>
              </w:rPr>
            </w:pP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None</w:t>
            </w:r>
          </w:p>
        </w:tc>
        <w:tc>
          <w:tcPr>
            <w:tcW w:w="2160" w:type="dxa"/>
            <w:vAlign w:val="bottom"/>
            <w:gridSpan w:val="2"/>
          </w:tcPr>
          <w:p>
            <w:pPr>
              <w:jc w:val="right"/>
              <w:ind w:right="170"/>
              <w:spacing w:after="0"/>
              <w:rPr>
                <w:sz w:val="20"/>
                <w:szCs w:val="20"/>
                <w:color w:val="auto"/>
              </w:rPr>
            </w:pPr>
            <w:r>
              <w:rPr>
                <w:rFonts w:ascii="Arial" w:cs="Arial" w:eastAsia="Arial" w:hAnsi="Arial"/>
                <w:sz w:val="18"/>
                <w:szCs w:val="18"/>
                <w:color w:val="auto"/>
              </w:rPr>
              <w:t>$100,001 - $  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Jeffrey Flug</w:t>
            </w:r>
          </w:p>
        </w:tc>
        <w:tc>
          <w:tcPr>
            <w:tcW w:w="2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4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None</w:t>
            </w:r>
          </w:p>
        </w:tc>
        <w:tc>
          <w:tcPr>
            <w:tcW w:w="21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Samuel L. Katz</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$500,001 - $1,000,000</w:t>
            </w:r>
          </w:p>
        </w:tc>
        <w:tc>
          <w:tcPr>
            <w:tcW w:w="220" w:type="dxa"/>
            <w:vAlign w:val="bottom"/>
          </w:tcPr>
          <w:p>
            <w:pPr>
              <w:spacing w:after="0"/>
              <w:rPr>
                <w:sz w:val="20"/>
                <w:szCs w:val="20"/>
                <w:color w:val="auto"/>
              </w:rPr>
            </w:pPr>
          </w:p>
        </w:tc>
        <w:tc>
          <w:tcPr>
            <w:tcW w:w="2160" w:type="dxa"/>
            <w:vAlign w:val="bottom"/>
            <w:gridSpan w:val="2"/>
          </w:tcPr>
          <w:p>
            <w:pPr>
              <w:jc w:val="right"/>
              <w:ind w:right="39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(3)</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160" w:type="dxa"/>
            <w:vAlign w:val="bottom"/>
            <w:gridSpan w:val="2"/>
          </w:tcPr>
          <w:p>
            <w:pPr>
              <w:jc w:val="right"/>
              <w:ind w:right="39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Investment Professionals</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Jose A. Briones</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$500,001 - $1,000,000</w:t>
            </w:r>
          </w:p>
        </w:tc>
        <w:tc>
          <w:tcPr>
            <w:tcW w:w="22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$100,001 - $ 500,000</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$500,001</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w w:val="90"/>
              </w:rPr>
              <w:t>-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Salvatore Giannetti III</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$100,001 - $500,000</w:t>
            </w: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$100,001 - $ 500,000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5"/>
              </w:rPr>
              <w:t>- $  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P. Whitridge Williams, Jr.</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$500,001 - $1,000,000</w:t>
            </w:r>
          </w:p>
        </w:tc>
        <w:tc>
          <w:tcPr>
            <w:tcW w:w="2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$100,001 - $ 500,000</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$500,001</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w w:val="90"/>
              </w:rPr>
              <w:t>-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our SBIC Funds under their investment management agreements. Such investment management agreements do not affect the management or incentive fees that we pay to the Investment Adviser on a consolidated basis. Under the terms of our Investment Management Agreement, the Investment Adviser:</w:t>
      </w:r>
    </w:p>
    <w:p>
      <w:pPr>
        <w:spacing w:after="0" w:line="70" w:lineRule="exact"/>
        <w:rPr>
          <w:sz w:val="20"/>
          <w:szCs w:val="20"/>
          <w:color w:val="auto"/>
        </w:rPr>
      </w:pPr>
    </w:p>
    <w:p>
      <w:pPr>
        <w:ind w:left="660" w:hanging="314"/>
        <w:spacing w:after="0"/>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99" w:lineRule="exact"/>
        <w:rPr>
          <w:rFonts w:ascii="Arial" w:cs="Arial" w:eastAsia="Arial" w:hAnsi="Arial"/>
          <w:sz w:val="16"/>
          <w:szCs w:val="16"/>
          <w:color w:val="auto"/>
        </w:rPr>
      </w:pPr>
    </w:p>
    <w:p>
      <w:pPr>
        <w:ind w:left="660" w:right="540" w:hanging="314"/>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21" w:lineRule="exact"/>
        <w:rPr>
          <w:rFonts w:ascii="Arial" w:cs="Arial" w:eastAsia="Arial" w:hAnsi="Arial"/>
          <w:sz w:val="18"/>
          <w:szCs w:val="18"/>
          <w:color w:val="auto"/>
        </w:rPr>
      </w:pPr>
    </w:p>
    <w:p>
      <w:pPr>
        <w:ind w:left="660" w:hanging="314"/>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11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PennantPark Investment, consisting of two components-a base management fee and an incentive fee, or collectively, Management Fees.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base management fee is calculated at an annual rate of 2.00% of our “average adjusted gross assets”, which equal our gross assets net of U.S. Treasury Bills, temporary draws under any credit facility, repurchase agreements or other balance sheet transactions undertaken at the end of a fiscal quarter for purposes of preserving investment flexibility for the next quarter and adjusted to exclude cash, cash equivalents and unfunded delayed draw loans, if any (see example below),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w:t>
      </w:r>
      <w:r>
        <w:rPr>
          <w:rFonts w:ascii="Arial" w:cs="Arial" w:eastAsia="Arial" w:hAnsi="Arial"/>
          <w:sz w:val="14"/>
          <w:szCs w:val="14"/>
          <w:color w:val="auto"/>
        </w:rPr>
        <w:t>th</w:t>
      </w:r>
      <w:r>
        <w:rPr>
          <w:rFonts w:ascii="Arial" w:cs="Arial" w:eastAsia="Arial" w:hAnsi="Arial"/>
          <w:sz w:val="17"/>
          <w:szCs w:val="17"/>
          <w:color w:val="auto"/>
        </w:rPr>
        <w:t xml:space="preserve">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2013, 2012 and 2011, the Investment Adviser earned base management fees of $21.3 million, $17.5 million and $14.9 million, respectively, from us.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December 31, 20XX = $160 million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March 31, 20XX = $200 million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Treasury bills and temporary draws on credit facilities as of March 31, 20XX = $20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gross assets as of March 31, 20XX = $180 million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Average adjusted gross assets as of December 31, 20XX and March 31, 20XX which are the two most recently completed calendar quarter ends, and appropriately adjusted for any share issuances or repurchases during the current calendar quarter = ($150 million + $180 million) / 2 = $165 million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1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and distributions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that we have not yet received in cash. Pre-Incentive Fee Net Investment Income does not include any realized capital gains, computed net of realized capital losses or unrealized capital appreciation or depreciation. Pre-Incentive Fee Net Investment Income, expressed as a percentage of the value of our net assets at the end of the immediately preceding calendar quarter, is compared to a hurdle rate of 1.75% per quarter (7.00% annualized). We pay the Investment Adviser an incentive fee with respect to our Pre-Incentive Fee Net Investment Income in each calendar quarter as follows: (1) no incentive fee in any calendar quarter in which our Pre-Incentive Fee Net Income does not exceed the hurdle rate of 1.75%, (2) 100% of our Pre-Incentive Fee Net Investment Income the hurdle rate of 1.75%,</w:t>
      </w:r>
    </w:p>
    <w:p>
      <w:pPr>
        <w:spacing w:after="0" w:line="4" w:lineRule="exact"/>
        <w:rPr>
          <w:sz w:val="20"/>
          <w:szCs w:val="20"/>
          <w:color w:val="auto"/>
        </w:rPr>
      </w:pPr>
    </w:p>
    <w:p>
      <w:pPr>
        <w:ind w:right="100" w:firstLine="8"/>
        <w:spacing w:after="0" w:line="287" w:lineRule="auto"/>
        <w:tabs>
          <w:tab w:leader="none" w:pos="255" w:val="left"/>
        </w:tabs>
        <w:numPr>
          <w:ilvl w:val="0"/>
          <w:numId w:val="90"/>
        </w:numPr>
        <w:rPr>
          <w:rFonts w:ascii="Arial" w:cs="Arial" w:eastAsia="Arial" w:hAnsi="Arial"/>
          <w:sz w:val="16"/>
          <w:szCs w:val="16"/>
          <w:color w:val="auto"/>
        </w:rPr>
      </w:pPr>
      <w:r>
        <w:rPr>
          <w:rFonts w:ascii="Arial" w:cs="Arial" w:eastAsia="Arial" w:hAnsi="Arial"/>
          <w:sz w:val="16"/>
          <w:szCs w:val="16"/>
          <w:color w:val="auto"/>
        </w:rPr>
        <w:t>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which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(8.75% annualized), once the hurdle is reached and the catch-up is achieved, 20% of the Pre-Incentive Fee Net Investment Income thereafter is allocated to our Investment Adviser. These calculations are prorated for any share issuances or repurchases, if applicable. For the fiscal years ended September 30, 2013, 2012 and 2011, the Investment Adviser earned $16.8 million, $14.2 million and $13.2 million, respectively, in net investment income from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graphical representation of the calculation of quarterly incentive fee based on Pre-Incentive Fee Net Investment Income: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150495</wp:posOffset>
            </wp:positionV>
            <wp:extent cx="2573020" cy="5060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730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2013, 2012 and 2011 the Investment Adviser did not earn an incentive fee on capital gains as calculated under the Investment Management Agreement (as described above).</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2013, 2012 and 2011, our unrealized and realized capital gains did not exceed our cumulative realized and unrealized losses and therefore resulted in no accrual for capital gains incentive fees under GAAP.</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0.50%</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77" w:lineRule="exact"/>
        <w:rPr>
          <w:sz w:val="20"/>
          <w:szCs w:val="20"/>
          <w:color w:val="auto"/>
        </w:rPr>
      </w:pPr>
    </w:p>
    <w:p>
      <w:pPr>
        <w:ind w:left="460" w:right="3720"/>
        <w:spacing w:after="0" w:line="356" w:lineRule="auto"/>
        <w:rPr>
          <w:sz w:val="20"/>
          <w:szCs w:val="20"/>
          <w:color w:val="auto"/>
        </w:rPr>
      </w:pPr>
      <w:r>
        <w:rPr>
          <w:rFonts w:ascii="Arial" w:cs="Arial" w:eastAsia="Arial" w:hAnsi="Arial"/>
          <w:sz w:val="18"/>
          <w:szCs w:val="18"/>
          <w:color w:val="auto"/>
        </w:rPr>
        <w:t>(investment income—(base management fee + other expenses)) = 0.55% Pre-Incentive Net Investment Income does not exceed the hurdle; therefore there is no incentive fee.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0.50%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131"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50" w:lineRule="exact"/>
        <w:rPr>
          <w:sz w:val="20"/>
          <w:szCs w:val="20"/>
          <w:color w:val="auto"/>
        </w:rPr>
      </w:pPr>
    </w:p>
    <w:p>
      <w:pPr>
        <w:ind w:left="2160" w:hanging="153"/>
        <w:spacing w:after="0"/>
        <w:tabs>
          <w:tab w:leader="none" w:pos="2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2.00% - 1.75%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0.25%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100% X 0.25%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0.25%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0.50%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Incentive fee</w:t>
            </w:r>
          </w:p>
        </w:tc>
        <w:tc>
          <w:tcPr>
            <w:tcW w:w="6580" w:type="dxa"/>
            <w:vAlign w:val="bottom"/>
          </w:tcPr>
          <w:p>
            <w:pPr>
              <w:ind w:left="300"/>
              <w:spacing w:after="0"/>
              <w:rPr>
                <w:sz w:val="20"/>
                <w:szCs w:val="20"/>
                <w:color w:val="auto"/>
              </w:rPr>
            </w:pPr>
            <w:r>
              <w:rPr>
                <w:rFonts w:ascii="Arial" w:cs="Arial" w:eastAsia="Arial" w:hAnsi="Arial"/>
                <w:sz w:val="18"/>
                <w:szCs w:val="18"/>
                <w:color w:val="auto"/>
              </w:rPr>
              <w:t>= 20% x Pre-Incentive Fee Net Investment Income, subject to “catch-up”</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Incentive fee</w:t>
            </w:r>
          </w:p>
        </w:tc>
        <w:tc>
          <w:tcPr>
            <w:tcW w:w="6580" w:type="dxa"/>
            <w:vAlign w:val="bottom"/>
          </w:tcPr>
          <w:p>
            <w:pPr>
              <w:ind w:left="300"/>
              <w:spacing w:after="0"/>
              <w:rPr>
                <w:sz w:val="20"/>
                <w:szCs w:val="20"/>
                <w:color w:val="auto"/>
              </w:rPr>
            </w:pPr>
            <w:r>
              <w:rPr>
                <w:rFonts w:ascii="Arial" w:cs="Arial" w:eastAsia="Arial" w:hAnsi="Arial"/>
                <w:sz w:val="18"/>
                <w:szCs w:val="18"/>
                <w:color w:val="auto"/>
                <w:w w:val="92"/>
              </w:rPr>
              <w:t>= 100% x “catch-up” + (20% x (Pre-Incentive Fee Net Investment Income - 2.1875%))</w:t>
            </w:r>
          </w:p>
        </w:tc>
      </w:tr>
      <w:tr>
        <w:trPr>
          <w:trHeight w:val="271"/>
        </w:trPr>
        <w:tc>
          <w:tcPr>
            <w:tcW w:w="1240" w:type="dxa"/>
            <w:vAlign w:val="bottom"/>
          </w:tcPr>
          <w:p>
            <w:pPr>
              <w:spacing w:after="0"/>
              <w:rPr>
                <w:sz w:val="20"/>
                <w:szCs w:val="20"/>
                <w:color w:val="auto"/>
              </w:rPr>
            </w:pPr>
            <w:r>
              <w:rPr>
                <w:rFonts w:ascii="Arial" w:cs="Arial" w:eastAsia="Arial" w:hAnsi="Arial"/>
                <w:sz w:val="18"/>
                <w:szCs w:val="18"/>
                <w:color w:val="auto"/>
              </w:rPr>
              <w:t>Catch-up</w:t>
            </w:r>
          </w:p>
        </w:tc>
        <w:tc>
          <w:tcPr>
            <w:tcW w:w="6580" w:type="dxa"/>
            <w:vAlign w:val="bottom"/>
          </w:tcPr>
          <w:p>
            <w:pPr>
              <w:ind w:left="300"/>
              <w:spacing w:after="0"/>
              <w:rPr>
                <w:sz w:val="20"/>
                <w:szCs w:val="20"/>
                <w:color w:val="auto"/>
              </w:rPr>
            </w:pPr>
            <w:r>
              <w:rPr>
                <w:rFonts w:ascii="Arial" w:cs="Arial" w:eastAsia="Arial" w:hAnsi="Arial"/>
                <w:sz w:val="18"/>
                <w:szCs w:val="18"/>
                <w:color w:val="auto"/>
              </w:rPr>
              <w:t>= 2.1875% - 1.75%</w:t>
            </w:r>
          </w:p>
        </w:tc>
      </w:tr>
    </w:tbl>
    <w:p>
      <w:pPr>
        <w:spacing w:after="0" w:line="40" w:lineRule="exact"/>
        <w:rPr>
          <w:sz w:val="20"/>
          <w:szCs w:val="20"/>
          <w:color w:val="auto"/>
        </w:rPr>
      </w:pPr>
    </w:p>
    <w:p>
      <w:pPr>
        <w:ind w:left="2160" w:hanging="153"/>
        <w:spacing w:after="0"/>
        <w:tabs>
          <w:tab w:leader="none" w:pos="21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0.4375%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(100% x 0.4375%) + (20% x (2.30% - 2.1875%))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0.46%</w:t>
      </w:r>
    </w:p>
    <w:p>
      <w:pPr>
        <w:spacing w:after="0" w:line="198"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89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2.0% annualized base management fee.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23"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332"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Year 1 incentive fee</w:t>
            </w:r>
          </w:p>
        </w:tc>
        <w:tc>
          <w:tcPr>
            <w:tcW w:w="1780" w:type="dxa"/>
            <w:vAlign w:val="bottom"/>
          </w:tcPr>
          <w:p>
            <w:pPr>
              <w:ind w:left="400"/>
              <w:spacing w:after="0"/>
              <w:rPr>
                <w:sz w:val="20"/>
                <w:szCs w:val="20"/>
                <w:color w:val="auto"/>
              </w:rPr>
            </w:pPr>
            <w:r>
              <w:rPr>
                <w:rFonts w:ascii="Arial" w:cs="Arial" w:eastAsia="Arial" w:hAnsi="Arial"/>
                <w:sz w:val="18"/>
                <w:szCs w:val="18"/>
                <w:color w:val="auto"/>
              </w:rPr>
              <w:t>= 20% x (0)</w:t>
            </w:r>
          </w:p>
        </w:tc>
        <w:tc>
          <w:tcPr>
            <w:tcW w:w="0" w:type="dxa"/>
            <w:vAlign w:val="bottom"/>
          </w:tcPr>
          <w:p>
            <w:pPr>
              <w:spacing w:after="0"/>
              <w:rPr>
                <w:sz w:val="1"/>
                <w:szCs w:val="1"/>
                <w:color w:val="auto"/>
              </w:rPr>
            </w:pPr>
          </w:p>
        </w:tc>
      </w:tr>
      <w:tr>
        <w:trPr>
          <w:trHeight w:val="257"/>
        </w:trPr>
        <w:tc>
          <w:tcPr>
            <w:tcW w:w="1840" w:type="dxa"/>
            <w:vAlign w:val="bottom"/>
          </w:tcPr>
          <w:p>
            <w:pPr>
              <w:spacing w:after="0"/>
              <w:rPr>
                <w:sz w:val="22"/>
                <w:szCs w:val="22"/>
                <w:color w:val="auto"/>
              </w:rPr>
            </w:pPr>
          </w:p>
        </w:tc>
        <w:tc>
          <w:tcPr>
            <w:tcW w:w="1780" w:type="dxa"/>
            <w:vAlign w:val="bottom"/>
          </w:tcPr>
          <w:p>
            <w:pPr>
              <w:ind w:left="40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270"/>
        </w:trPr>
        <w:tc>
          <w:tcPr>
            <w:tcW w:w="1840" w:type="dxa"/>
            <w:vAlign w:val="bottom"/>
            <w:vMerge w:val="restart"/>
          </w:tcPr>
          <w:p>
            <w:pPr>
              <w:spacing w:after="0"/>
              <w:rPr>
                <w:sz w:val="20"/>
                <w:szCs w:val="20"/>
                <w:color w:val="auto"/>
              </w:rPr>
            </w:pPr>
            <w:r>
              <w:rPr>
                <w:rFonts w:ascii="Arial" w:cs="Arial" w:eastAsia="Arial" w:hAnsi="Arial"/>
                <w:sz w:val="18"/>
                <w:szCs w:val="18"/>
                <w:color w:val="auto"/>
              </w:rPr>
              <w:t>Year 2 incentive fee</w:t>
            </w:r>
          </w:p>
        </w:tc>
        <w:tc>
          <w:tcPr>
            <w:tcW w:w="1780" w:type="dxa"/>
            <w:vAlign w:val="bottom"/>
          </w:tcPr>
          <w:p>
            <w:pPr>
              <w:ind w:left="400"/>
              <w:spacing w:after="0"/>
              <w:rPr>
                <w:sz w:val="20"/>
                <w:szCs w:val="20"/>
                <w:color w:val="auto"/>
              </w:rPr>
            </w:pPr>
            <w:r>
              <w:rPr>
                <w:rFonts w:ascii="Arial" w:cs="Arial" w:eastAsia="Arial" w:hAnsi="Arial"/>
                <w:sz w:val="18"/>
                <w:szCs w:val="18"/>
                <w:color w:val="auto"/>
                <w:w w:val="96"/>
              </w:rPr>
              <w:t>= no incentive fee</w:t>
            </w:r>
          </w:p>
        </w:tc>
        <w:tc>
          <w:tcPr>
            <w:tcW w:w="0" w:type="dxa"/>
            <w:vAlign w:val="bottom"/>
          </w:tcPr>
          <w:p>
            <w:pPr>
              <w:spacing w:after="0"/>
              <w:rPr>
                <w:sz w:val="1"/>
                <w:szCs w:val="1"/>
                <w:color w:val="auto"/>
              </w:rPr>
            </w:pPr>
          </w:p>
        </w:tc>
      </w:tr>
      <w:tr>
        <w:trPr>
          <w:trHeight w:val="270"/>
        </w:trPr>
        <w:tc>
          <w:tcPr>
            <w:tcW w:w="1840" w:type="dxa"/>
            <w:vAlign w:val="bottom"/>
            <w:vMerge w:val="continue"/>
          </w:tcPr>
          <w:p>
            <w:pPr>
              <w:spacing w:after="0"/>
              <w:rPr>
                <w:sz w:val="23"/>
                <w:szCs w:val="23"/>
                <w:color w:val="auto"/>
              </w:rPr>
            </w:pPr>
          </w:p>
        </w:tc>
        <w:tc>
          <w:tcPr>
            <w:tcW w:w="1780" w:type="dxa"/>
            <w:vAlign w:val="bottom"/>
          </w:tcPr>
          <w:p>
            <w:pPr>
              <w:ind w:left="400"/>
              <w:spacing w:after="0"/>
              <w:rPr>
                <w:sz w:val="20"/>
                <w:szCs w:val="20"/>
                <w:color w:val="auto"/>
              </w:rPr>
            </w:pPr>
            <w:r>
              <w:rPr>
                <w:rFonts w:ascii="Arial" w:cs="Arial" w:eastAsia="Arial" w:hAnsi="Arial"/>
                <w:sz w:val="18"/>
                <w:szCs w:val="18"/>
                <w:color w:val="auto"/>
                <w:w w:val="93"/>
              </w:rPr>
              <w:t>= 20% x (6% -1%)</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3"/>
                <w:szCs w:val="23"/>
                <w:color w:val="auto"/>
              </w:rPr>
            </w:pPr>
          </w:p>
        </w:tc>
        <w:tc>
          <w:tcPr>
            <w:tcW w:w="1780" w:type="dxa"/>
            <w:vAlign w:val="bottom"/>
          </w:tcPr>
          <w:p>
            <w:pPr>
              <w:ind w:left="400"/>
              <w:spacing w:after="0"/>
              <w:rPr>
                <w:sz w:val="20"/>
                <w:szCs w:val="20"/>
                <w:color w:val="auto"/>
              </w:rPr>
            </w:pPr>
            <w:r>
              <w:rPr>
                <w:rFonts w:ascii="Arial" w:cs="Arial" w:eastAsia="Arial" w:hAnsi="Arial"/>
                <w:sz w:val="18"/>
                <w:szCs w:val="18"/>
                <w:color w:val="auto"/>
              </w:rPr>
              <w:t>= 20% x 5%</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3"/>
                <w:szCs w:val="23"/>
                <w:color w:val="auto"/>
              </w:rPr>
            </w:pPr>
          </w:p>
        </w:tc>
        <w:tc>
          <w:tcPr>
            <w:tcW w:w="1780" w:type="dxa"/>
            <w:vAlign w:val="bottom"/>
          </w:tcPr>
          <w:p>
            <w:pPr>
              <w:ind w:left="400"/>
              <w:spacing w:after="0"/>
              <w:rPr>
                <w:sz w:val="20"/>
                <w:szCs w:val="20"/>
                <w:color w:val="auto"/>
              </w:rPr>
            </w:pPr>
            <w:r>
              <w:rPr>
                <w:rFonts w:ascii="Arial" w:cs="Arial" w:eastAsia="Arial" w:hAnsi="Arial"/>
                <w:sz w:val="18"/>
                <w:szCs w:val="18"/>
                <w:color w:val="auto"/>
              </w:rPr>
              <w:t>= 1%</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PennantPark Investment Advisers is a registered investment adviser under the Investment Advisers Act of 1940, as amended. The principal executive office of PennantPark Investment Advisers is located at 590 Madison Avenue, 15th Floor, New York, NY 10022.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Investment Management Agreement was re-approved by our board of directors, including a majority of our directors who are not interested persons of us or the Investment Adviser, in February 2013. Unless terminated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earlier as described below, our Investment Management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 The Investment Management Agreement will automatically terminate in the event of its assignment.</w:t>
      </w:r>
    </w:p>
    <w:p>
      <w:pPr>
        <w:spacing w:after="0" w:line="183" w:lineRule="exact"/>
        <w:rPr>
          <w:sz w:val="20"/>
          <w:szCs w:val="20"/>
          <w:color w:val="auto"/>
        </w:rPr>
      </w:pPr>
    </w:p>
    <w:p>
      <w:pPr>
        <w:jc w:val="both"/>
        <w:ind w:right="280" w:firstLine="456"/>
        <w:spacing w:after="0" w:line="279" w:lineRule="auto"/>
        <w:rPr>
          <w:sz w:val="20"/>
          <w:szCs w:val="20"/>
          <w:color w:val="auto"/>
        </w:rPr>
      </w:pPr>
      <w:r>
        <w:rPr>
          <w:rFonts w:ascii="Arial" w:cs="Arial" w:eastAsia="Arial" w:hAnsi="Arial"/>
          <w:sz w:val="17"/>
          <w:szCs w:val="17"/>
          <w:color w:val="auto"/>
        </w:rPr>
        <w:t>The Investment Management Agreement may be terminated by either party without penalty upon not more than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entered into an agreement, or the Administration Agreement, with the Administrator, under which the Administrator furnishes us with office facilities, equipment and clerical, bookkeeping and record keeping services at such facilities. Under this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NAV, oversees the preparation and filing of our tax returns and the printing and dissemination of reports to our stockholders, and generally oversees the payment of our expenses and the performance of administrative and professional services rendered to us by others. PennantPark Investment, through the Administrator, provides similar services to our SBIC Funds under their administration agreements.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fiscal years ended September 30, 2013, 2012 and 2011, the Investment Adviser and Administrator, collectively, were reimbursed $2.9 million, $3.6 million and $2.6 million, respectively, from us, including expenses it incurred on behalf of the Administrator for the services described above.</w:t>
      </w:r>
    </w:p>
    <w:p>
      <w:pPr>
        <w:spacing w:after="0" w:line="18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PennantPark Investment entered into an administration agreement with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amount based upon SPH’s allocable portion of the Administrator’s overhead in performing its obligations under the SPH Administration Agreement, including rent and the allocable portion of the cost of compensation and related expenses of our Chief Financial Officer and respective staff. For the fiscal years ended September 30, 2013, 2012 and 2011, PennantPark Investment was reimbursed $0.4 million, $0.7 million and $0.5 million, respectively, from SPH, including expenses it incurred on behalf of the Administrator for the services described above.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PennantPark Investment, in February 2013.</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Unless terminated earlier as described below, our Administration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of us.</w:t>
      </w:r>
    </w:p>
    <w:p>
      <w:pPr>
        <w:spacing w:after="0" w:line="7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Administration Agreement may not be assigned by either party without the consent of the other party. The Administration Agreement may be terminated by either party upon not more than 60 days’ written notice to the other.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As a BDC,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expect that there will not be readily available market values for many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 could be material. See Notes 2 and 5 to the Consolidated Financial Statements.</w:t>
      </w:r>
    </w:p>
    <w:p>
      <w:pPr>
        <w:spacing w:after="0" w:line="18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22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92" w:lineRule="exact"/>
        <w:rPr>
          <w:rFonts w:ascii="Arial" w:cs="Arial" w:eastAsia="Arial" w:hAnsi="Arial"/>
          <w:sz w:val="18"/>
          <w:szCs w:val="18"/>
          <w:color w:val="auto"/>
        </w:rPr>
      </w:pPr>
    </w:p>
    <w:p>
      <w:pPr>
        <w:ind w:left="900" w:right="400" w:hanging="446"/>
        <w:spacing w:after="0" w:line="286" w:lineRule="auto"/>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the Investment Adviser and those of the independent valuation firms on a quarterly basis, periodically assess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we invest in derivative instruments in the future, such instruments would be valued in accordance with our valuation policy.</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PennantPark Investment. Unobservable inputs reflect the assumptions market participants would use in pricing an asset or liability based on the best information available to us at the reporting period date.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In connection with each offering of shares of our common stock, our board of directors or a committee thereof is required to make the determination that we are not selling shares of our common stock at a price below NAV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77"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900" w:right="200" w:hanging="325"/>
        <w:spacing w:after="0" w:line="286" w:lineRule="auto"/>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30" w:lineRule="exact"/>
        <w:rPr>
          <w:rFonts w:ascii="Arial" w:cs="Arial" w:eastAsia="Arial" w:hAnsi="Arial"/>
          <w:sz w:val="17"/>
          <w:szCs w:val="17"/>
          <w:color w:val="auto"/>
        </w:rPr>
      </w:pPr>
    </w:p>
    <w:p>
      <w:pPr>
        <w:ind w:left="900" w:right="620" w:hanging="325"/>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Importantly, this determination will not necessarily require that we calculate the NAV of our common stock in connection with each offering of shares of our common stock, but instead it will involve the determination by our board of directors or a committee thereof that we are not selling shares of our common stock at a price below the then current NAV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then we may undertake such an offering. See “Sales Of Common Stock Below Net Asset Value” for more information.</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the extent that the above procedures result in even a remote possibility that we may (i) in the absence of stockholder approval issue shares of our common stock at a price below the then current NAV of our common stock at the time at which the sale is made or (ii) trigger our undertaking to suspend the offering of shares of our common stock pursuant to this prospectus if the NAV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NAV within two days prior to any such sale to ensure that such sale will not be below our then current NAV, and, in the case of clause (ii) above, to comply with such undertaking or to undertake to determine NAV to ensure that such undertaking has not been triggered.</w:t>
      </w:r>
    </w:p>
    <w:p>
      <w:pPr>
        <w:spacing w:after="0" w:line="18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may, however, subject to the requirements of the 1940 Act, issue rights to acquire our common stock at a price below the current NAV of the common stock if our board of directors determines that such sale is in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66"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459" w:right="2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6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Generally, we intend to issue shares to implement the plan, when our shares are trading at a premium to our NAV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6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P.O. Box 922, Wall Street Station, New York, New York 10269, or by the plan administrator’s Interactive Voice Response System at 1-800-278-4353.</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60"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2013,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The last reported closing market price of our common stock on December 6, 2013 was $11.93 per share. As of September 30, 2013, we had 11 stockholders of record.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September 30,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4"/>
              </w:rPr>
              <w:t>Amount</w:t>
            </w:r>
          </w:p>
        </w:tc>
        <w:tc>
          <w:tcPr>
            <w:tcW w:w="16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Amount Held by</w:t>
            </w: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1600" w:type="dxa"/>
            <w:vAlign w:val="bottom"/>
            <w:gridSpan w:val="2"/>
            <w:vMerge w:val="continue"/>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6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Authorized</w:t>
            </w:r>
          </w:p>
        </w:tc>
        <w:tc>
          <w:tcPr>
            <w:tcW w:w="16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Account</w:t>
            </w: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10"/>
        </w:trPr>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par value $0.001 per share</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100,000,000</w:t>
            </w:r>
          </w:p>
        </w:tc>
        <w:tc>
          <w:tcPr>
            <w:tcW w:w="6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66,499,327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2014, 2015, and 2016,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92"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7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7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4"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8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7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62"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900" w:right="220" w:hanging="325"/>
        <w:spacing w:after="0" w:line="342"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4"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8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660" w:hanging="314"/>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660" w:right="140" w:hanging="314"/>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660" w:right="560" w:hanging="314"/>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660" w:right="480" w:hanging="314"/>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59" w:right="2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provisions of the warrants and that do not materially and adversely affect the interests of the holders of the warrants.</w:t>
      </w:r>
    </w:p>
    <w:p>
      <w:pPr>
        <w:spacing w:after="0" w:line="225"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Under the 1940 Act, we may generally only offer warrants provided that (1) the warrants expire by their terms within ten years, (2) the exercise price is not less than the market value of our common stock at the date of issuance, (3)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459" w:right="2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53" w:lineRule="exact"/>
        <w:rPr>
          <w:rFonts w:ascii="Arial" w:cs="Arial" w:eastAsia="Arial" w:hAnsi="Arial"/>
          <w:sz w:val="16"/>
          <w:szCs w:val="16"/>
          <w:color w:val="auto"/>
        </w:rPr>
      </w:pPr>
    </w:p>
    <w:p>
      <w:pPr>
        <w:ind w:left="900" w:right="260" w:hanging="325"/>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8"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For the fiscal year ended September 30, 2013, we issued $71.3 million in aggregate principal amount of 2025 Notes for net proceeds of $68.8 million after underwriting discounts and offering costs. Interest on the 2025 Notes is paid quarterly on February 1, May 1, August 1 and November 1, at a rate of</w:t>
      </w:r>
    </w:p>
    <w:p>
      <w:pPr>
        <w:spacing w:after="0" w:line="254" w:lineRule="auto"/>
        <w:rPr>
          <w:sz w:val="20"/>
          <w:szCs w:val="20"/>
          <w:color w:val="auto"/>
        </w:rPr>
      </w:pPr>
      <w:r>
        <w:rPr>
          <w:rFonts w:ascii="Arial" w:cs="Arial" w:eastAsia="Arial" w:hAnsi="Arial"/>
          <w:sz w:val="18"/>
          <w:szCs w:val="18"/>
          <w:color w:val="auto"/>
        </w:rPr>
        <w:t>6.25% per year, commencing on May 1, 2013. The 2025 Notes mature on February 1, 2025. We may redeem the 2025 Notes in whole or in part at any time or from time to time on or after February 1, 2016. The 2025 Notes are our general, unsecured obligations and rank equal in right of payment with all of our existing and future senior unsecured indebtedness. The 2025 Notes are quoted on the NYSE under the ticker symbol “PNTA.” The last reported closing market price of the 2025 Notes on December 6, 2013 was $23.93 per $25 of par.</w:t>
      </w:r>
    </w:p>
    <w:p>
      <w:pPr>
        <w:spacing w:after="0" w:line="1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indenture with the SEC.</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prospectus supplement, which will accompany this prospectus, will describe the particular series of debt securities being offered by including:</w:t>
      </w:r>
    </w:p>
    <w:p>
      <w:pPr>
        <w:spacing w:after="0" w:line="142" w:lineRule="exact"/>
        <w:rPr>
          <w:sz w:val="20"/>
          <w:szCs w:val="20"/>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900" w:right="240" w:hanging="325"/>
        <w:spacing w:after="0" w:line="264"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80" w:hanging="325"/>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special federal income tax implications, including, if applicable, federal income tax considerations relating to original issue discount;</w:t>
      </w:r>
    </w:p>
    <w:p>
      <w:pPr>
        <w:spacing w:after="0" w:line="142" w:lineRule="exact"/>
        <w:rPr>
          <w:rFonts w:ascii="Arial" w:cs="Arial" w:eastAsia="Arial" w:hAnsi="Arial"/>
          <w:sz w:val="17"/>
          <w:szCs w:val="17"/>
          <w:color w:val="auto"/>
        </w:rPr>
      </w:pPr>
    </w:p>
    <w:p>
      <w:pPr>
        <w:ind w:left="900" w:right="440" w:hanging="325"/>
        <w:spacing w:after="0" w:line="342" w:lineRule="auto"/>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we are in compliance with our asset coverage,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40"/>
          </w:cols>
          <w:pgMar w:left="240" w:top="460" w:right="3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indenture does not contain any provisions that give you protection in the event we issue a large amount of debt or we are acquired by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54"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88"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8"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900" w:right="360" w:hanging="325"/>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6"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75" w:lineRule="exact"/>
        <w:rPr>
          <w:rFonts w:ascii="Arial" w:cs="Arial" w:eastAsia="Arial" w:hAnsi="Arial"/>
          <w:sz w:val="18"/>
          <w:szCs w:val="18"/>
          <w:color w:val="auto"/>
        </w:rPr>
      </w:pPr>
    </w:p>
    <w:p>
      <w:pPr>
        <w:ind w:left="900" w:right="320" w:hanging="325"/>
        <w:spacing w:after="0" w:line="286" w:lineRule="auto"/>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70" w:lineRule="exact"/>
        <w:rPr>
          <w:rFonts w:ascii="Arial" w:cs="Arial" w:eastAsia="Arial" w:hAnsi="Arial"/>
          <w:sz w:val="17"/>
          <w:szCs w:val="17"/>
          <w:color w:val="auto"/>
        </w:rPr>
      </w:pPr>
    </w:p>
    <w:p>
      <w:pPr>
        <w:ind w:left="900" w:right="600" w:hanging="325"/>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6" w:lineRule="exact"/>
        <w:rPr>
          <w:rFonts w:ascii="Arial" w:cs="Arial" w:eastAsia="Arial" w:hAnsi="Arial"/>
          <w:sz w:val="18"/>
          <w:szCs w:val="18"/>
          <w:color w:val="auto"/>
        </w:rPr>
      </w:pPr>
    </w:p>
    <w:p>
      <w:pPr>
        <w:ind w:left="900" w:right="120" w:hanging="325"/>
        <w:spacing w:after="0" w:line="34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29" w:lineRule="exact"/>
        <w:rPr>
          <w:rFonts w:ascii="Arial" w:cs="Arial" w:eastAsia="Arial" w:hAnsi="Arial"/>
          <w:sz w:val="16"/>
          <w:szCs w:val="16"/>
          <w:color w:val="auto"/>
        </w:rPr>
      </w:pPr>
    </w:p>
    <w:p>
      <w:pPr>
        <w:ind w:left="900" w:right="180" w:hanging="325"/>
        <w:spacing w:after="0" w:line="259"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660" w:right="120" w:hanging="314"/>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30" w:lineRule="exact"/>
        <w:rPr>
          <w:rFonts w:ascii="Arial" w:cs="Arial" w:eastAsia="Arial" w:hAnsi="Arial"/>
          <w:sz w:val="18"/>
          <w:szCs w:val="18"/>
          <w:color w:val="auto"/>
        </w:rPr>
      </w:pPr>
    </w:p>
    <w:p>
      <w:pPr>
        <w:ind w:left="660" w:hanging="314"/>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60" w:right="2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5580" w:right="3200" w:hanging="5005"/>
        <w:spacing w:after="0" w:line="449" w:lineRule="auto"/>
        <w:tabs>
          <w:tab w:leader="none" w:pos="89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118</w:t>
      </w:r>
    </w:p>
    <w:p>
      <w:pPr>
        <w:sectPr>
          <w:pgSz w:w="11900" w:h="16838" w:orient="portrait"/>
          <w:cols w:equalWidth="0" w:num="1">
            <w:col w:w="11360"/>
          </w:cols>
          <w:pgMar w:left="240" w:top="459" w:right="29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342"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7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5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660" w:hanging="314"/>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660" w:right="260" w:hanging="314"/>
        <w:spacing w:after="0" w:line="342" w:lineRule="auto"/>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29" w:lineRule="exact"/>
        <w:rPr>
          <w:rFonts w:ascii="Arial" w:cs="Arial" w:eastAsia="Arial" w:hAnsi="Arial"/>
          <w:sz w:val="16"/>
          <w:szCs w:val="16"/>
          <w:color w:val="auto"/>
        </w:rPr>
      </w:pPr>
    </w:p>
    <w:p>
      <w:pPr>
        <w:ind w:left="660" w:hanging="314"/>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660" w:right="380" w:hanging="314"/>
        <w:spacing w:after="0" w:line="277"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1" w:lineRule="exact"/>
        <w:rPr>
          <w:sz w:val="20"/>
          <w:szCs w:val="20"/>
          <w:color w:val="auto"/>
        </w:rPr>
      </w:pPr>
    </w:p>
    <w:p>
      <w:pPr>
        <w:ind w:right="120" w:firstLine="57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right="860" w:firstLine="456"/>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900" w:right="34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change the place or currency of payment on a debt security (except as otherwise described in the prospectus or prospectus supplement);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60" w:right="2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13" w:lineRule="exact"/>
        <w:rPr>
          <w:rFonts w:ascii="Arial" w:cs="Arial" w:eastAsia="Arial" w:hAnsi="Arial"/>
          <w:sz w:val="16"/>
          <w:szCs w:val="16"/>
          <w:color w:val="auto"/>
        </w:rPr>
      </w:pPr>
    </w:p>
    <w:p>
      <w:pPr>
        <w:ind w:left="900" w:right="180" w:hanging="325"/>
        <w:spacing w:after="0" w:line="342"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00" w:right="22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firstLine="57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94" w:lineRule="exact"/>
        <w:rPr>
          <w:sz w:val="20"/>
          <w:szCs w:val="20"/>
          <w:color w:val="auto"/>
        </w:rPr>
      </w:pPr>
    </w:p>
    <w:p>
      <w:pPr>
        <w:ind w:left="900" w:right="280" w:hanging="325"/>
        <w:spacing w:after="0" w:line="264"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4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00" w:right="280" w:hanging="325"/>
        <w:spacing w:after="0" w:line="264"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86"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6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140" w:hanging="325"/>
        <w:spacing w:after="0" w:line="259"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UNITS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92" w:lineRule="exact"/>
        <w:rPr>
          <w:sz w:val="20"/>
          <w:szCs w:val="20"/>
          <w:color w:val="auto"/>
        </w:rPr>
      </w:pPr>
    </w:p>
    <w:p>
      <w:pPr>
        <w:ind w:left="900" w:right="22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Section 63 requirements are met, the price per share of common stock included in a unit may be below the Company’s then current NAV per share. See “Sales of Common Stock Below Net Asset Value” for more information.</w:t>
      </w:r>
    </w:p>
    <w:p>
      <w:pPr>
        <w:spacing w:after="0" w:line="17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 (3) 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8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7" w:lineRule="exact"/>
        <w:rPr>
          <w:sz w:val="20"/>
          <w:szCs w:val="20"/>
          <w:color w:val="auto"/>
        </w:rPr>
      </w:pPr>
    </w:p>
    <w:p>
      <w:pPr>
        <w:ind w:left="900" w:right="200" w:hanging="446"/>
        <w:spacing w:after="0" w:line="259"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1480" w:right="80" w:hanging="567"/>
        <w:spacing w:after="0" w:line="342" w:lineRule="auto"/>
        <w:tabs>
          <w:tab w:leader="none" w:pos="14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122"/>
        </w:numPr>
        <w:rPr>
          <w:rFonts w:ascii="Arial" w:cs="Arial" w:eastAsia="Arial" w:hAnsi="Arial"/>
          <w:sz w:val="16"/>
          <w:szCs w:val="16"/>
          <w:color w:val="auto"/>
        </w:rPr>
      </w:pPr>
      <w:r>
        <w:rPr>
          <w:rFonts w:ascii="Arial" w:cs="Arial" w:eastAsia="Arial" w:hAnsi="Arial"/>
          <w:sz w:val="16"/>
          <w:szCs w:val="16"/>
          <w:color w:val="auto"/>
        </w:rPr>
        <w:t>has any class of securities listed on a national securities exchange subject to a maximum market capitalization of $250.0 million; or</w:t>
      </w:r>
    </w:p>
    <w:p>
      <w:pPr>
        <w:spacing w:after="0" w:line="153" w:lineRule="exact"/>
        <w:rPr>
          <w:rFonts w:ascii="Arial" w:cs="Arial" w:eastAsia="Arial" w:hAnsi="Arial"/>
          <w:sz w:val="16"/>
          <w:szCs w:val="16"/>
          <w:color w:val="auto"/>
        </w:rPr>
      </w:pPr>
    </w:p>
    <w:p>
      <w:pPr>
        <w:ind w:left="1920" w:right="80" w:hanging="440"/>
        <w:spacing w:after="0" w:line="264" w:lineRule="auto"/>
        <w:tabs>
          <w:tab w:leader="none" w:pos="192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312"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52" w:lineRule="exact"/>
        <w:rPr>
          <w:rFonts w:ascii="Arial" w:cs="Arial" w:eastAsia="Arial" w:hAnsi="Arial"/>
          <w:sz w:val="16"/>
          <w:szCs w:val="16"/>
          <w:color w:val="auto"/>
        </w:rPr>
      </w:pPr>
    </w:p>
    <w:p>
      <w:pPr>
        <w:ind w:left="900" w:right="14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121"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7"/>
          <w:szCs w:val="17"/>
          <w:color w:val="auto"/>
        </w:rPr>
        <w:t>We are permitted, under specified conditions, to issue multiple classes of indebtedness and one class of stock senior to our common stock if our asset coverage, as defined in the 1940 Act, is compliant with the 1940 Act, immediately after each such issuance. In addition, while any senior securities remain outstanding, we must make provisions to prohibit any distribution to our stockholders or the repurchase of such securities or shares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Factors—Risks Relating to our Business and Structure—Regulations governing our operation as a business development company will affect our ability to, and the way in which we, raise additional capital” for more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You may also obtain a copy of our joint code of ethics, after paying a duplicating fee, by electronic request at the following email address: </w:t>
      </w:r>
      <w:r>
        <w:rPr>
          <w:rFonts w:ascii="Arial" w:cs="Arial" w:eastAsia="Arial" w:hAnsi="Arial"/>
          <w:sz w:val="18"/>
          <w:szCs w:val="18"/>
          <w:i w:val="1"/>
          <w:iCs w:val="1"/>
          <w:u w:val="single" w:color="auto"/>
          <w:color w:val="auto"/>
        </w:rPr>
        <w:t>publicinfo@sec.gov</w:t>
      </w:r>
      <w:r>
        <w:rPr>
          <w:rFonts w:ascii="Arial" w:cs="Arial" w:eastAsia="Arial" w:hAnsi="Arial"/>
          <w:sz w:val="18"/>
          <w:szCs w:val="18"/>
          <w:color w:val="auto"/>
        </w:rPr>
        <w:t>, or by writing the SEC’s Public Reference Section, 100 F Street, N.E., Washington, D.C. 20549.</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4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from revealing how we intend to vote on a proposal in order to reduce any attempted influence from interested parties.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4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Our privacy protection policies are available, free of charge,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 addition, the privacy policy is available on the EDGAR Database on the SEC’s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filed as an exhibit to our annual report on Form 10-K (File No. 814-00736), filed on November 16, 2011. You may also obtain copies of our privacy policy, after paying a duplicating fee, by electronic request at the following email address: </w:t>
      </w:r>
      <w:r>
        <w:rPr>
          <w:rFonts w:ascii="Arial" w:cs="Arial" w:eastAsia="Arial" w:hAnsi="Arial"/>
          <w:sz w:val="17"/>
          <w:szCs w:val="17"/>
          <w:i w:val="1"/>
          <w:iCs w:val="1"/>
          <w:u w:val="single" w:color="auto"/>
          <w:color w:val="auto"/>
        </w:rPr>
        <w:t>publicinfo@sec.gov</w:t>
      </w:r>
      <w:r>
        <w:rPr>
          <w:rFonts w:ascii="Arial" w:cs="Arial" w:eastAsia="Arial" w:hAnsi="Arial"/>
          <w:sz w:val="17"/>
          <w:szCs w:val="17"/>
          <w:color w:val="auto"/>
        </w:rPr>
        <w:t>, or by writing the SEC’s Public Reference Section, 100 F Street, N.E., Washington, D.C. 20549.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and SBA for compliance with the 1940 Act and 1958 Act, respectively.</w:t>
      </w:r>
    </w:p>
    <w:p>
      <w:pPr>
        <w:spacing w:after="0" w:line="225"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w:t>
      </w:r>
    </w:p>
    <w:p>
      <w:pPr>
        <w:spacing w:after="0" w:line="131" w:lineRule="exact"/>
        <w:rPr>
          <w:sz w:val="20"/>
          <w:szCs w:val="20"/>
          <w:color w:val="auto"/>
        </w:rPr>
      </w:pPr>
    </w:p>
    <w:p>
      <w:pPr>
        <w:ind w:left="900" w:right="140" w:hanging="325"/>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75" w:lineRule="exact"/>
        <w:rPr>
          <w:rFonts w:ascii="Arial" w:cs="Arial" w:eastAsia="Arial" w:hAnsi="Arial"/>
          <w:sz w:val="18"/>
          <w:szCs w:val="18"/>
          <w:color w:val="auto"/>
        </w:rPr>
      </w:pPr>
    </w:p>
    <w:p>
      <w:pPr>
        <w:jc w:val="both"/>
        <w:ind w:left="900" w:right="140" w:hanging="325"/>
        <w:spacing w:after="0" w:line="312"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25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Administration Regulations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SBIC LP and SBIC II are licensed under the SBA as SBICs under Section 301(c) of the 1958 Act. SBIC LP and SBIC II received their licenses in July 2010 and January 2013, respectively.</w:t>
      </w:r>
    </w:p>
    <w:p>
      <w:pPr>
        <w:spacing w:after="0" w:line="6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SBICs are designed to stimulate the flow of capital to businesses that meet specified eligibility requirements discussed below. Under SBA regulations, our SBIC Funds are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our SBIC Funds are subject to periodic audits and examinations of their financial statements that are prepared on a basis of accounting other than GAAP pursuant to SBA accounting standards and financial reporting requirements for SBICs. For example, SBIC LP does not use fair value accounting on its assets or liabilities under SBA valuation guidelines. If either of our SBIC Funds fails to comply with applicable SBA regulations, the SBA could, depending on the severity of the violation, limit or prohibit use of debentures, declare outstanding debentures immediately due and payable, and/or limit our SBIC Funds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present SBA regulations, eligible small business include businesses that (together with their affiliates) have tangible net worth not exceeding $18.0 million and have average annual net income of $6.0 million for the two most recent fiscal years. In addition, each of our SBIC Funds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SBA prohibits an SBIC from financing small businesses in certain industries such as relending, gambling, oil and gas exploration and other passive businesses. Additional SBA prohibitions include investing outside the United States, investing more than 20% of regulatory capital in one company and lending money to any officer, director or employee or to invest in any affiliate thereof. The SBA places certain limits on the financing terms of investments by our SBIC Funds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SBA also prohibits, without prior written approval, a “change in control” of our SBIC Funds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Idle Funds Limitation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limits an SBIC from investing idle funds to the following types of securities:</w:t>
      </w:r>
    </w:p>
    <w:p>
      <w:pPr>
        <w:spacing w:after="0" w:line="131" w:lineRule="exact"/>
        <w:rPr>
          <w:sz w:val="20"/>
          <w:szCs w:val="20"/>
          <w:color w:val="auto"/>
        </w:rPr>
      </w:pPr>
    </w:p>
    <w:p>
      <w:pPr>
        <w:ind w:left="900" w:right="360" w:hanging="325"/>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within 15 months from the date of the investment;</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Leverage or Debentures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$150 million, which is up to twice its regulatory capital, and a maximum of $225 million as part of a group of SBICs under common control.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60" w:right="2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60"/>
          </w:cols>
          <w:pgMar w:left="240" w:top="460" w:right="29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(as described below). We also must annually distribute at least 90% of the sum of our ordinary income and realized net short-term capital gains in excess of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and net ordinary gains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ordinary income to provide us with additional liquidity.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ind w:left="1480" w:right="140" w:hanging="567"/>
        <w:spacing w:after="0" w:line="264" w:lineRule="auto"/>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6" w:lineRule="exact"/>
        <w:rPr>
          <w:rFonts w:ascii="Arial" w:cs="Arial" w:eastAsia="Arial" w:hAnsi="Arial"/>
          <w:sz w:val="18"/>
          <w:szCs w:val="18"/>
          <w:color w:val="auto"/>
        </w:rPr>
      </w:pPr>
    </w:p>
    <w:p>
      <w:pPr>
        <w:ind w:left="1480" w:right="180" w:hanging="567"/>
        <w:spacing w:after="0" w:line="286" w:lineRule="auto"/>
        <w:tabs>
          <w:tab w:leader="none" w:pos="148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as a RIC</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year a portion of the OID that accrues over the life of the obligation, regardless of whether cash representing such income is received by us in the same taxable year. Because any OID accrued will be included in our investment company taxable income in the year of accrual, we may be required to make a distribution to our stockholders in order to satisfy the Annual Distribution Requirement, even though we will not have received any corresponding cash amount.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7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Qualify as a RIC</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54"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eligible for a preferential maximum rate to the extent of our current and accumulated earnings and profits. Subject to certain limitations under the Code, dividends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if certain holding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6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6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93"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8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general, individual U.S. stockholders currently are subject to a maximum federal income tax rate of either 15% or 20% (depending on whether the stockholder’s income exceeds certain threshold amounts) on their net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8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taxable years beginning after December 31, 2012, an additional 3.8% Medicare tax will be imposed on certain net investment income (including ordinary dividends and capital gain distributions received from us and net gains from redemptions or other taxable dispositions of our shares) of U.S. individuals,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Recent legislation requires reporting of adjusted cost basis information for covered securities, which generally include shares of a RIC acquired after January 1, 2012, to the Internal Revenue Service, or IRS, and to taxpayers. Stockholders should contact their financial intermediaries with respect to reporting of cost basis and available elections for their accounts.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U.S. stockholders may be subject to federal income tax withholding (“backup withholding”) currently at a rate of 28%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 addition, with respect to certain distributions made by RICs to Non-U.S. stockholders in taxable years beginning before January 1, 2014,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No assurance can be given as to whether legislation will be enacted to extend the application of this provision to taxable years of RICs beginning on or after January 1, 2014.</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9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Effective July 1, 2014, withholding agents will be required to withhold U.S. tax (at a 30% rate) on payments of taxable dividends and (effective January 1, 2017) redemption proceeds and certain capital gain dividends made to certain non-U.S. entities that fail to comply (or be deemed compliant) with extensive new reporting and withholding requirements designed to inform the U.S. Department of the Treasury of U.S.-owned foreign investment accounts.</w:t>
      </w:r>
    </w:p>
    <w:p>
      <w:pPr>
        <w:ind w:right="900"/>
        <w:spacing w:after="0" w:line="261" w:lineRule="auto"/>
        <w:rPr>
          <w:sz w:val="20"/>
          <w:szCs w:val="20"/>
          <w:color w:val="auto"/>
        </w:rPr>
      </w:pPr>
      <w:r>
        <w:rPr>
          <w:rFonts w:ascii="Arial" w:cs="Arial" w:eastAsia="Arial" w:hAnsi="Arial"/>
          <w:sz w:val="18"/>
          <w:szCs w:val="18"/>
          <w:color w:val="auto"/>
        </w:rPr>
        <w:t>Stockholders may be requested to provide additional information to the withholding agents to enable the withholding agents to determine whether withholding is required.</w:t>
      </w:r>
    </w:p>
    <w:p>
      <w:pPr>
        <w:spacing w:after="0" w:line="184"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52" w:lineRule="exact"/>
        <w:rPr>
          <w:sz w:val="20"/>
          <w:szCs w:val="20"/>
          <w:color w:val="auto"/>
        </w:rPr>
      </w:pPr>
    </w:p>
    <w:p>
      <w:pPr>
        <w:ind w:left="900" w:hanging="325"/>
        <w:spacing w:after="0"/>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1"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w:t>
      </w:r>
    </w:p>
    <w:p>
      <w:pPr>
        <w:ind w:right="540"/>
        <w:spacing w:after="0" w:line="261" w:lineRule="auto"/>
        <w:rPr>
          <w:sz w:val="20"/>
          <w:szCs w:val="20"/>
          <w:color w:val="auto"/>
        </w:rPr>
      </w:pPr>
      <w:r>
        <w:rPr>
          <w:rFonts w:ascii="Arial" w:cs="Arial" w:eastAsia="Arial" w:hAnsi="Arial"/>
          <w:sz w:val="18"/>
          <w:szCs w:val="18"/>
          <w:color w:val="auto"/>
        </w:rPr>
        <w:t>Generally, the underwriters’ obligations to purchase the securities will be subject to certain conditions precedent. The underwriters will be obligated to purchase all of the securities if they purchase any of the securities.</w:t>
      </w:r>
    </w:p>
    <w:p>
      <w:pPr>
        <w:spacing w:after="0" w:line="184"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81"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BNY Mellon Investment Servicing (US) Inc. (formerly PNC Global Investment Servicing, Inc.), a subsidiary of The Bank of New York Mellon, provides administrative and accounting services to us under a sub-administration and accounting services agreement. The Bank of New York Mellon (successor in interest of PFPC Trust Company)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6201 15th Avenue, Brooklyn, New York 11219, telephone number: (800) 937-5449. American Stock Transfer &amp; Trust Company, LLC serves as trustee for our 2025 Notes.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Certain legal matters regarding the securities offered by this prospectus will be passed upon for PennantPark Investment by Dechert LLP, Washington, D.C., and by Venable LLP, as special Maryland counsel.</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independent registered public accounting firm until November 21, 2013, KPMG LLP, is located at 345 Park Avenue, New York, New York 10154.</w:t>
      </w:r>
    </w:p>
    <w:p>
      <w:pPr>
        <w:spacing w:after="0" w:line="248" w:lineRule="exact"/>
        <w:rPr>
          <w:sz w:val="20"/>
          <w:szCs w:val="20"/>
          <w:color w:val="auto"/>
        </w:rPr>
      </w:pPr>
    </w:p>
    <w:p>
      <w:pPr>
        <w:jc w:val="center"/>
        <w:ind w:right="140"/>
        <w:spacing w:after="0" w:line="449" w:lineRule="auto"/>
        <w:rPr>
          <w:sz w:val="20"/>
          <w:szCs w:val="20"/>
          <w:color w:val="auto"/>
        </w:rPr>
      </w:pPr>
      <w:r>
        <w:rPr>
          <w:rFonts w:ascii="Arial" w:cs="Arial" w:eastAsia="Arial" w:hAnsi="Arial"/>
          <w:sz w:val="18"/>
          <w:szCs w:val="18"/>
          <w:color w:val="auto"/>
        </w:rPr>
        <w:t>Our current independent registered public accounting firm, McGladrey LLP, is located at 1185 Avenue of the Americas, New York, NY 10036. 140</w:t>
      </w:r>
    </w:p>
    <w:p>
      <w:pPr>
        <w:sectPr>
          <w:pgSz w:w="11900" w:h="16838" w:orient="portrait"/>
          <w:cols w:equalWidth="0" w:num="1">
            <w:col w:w="11360"/>
          </w:cols>
          <w:pgMar w:left="240" w:top="460" w:right="2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gridSpan w:val="4"/>
            <w:vMerge w:val="restart"/>
          </w:tcPr>
          <w:p>
            <w:pPr>
              <w:spacing w:after="0"/>
              <w:rPr>
                <w:rFonts w:ascii="Arial" w:cs="Arial" w:eastAsia="Arial" w:hAnsi="Arial"/>
                <w:sz w:val="18"/>
                <w:szCs w:val="18"/>
                <w:color w:val="0000EE"/>
                <w:w w:val="91"/>
              </w:rPr>
            </w:pPr>
            <w:hyperlink w:anchor="page235">
              <w:r>
                <w:rPr>
                  <w:rFonts w:ascii="Arial" w:cs="Arial" w:eastAsia="Arial" w:hAnsi="Arial"/>
                  <w:sz w:val="18"/>
                  <w:szCs w:val="18"/>
                  <w:color w:val="0000EE"/>
                  <w:w w:val="91"/>
                </w:rPr>
                <w:t>Management’s Report on Internal Control over Financial Reporting</w:t>
              </w:r>
            </w:hyperlink>
          </w:p>
        </w:tc>
        <w:tc>
          <w:tcPr>
            <w:tcW w:w="6040" w:type="dxa"/>
            <w:vAlign w:val="bottom"/>
            <w:gridSpan w:val="6"/>
            <w:vMerge w:val="restart"/>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880" w:type="dxa"/>
            <w:vAlign w:val="bottom"/>
            <w:tcBorders>
              <w:bottom w:val="single" w:sz="8" w:color="0000EE"/>
            </w:tcBorders>
            <w:gridSpan w:val="4"/>
            <w:vMerge w:val="continue"/>
          </w:tcPr>
          <w:p>
            <w:pPr>
              <w:spacing w:after="0"/>
              <w:rPr>
                <w:sz w:val="13"/>
                <w:szCs w:val="13"/>
                <w:color w:val="auto"/>
              </w:rPr>
            </w:pPr>
          </w:p>
        </w:tc>
        <w:tc>
          <w:tcPr>
            <w:tcW w:w="6040" w:type="dxa"/>
            <w:vAlign w:val="bottom"/>
            <w:gridSpan w:val="6"/>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920" w:type="dxa"/>
            <w:vAlign w:val="bottom"/>
            <w:gridSpan w:val="10"/>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Report of Independent Registered Public Accounting Firm</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7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58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237">
              <w:r>
                <w:rPr>
                  <w:rFonts w:ascii="Arial" w:cs="Arial" w:eastAsia="Arial" w:hAnsi="Arial"/>
                  <w:sz w:val="18"/>
                  <w:szCs w:val="18"/>
                  <w:color w:val="0000EE"/>
                  <w:w w:val="92"/>
                </w:rPr>
                <w:t>Report of Independent Registered Public Accounting Firm On Internal Control Over Financial Reporting</w:t>
              </w:r>
            </w:hyperlink>
          </w:p>
        </w:tc>
        <w:tc>
          <w:tcPr>
            <w:tcW w:w="3340" w:type="dxa"/>
            <w:vAlign w:val="bottom"/>
            <w:gridSpan w:val="2"/>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61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238">
              <w:r>
                <w:rPr>
                  <w:rFonts w:ascii="Arial" w:cs="Arial" w:eastAsia="Arial" w:hAnsi="Arial"/>
                  <w:sz w:val="18"/>
                  <w:szCs w:val="18"/>
                  <w:color w:val="0000EE"/>
                  <w:w w:val="89"/>
                </w:rPr>
                <w:t>Consolidated Statements of Assets and Liabilities as of September 30, 2013 and 2012</w:t>
              </w:r>
            </w:hyperlink>
          </w:p>
        </w:tc>
        <w:tc>
          <w:tcPr>
            <w:tcW w:w="4740" w:type="dxa"/>
            <w:vAlign w:val="bottom"/>
            <w:gridSpan w:val="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04"/>
        </w:trPr>
        <w:tc>
          <w:tcPr>
            <w:tcW w:w="10920" w:type="dxa"/>
            <w:vAlign w:val="bottom"/>
            <w:gridSpan w:val="10"/>
          </w:tcPr>
          <w:p>
            <w:pPr>
              <w:spacing w:after="0"/>
              <w:rPr>
                <w:rFonts w:ascii="Arial" w:cs="Arial" w:eastAsia="Arial" w:hAnsi="Arial"/>
                <w:sz w:val="18"/>
                <w:szCs w:val="18"/>
                <w:color w:val="0000EE"/>
              </w:rPr>
            </w:pPr>
            <w:hyperlink w:anchor="page239">
              <w:r>
                <w:rPr>
                  <w:rFonts w:ascii="Arial" w:cs="Arial" w:eastAsia="Arial" w:hAnsi="Arial"/>
                  <w:sz w:val="18"/>
                  <w:szCs w:val="18"/>
                  <w:color w:val="0000EE"/>
                </w:rPr>
                <w:t>Consolidated Statements of Operations for the years ended September 30, 2013, 2012 and 2011</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27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7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40">
              <w:r>
                <w:rPr>
                  <w:rFonts w:ascii="Arial" w:cs="Arial" w:eastAsia="Arial" w:hAnsi="Arial"/>
                  <w:sz w:val="18"/>
                  <w:szCs w:val="18"/>
                  <w:color w:val="0000EE"/>
                  <w:w w:val="88"/>
                </w:rPr>
                <w:t>Consolidated Statements of Changes in Net Assets for the years ended September 30, 2013, 2012 and 2011</w:t>
              </w:r>
            </w:hyperlink>
          </w:p>
        </w:tc>
        <w:tc>
          <w:tcPr>
            <w:tcW w:w="320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04"/>
        </w:trPr>
        <w:tc>
          <w:tcPr>
            <w:tcW w:w="10920" w:type="dxa"/>
            <w:vAlign w:val="bottom"/>
            <w:gridSpan w:val="10"/>
          </w:tcPr>
          <w:p>
            <w:pPr>
              <w:spacing w:after="0"/>
              <w:rPr>
                <w:rFonts w:ascii="Arial" w:cs="Arial" w:eastAsia="Arial" w:hAnsi="Arial"/>
                <w:sz w:val="18"/>
                <w:szCs w:val="18"/>
                <w:color w:val="0000EE"/>
              </w:rPr>
            </w:pPr>
            <w:hyperlink w:anchor="page241">
              <w:r>
                <w:rPr>
                  <w:rFonts w:ascii="Arial" w:cs="Arial" w:eastAsia="Arial" w:hAnsi="Arial"/>
                  <w:sz w:val="18"/>
                  <w:szCs w:val="18"/>
                  <w:color w:val="0000EE"/>
                </w:rPr>
                <w:t>Consolidated Statements of Cash Flows for the years ended September 30, 2013, 2012 and 2011</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04"/>
        </w:trPr>
        <w:tc>
          <w:tcPr>
            <w:tcW w:w="278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242">
              <w:r>
                <w:rPr>
                  <w:rFonts w:ascii="Arial" w:cs="Arial" w:eastAsia="Arial" w:hAnsi="Arial"/>
                  <w:sz w:val="18"/>
                  <w:szCs w:val="18"/>
                  <w:color w:val="0000EE"/>
                  <w:w w:val="89"/>
                </w:rPr>
                <w:t>Consolidated Schedule of Investments</w:t>
              </w:r>
            </w:hyperlink>
          </w:p>
        </w:tc>
        <w:tc>
          <w:tcPr>
            <w:tcW w:w="4160" w:type="dxa"/>
            <w:vAlign w:val="bottom"/>
            <w:tcBorders>
              <w:top w:val="single" w:sz="8" w:color="0000EE"/>
            </w:tcBorders>
            <w:gridSpan w:val="6"/>
          </w:tcPr>
          <w:p>
            <w:pPr>
              <w:spacing w:after="0"/>
              <w:rPr>
                <w:sz w:val="24"/>
                <w:szCs w:val="24"/>
                <w:color w:val="auto"/>
              </w:rPr>
            </w:pPr>
          </w:p>
        </w:tc>
        <w:tc>
          <w:tcPr>
            <w:tcW w:w="3980" w:type="dxa"/>
            <w:vAlign w:val="bottom"/>
            <w:gridSpan w:val="3"/>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304"/>
        </w:trPr>
        <w:tc>
          <w:tcPr>
            <w:tcW w:w="10920" w:type="dxa"/>
            <w:vAlign w:val="bottom"/>
            <w:gridSpan w:val="10"/>
          </w:tcPr>
          <w:p>
            <w:pPr>
              <w:spacing w:after="0"/>
              <w:rPr>
                <w:rFonts w:ascii="Arial" w:cs="Arial" w:eastAsia="Arial" w:hAnsi="Arial"/>
                <w:sz w:val="18"/>
                <w:szCs w:val="18"/>
                <w:color w:val="0000EE"/>
              </w:rPr>
            </w:pPr>
            <w:hyperlink w:anchor="page251">
              <w:r>
                <w:rPr>
                  <w:rFonts w:ascii="Arial" w:cs="Arial" w:eastAsia="Arial" w:hAnsi="Arial"/>
                  <w:sz w:val="18"/>
                  <w:szCs w:val="18"/>
                  <w:color w:val="0000EE"/>
                </w:rPr>
                <w:t>Notes to the Consolidated Financial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r>
        <w:trPr>
          <w:trHeight w:val="385"/>
        </w:trPr>
        <w:tc>
          <w:tcPr>
            <w:tcW w:w="27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40" w:type="dxa"/>
            <w:vAlign w:val="bottom"/>
            <w:gridSpan w:val="6"/>
          </w:tcPr>
          <w:p>
            <w:pPr>
              <w:ind w:left="70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8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2013.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2013,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87"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PennantPark Investment’s independent registered public accounting firm that audited the financial statements has issued an audit report on the effectiveness of our internal control over financial reporting as of September 30, 2013. This report appears on page F-4.</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21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have audited the accompanying consolidated statements of assets and liabilities of PennantPark Investment Corporation and its Subsidiaries (the “Company”), including the consolidated schedules of investments as of September 30, 2013 and 2012, and the related consolidated statements of operations, changes in net assets, and cash flows for the years ended September 30, 2013, 2012 and 2011. These consolidated financial statements are the responsibility of the Company’s management. Our responsibility is to express an opinion on these consolidated financial statements based on our audits.</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2013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PennantPark Investment Corporation and its Subsidiaries as of September 30, 2013 and 2012, and the results of operations and cash flows for the years ended September 30, 2013, 2012 and 2011, in conformity with U.S. generally accepted accounting principles.</w:t>
      </w:r>
    </w:p>
    <w:p>
      <w:pPr>
        <w:spacing w:after="0" w:line="18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PennantPark Investment Corporation’s internal control over financial reporting as of September 30, 2013,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issued by the Committee of Sponsoring Organizations of the Treadway Commission (COSO), and our report dated November 13, 2013 expressed an unqualified opinion on the effectiveness of the Company’s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2013</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21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We have audited PennantPark Investment Corporation and its Subsidiaries’ (the “Company”) internal control over financial reporting as of September 30, 2013,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42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 xml:space="preserve">In our opinion, PennantPark Investment Corporation and its Subsidiaries maintained, in all material respects, effective internal control over financial reporting as of September 30, 2013,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4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statements of assets and liabilities of PennantPark Investment Corporation and its Subsidiaries, including the schedules of investments as of September 30, 2013 and 2012, and the related statements of operations, changes in net assets, and cash flows for the years ended September 30, 2013, 2012 and 2011, and our report dated November 13, 2013 expressed an unqualified opinion on those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2013</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60"/>
          </w:cols>
          <w:pgMar w:left="240" w:top="459" w:right="2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5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3"/>
              </w:rPr>
              <w:t>September 30, 2013</w:t>
            </w:r>
          </w:p>
        </w:tc>
        <w:tc>
          <w:tcPr>
            <w:tcW w:w="260" w:type="dxa"/>
            <w:vAlign w:val="bottom"/>
          </w:tcPr>
          <w:p>
            <w:pPr>
              <w:spacing w:after="0"/>
              <w:rPr>
                <w:sz w:val="14"/>
                <w:szCs w:val="14"/>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September 30,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Non-controlled, non-affiliated investments, at fair value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(cost—$928,078,589 and $871,867,953, respectively)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968,471,042</w:t>
            </w:r>
          </w:p>
        </w:tc>
        <w:tc>
          <w:tcPr>
            <w:tcW w:w="2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871,892,745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tcPr>
          <w:p>
            <w:pPr>
              <w:ind w:left="340"/>
              <w:spacing w:after="0" w:line="201" w:lineRule="exact"/>
              <w:rPr>
                <w:sz w:val="20"/>
                <w:szCs w:val="20"/>
                <w:color w:val="auto"/>
              </w:rPr>
            </w:pPr>
            <w:r>
              <w:rPr>
                <w:rFonts w:ascii="Arial" w:cs="Arial" w:eastAsia="Arial" w:hAnsi="Arial"/>
                <w:sz w:val="18"/>
                <w:szCs w:val="18"/>
                <w:color w:val="auto"/>
              </w:rPr>
              <w:t>Non-controlled, affiliated investments, at fair value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520"/>
              <w:spacing w:after="0"/>
              <w:rPr>
                <w:sz w:val="20"/>
                <w:szCs w:val="20"/>
                <w:color w:val="auto"/>
              </w:rPr>
            </w:pPr>
            <w:r>
              <w:rPr>
                <w:rFonts w:ascii="Arial" w:cs="Arial" w:eastAsia="Arial" w:hAnsi="Arial"/>
                <w:sz w:val="18"/>
                <w:szCs w:val="18"/>
                <w:color w:val="auto"/>
              </w:rPr>
              <w:t>(cost—$99,021,141 and $72,576,858, respectively)</w:t>
            </w: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76,735,800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80,955,257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Controlled, affiliated investments, at fair value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(cost—$64,418,155 and $64,167,051, respectively)</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32,968,711</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37,631,708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Total of investments, at fair value</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520"/>
              <w:spacing w:after="0"/>
              <w:rPr>
                <w:sz w:val="20"/>
                <w:szCs w:val="20"/>
                <w:color w:val="auto"/>
              </w:rPr>
            </w:pPr>
            <w:r>
              <w:rPr>
                <w:rFonts w:ascii="Arial" w:cs="Arial" w:eastAsia="Arial" w:hAnsi="Arial"/>
                <w:sz w:val="18"/>
                <w:szCs w:val="18"/>
                <w:color w:val="auto"/>
              </w:rPr>
              <w:t>(cost—$1,091,517,885 and $1,008,611,862, respectively)</w:t>
            </w: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1,078,175,553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990,479,710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(See Note 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58,440,829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10,894,893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14,928,862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5,815,817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1,153,327,092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1,018,967,531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Distributions payable</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18,619,812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15,824,061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52,544,704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Unfunded investments</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7,241,667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26,935,270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Credit Facility payable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(cost—$145,500,000 and $145,000,000, respectively) (See Notes 5 and 11)</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145,500,000</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144,452,500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SBA debentures payable (cost—$150,000,000) (See Notes 5 and 11)</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150,000,000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2025 Notes payable (cost—$71,250,000) (See Notes 5 and 11)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68,400,000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Management fee payable (See Note 3)</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5,419,557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4,791,913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4,274,881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4,206,989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payable on debt</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1,810,466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854,725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2,009,806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455,820,893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349,250,484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tcPr>
          <w:p>
            <w:pPr>
              <w:spacing w:after="0" w:line="201" w:lineRule="exact"/>
              <w:rPr>
                <w:sz w:val="20"/>
                <w:szCs w:val="20"/>
                <w:color w:val="auto"/>
              </w:rPr>
            </w:pPr>
            <w:r>
              <w:rPr>
                <w:rFonts w:ascii="Arial" w:cs="Arial" w:eastAsia="Arial" w:hAnsi="Arial"/>
                <w:sz w:val="18"/>
                <w:szCs w:val="18"/>
                <w:color w:val="auto"/>
                <w:w w:val="95"/>
              </w:rPr>
              <w:t>Common stock, 66,499,327 and 65,514,503 shares issued and outstanding, respectively. Par value $0.001</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per share and 100,000,000 shares authorized.</w:t>
            </w: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66,499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65,514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756,017,096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744,704,825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(Distributions in excess of) Undistributed net investment income</w:t>
            </w:r>
          </w:p>
        </w:tc>
        <w:tc>
          <w:tcPr>
            <w:tcW w:w="16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(4,675,217)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2,804,397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(43,409,847)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(60,273,037)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6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(13,342,332)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(18,132,152)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debt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2,850,000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697,506,199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669,717,047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1,153,327,092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1,018,967,531</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4"/>
              </w:rPr>
              <w:t>Years Ended September 30,</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107,058,958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99,663,198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83,632,455</w:t>
            </w: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10,883,261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8,486,387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4,726,387</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5,841,127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3,542,583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2,217,320</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597,400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4,806,329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1,700,222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1,162,333</w:t>
            </w:r>
          </w:p>
        </w:tc>
      </w:tr>
      <w:tr>
        <w:trPr>
          <w:trHeight w:val="230"/>
        </w:trPr>
        <w:tc>
          <w:tcPr>
            <w:tcW w:w="20" w:type="dxa"/>
            <w:vAlign w:val="bottom"/>
          </w:tcPr>
          <w:p>
            <w:pPr>
              <w:spacing w:after="0"/>
              <w:rPr>
                <w:sz w:val="20"/>
                <w:szCs w:val="20"/>
                <w:color w:val="auto"/>
              </w:rPr>
            </w:pPr>
          </w:p>
        </w:tc>
        <w:tc>
          <w:tcPr>
            <w:tcW w:w="7220" w:type="dxa"/>
            <w:vAlign w:val="bottom"/>
          </w:tcPr>
          <w:p>
            <w:pPr>
              <w:ind w:left="520"/>
              <w:spacing w:after="0"/>
              <w:rPr>
                <w:sz w:val="20"/>
                <w:szCs w:val="20"/>
                <w:color w:val="auto"/>
              </w:rPr>
            </w:pPr>
            <w:r>
              <w:rPr>
                <w:rFonts w:ascii="Arial" w:cs="Arial" w:eastAsia="Arial" w:hAnsi="Arial"/>
                <w:sz w:val="18"/>
                <w:szCs w:val="18"/>
                <w:b w:val="1"/>
                <w:bCs w:val="1"/>
                <w:color w:val="auto"/>
              </w:rPr>
              <w:t>Total investment income</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129,187,075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113,392,390</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91,738,495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Base management fee (See Note 3)</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21,288,728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17,507,262</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14,899,983</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16,793,089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14,223,777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13,161,597</w:t>
            </w: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Interest and expenses on debt (See Note 11)</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15,384,208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11,680,634</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5,322,231</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3,161,158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3,745,741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2,596,756</w:t>
            </w:r>
          </w:p>
        </w:tc>
      </w:tr>
      <w:tr>
        <w:trPr>
          <w:trHeight w:val="223"/>
        </w:trPr>
        <w:tc>
          <w:tcPr>
            <w:tcW w:w="20" w:type="dxa"/>
            <w:vAlign w:val="bottom"/>
          </w:tcPr>
          <w:p>
            <w:pPr>
              <w:spacing w:after="0"/>
              <w:rPr>
                <w:sz w:val="19"/>
                <w:szCs w:val="19"/>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2,857,739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3,496,326</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2,884,029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Expenses before taxes and debt issuance costs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59,484,922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50,653,740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38,864,596</w:t>
            </w: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Tax expense</w:t>
            </w:r>
          </w:p>
        </w:tc>
        <w:tc>
          <w:tcPr>
            <w:tcW w:w="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(53,468)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307,990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228,824</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issuance costs (See Note 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2,757,500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5,361,319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220" w:type="dxa"/>
            <w:vAlign w:val="bottom"/>
          </w:tcPr>
          <w:p>
            <w:pPr>
              <w:ind w:left="340"/>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62,188,954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56,323,049</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39,093,420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66,998,121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57,069,341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52,645,075</w:t>
            </w: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debt:</w:t>
            </w: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17,687,211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(12,798,035)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16,259,622</w:t>
            </w: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17,932,839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42,727,722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(45,350,345)</w:t>
            </w: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Non-controlled and controlled, affiliated investments</w:t>
            </w:r>
          </w:p>
        </w:tc>
        <w:tc>
          <w:tcPr>
            <w:tcW w:w="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(13,143,019)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(22,085,553)</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9"/>
              </w:rPr>
              <w:t>(1,439,878)</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depreciation (appreciation) (See Notes 5 and 11)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2,302,500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(1,560,375)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(11,851,000)</w:t>
            </w:r>
          </w:p>
        </w:tc>
      </w:tr>
      <w:tr>
        <w:trPr>
          <w:trHeight w:val="230"/>
        </w:trPr>
        <w:tc>
          <w:tcPr>
            <w:tcW w:w="20" w:type="dxa"/>
            <w:vAlign w:val="bottom"/>
          </w:tcPr>
          <w:p>
            <w:pPr>
              <w:spacing w:after="0"/>
              <w:rPr>
                <w:sz w:val="20"/>
                <w:szCs w:val="20"/>
                <w:color w:val="auto"/>
              </w:rPr>
            </w:pPr>
          </w:p>
        </w:tc>
        <w:tc>
          <w:tcPr>
            <w:tcW w:w="7220" w:type="dxa"/>
            <w:vAlign w:val="bottom"/>
          </w:tcPr>
          <w:p>
            <w:pPr>
              <w:ind w:left="340"/>
              <w:spacing w:after="0"/>
              <w:rPr>
                <w:sz w:val="20"/>
                <w:szCs w:val="20"/>
                <w:color w:val="auto"/>
              </w:rPr>
            </w:pPr>
            <w:r>
              <w:rPr>
                <w:rFonts w:ascii="Arial" w:cs="Arial" w:eastAsia="Arial" w:hAnsi="Arial"/>
                <w:sz w:val="18"/>
                <w:szCs w:val="18"/>
                <w:b w:val="1"/>
                <w:bCs w:val="1"/>
                <w:color w:val="auto"/>
              </w:rPr>
              <w:t>Net change in unrealized appreciation (depreciation)</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7,092,320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19,081,794</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(58,641,223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debt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24,779,531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6,283,759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(42,381,601)</w:t>
            </w: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91,777,652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63,353,100</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10,263,474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Net increase in net assets resulting from operations per common share basic and diluted (See</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Net investment income per common share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Years Ended September 30,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Net investment income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66,998,121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57,069,341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52,645,075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gain (loss) on investments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17,687,211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(12,798,035)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16,259,622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4,789,820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20,642,169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(46,790,223)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change in debt depreciation (appreciation)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(1,560,375)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(11,851,000)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70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91,777,652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63,353,100</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10,263,474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Distributions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4"/>
              </w:rPr>
              <w:t>(74,398,129)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(60,137,978)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(46,347,691)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Public offerings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7,574,000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206,572,500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114,080,000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Offerings costs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(7,717,300)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(5,743,800)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Reinvestment of distributions</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3,100,719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4,989,529</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3,829,990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increase in net assets resulting from capital transactions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10,409,629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203,844,729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112,166,190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27,789,152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207,059,851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76,081,973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Beginning of year</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669,717,047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462,657,196</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386,575,223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 of year</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697,506,199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669,717,047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462,657,196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tcPr>
          <w:p>
            <w:pPr>
              <w:ind w:left="340"/>
              <w:spacing w:after="0"/>
              <w:rPr>
                <w:sz w:val="20"/>
                <w:szCs w:val="20"/>
                <w:color w:val="auto"/>
              </w:rPr>
            </w:pPr>
            <w:r>
              <w:rPr>
                <w:rFonts w:ascii="Arial" w:cs="Arial" w:eastAsia="Arial" w:hAnsi="Arial"/>
                <w:sz w:val="18"/>
                <w:szCs w:val="18"/>
                <w:color w:val="auto"/>
              </w:rPr>
              <w:t>(Distributions in excess of) Undistributed net investment income, at year end</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(4,675,217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2,804,397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8,326,854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Shares issued from public offerings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700,000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19,350,000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Shares issued from reinvestment of distributions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284,824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474,722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6"/>
              </w:rPr>
              <w:t>Years Ended September 30,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4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40"/>
              <w:spacing w:after="0"/>
              <w:rPr>
                <w:sz w:val="20"/>
                <w:szCs w:val="20"/>
                <w:color w:val="auto"/>
              </w:rPr>
            </w:pPr>
            <w:r>
              <w:rPr>
                <w:rFonts w:ascii="Arial" w:cs="Arial" w:eastAsia="Arial" w:hAnsi="Arial"/>
                <w:sz w:val="17"/>
                <w:szCs w:val="17"/>
                <w:color w:val="auto"/>
              </w:rPr>
              <w:t>Net increase in net assets resulting from operations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91,777,652</w:t>
            </w:r>
          </w:p>
        </w:tc>
        <w:tc>
          <w:tcPr>
            <w:tcW w:w="1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63,353,100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10,263,474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740" w:type="dxa"/>
            <w:vAlign w:val="bottom"/>
            <w:shd w:val="clear" w:color="auto" w:fill="CCEEFF"/>
          </w:tcPr>
          <w:p>
            <w:pPr>
              <w:ind w:left="340"/>
              <w:spacing w:after="0" w:line="185" w:lineRule="exact"/>
              <w:rPr>
                <w:sz w:val="20"/>
                <w:szCs w:val="20"/>
                <w:color w:val="auto"/>
              </w:rPr>
            </w:pPr>
            <w:r>
              <w:rPr>
                <w:rFonts w:ascii="Arial" w:cs="Arial" w:eastAsia="Arial" w:hAnsi="Arial"/>
                <w:sz w:val="17"/>
                <w:szCs w:val="17"/>
                <w:color w:val="auto"/>
              </w:rPr>
              <w:t>Adjustments to reconcile net increase in net assets resulting from operations to net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cash provided by (used for) operating activities: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Net change in net unrealized appreciation (depreciation) on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(4,789,820)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(20,642,169)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46,790,223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change in debt depreciation (appreciation)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(2,302,500)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1,560,375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11,851,000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Net realized loss on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(17,687,211)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12,798,035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3"/>
              <w:spacing w:after="0"/>
              <w:rPr>
                <w:sz w:val="20"/>
                <w:szCs w:val="20"/>
                <w:color w:val="auto"/>
              </w:rPr>
            </w:pPr>
            <w:r>
              <w:rPr>
                <w:rFonts w:ascii="Arial" w:cs="Arial" w:eastAsia="Arial" w:hAnsi="Arial"/>
                <w:sz w:val="17"/>
                <w:szCs w:val="17"/>
                <w:color w:val="auto"/>
                <w:w w:val="97"/>
              </w:rPr>
              <w:t>(16,259,622)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accretion of discount and amortization of premium</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(5,856,654)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(10,357,608)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(6,745,834)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Purchase of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(504,373,719)</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(328,275,329)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3"/>
              <w:spacing w:after="0"/>
              <w:rPr>
                <w:sz w:val="20"/>
                <w:szCs w:val="20"/>
                <w:color w:val="auto"/>
              </w:rPr>
            </w:pPr>
            <w:r>
              <w:rPr>
                <w:rFonts w:ascii="Arial" w:cs="Arial" w:eastAsia="Arial" w:hAnsi="Arial"/>
                <w:sz w:val="17"/>
                <w:szCs w:val="17"/>
                <w:color w:val="auto"/>
                <w:w w:val="88"/>
              </w:rPr>
              <w:t>(479,733,669)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Payment-in-kind interest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(11,814,084)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(9,065,502)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w w:val="97"/>
              </w:rPr>
              <w:t>(10,883,750)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Proceeds from disposition of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437,147,602</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201,656,926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w w:val="95"/>
              </w:rPr>
              <w:t>304,008,543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Decrease (Increase) in interest receivable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4,033,969</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(4,050,626)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1,935,860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Decrease in receivables for investments sold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12,240,763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17,135,807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Increase (Decrease) in payables for investments purchased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52,544,704</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(18,572,499)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w w:val="97"/>
              </w:rPr>
              <w:t>(34,212,501)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(Decrease) Increase in unfunded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(19,242,446)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14,928,717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Increase in interest payable on debt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955,741</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167,363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472,227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Decrease (Increase) in prepaid expenses and other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168,130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466,675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749,017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Increase in management fees payable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627,644</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783,859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721,238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Increase in performance-based incentive fees payable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67,892</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433,160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1,534,818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(Decrease) Increase in accrued other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(175,220)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1,406,285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(368,064)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tcPr>
          <w:p>
            <w:pPr>
              <w:ind w:left="1060"/>
              <w:spacing w:after="0"/>
              <w:rPr>
                <w:sz w:val="20"/>
                <w:szCs w:val="20"/>
                <w:color w:val="auto"/>
              </w:rPr>
            </w:pPr>
            <w:r>
              <w:rPr>
                <w:rFonts w:ascii="Arial" w:cs="Arial" w:eastAsia="Arial" w:hAnsi="Arial"/>
                <w:sz w:val="17"/>
                <w:szCs w:val="17"/>
                <w:color w:val="auto"/>
              </w:rPr>
              <w:t>Net cash provided by (used for) operating activities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40,324,126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(115,339,638)</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(137,812,516</w:t>
            </w:r>
          </w:p>
        </w:tc>
        <w:tc>
          <w:tcPr>
            <w:tcW w:w="100" w:type="dxa"/>
            <w:vAlign w:val="bottom"/>
          </w:tcPr>
          <w:p>
            <w:pPr>
              <w:jc w:val="right"/>
              <w:ind w:right="23"/>
              <w:spacing w:after="0"/>
              <w:rPr>
                <w:sz w:val="20"/>
                <w:szCs w:val="20"/>
                <w:color w:val="auto"/>
              </w:rPr>
            </w:pPr>
            <w:r>
              <w:rPr>
                <w:rFonts w:ascii="Arial" w:cs="Arial" w:eastAsia="Arial" w:hAnsi="Arial"/>
                <w:sz w:val="7"/>
                <w:szCs w:val="7"/>
                <w:color w:val="auto"/>
                <w:w w:val="83"/>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Public offerings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7,574,000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206,572,500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w w:val="95"/>
              </w:rPr>
              <w:t>114,080,000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Offerings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(265,090)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(7,717,300)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(5,743,800)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Distributions paid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(68,501,660)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(51,660,628)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3"/>
              <w:spacing w:after="0"/>
              <w:rPr>
                <w:sz w:val="20"/>
                <w:szCs w:val="20"/>
                <w:color w:val="auto"/>
              </w:rPr>
            </w:pPr>
            <w:r>
              <w:rPr>
                <w:rFonts w:ascii="Arial" w:cs="Arial" w:eastAsia="Arial" w:hAnsi="Arial"/>
                <w:sz w:val="17"/>
                <w:szCs w:val="17"/>
                <w:color w:val="auto"/>
                <w:w w:val="97"/>
              </w:rPr>
              <w:t>(39,582,741)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Borrowings under SBA debentures (See Note 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w w:val="95"/>
              </w:rPr>
              <w:t>135,500,000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Borrowings under 2025 Notes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71,250,000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Capitalized borrowing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(4,450,875)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Borrowings under Credit Facility (See Note 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w w:val="93"/>
              </w:rPr>
              <w:t>1,099,800,000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927,900,000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w w:val="95"/>
              </w:rPr>
              <w:t>701,900,000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Repayments under Credit Facility (See Note 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89"/>
              </w:rPr>
              <w:t>(1,099,300,000)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9"/>
              </w:rPr>
              <w:t>(1,023,800,000)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w w:val="88"/>
              </w:rPr>
              <w:t>(694,100,000)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tcPr>
          <w:p>
            <w:pPr>
              <w:ind w:left="1060"/>
              <w:spacing w:after="0"/>
              <w:rPr>
                <w:sz w:val="20"/>
                <w:szCs w:val="20"/>
                <w:color w:val="auto"/>
              </w:rPr>
            </w:pPr>
            <w:r>
              <w:rPr>
                <w:rFonts w:ascii="Arial" w:cs="Arial" w:eastAsia="Arial" w:hAnsi="Arial"/>
                <w:sz w:val="16"/>
                <w:szCs w:val="16"/>
                <w:color w:val="auto"/>
              </w:rPr>
              <w:t>Net cash provided by financing activities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10,557,250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51,294,572</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207,602,584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50,881,376</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(64,045,066)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69,790,068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7"/>
                <w:szCs w:val="17"/>
                <w:b w:val="1"/>
                <w:bCs w:val="1"/>
                <w:color w:val="auto"/>
              </w:rPr>
              <w:t>Cash and cash equivalents, beginning of year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7,559,453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71,604,519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1,814,451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end of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58,440,829</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7,559,453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71,604,519</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97"/>
              </w:rPr>
              <w:t>Supplemental disclosure of cash flow information and non-cash activity (See Note 5):</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7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Interest paid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12,765,891</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10,643,840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4,149,149</w:t>
            </w:r>
          </w:p>
        </w:tc>
        <w:tc>
          <w:tcPr>
            <w:tcW w:w="0" w:type="dxa"/>
            <w:vAlign w:val="bottom"/>
          </w:tcPr>
          <w:p>
            <w:pPr>
              <w:spacing w:after="0"/>
              <w:rPr>
                <w:sz w:val="1"/>
                <w:szCs w:val="1"/>
                <w:color w:val="auto"/>
              </w:rPr>
            </w:pPr>
          </w:p>
        </w:tc>
      </w:tr>
      <w:tr>
        <w:trPr>
          <w:trHeight w:val="217"/>
        </w:trPr>
        <w:tc>
          <w:tcPr>
            <w:tcW w:w="6760" w:type="dxa"/>
            <w:vAlign w:val="bottom"/>
            <w:gridSpan w:val="2"/>
          </w:tcPr>
          <w:p>
            <w:pPr>
              <w:spacing w:after="0"/>
              <w:rPr>
                <w:sz w:val="20"/>
                <w:szCs w:val="20"/>
                <w:color w:val="auto"/>
              </w:rPr>
            </w:pPr>
            <w:r>
              <w:rPr>
                <w:rFonts w:ascii="Arial" w:cs="Arial" w:eastAsia="Arial" w:hAnsi="Arial"/>
                <w:sz w:val="17"/>
                <w:szCs w:val="17"/>
                <w:color w:val="auto"/>
              </w:rPr>
              <w:t>Taxes paid</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94,210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258,550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Dividend reinvested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3,100,719</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4,989,529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3,829,990</w:t>
            </w:r>
          </w:p>
        </w:tc>
        <w:tc>
          <w:tcPr>
            <w:tcW w:w="0" w:type="dxa"/>
            <w:vAlign w:val="bottom"/>
          </w:tcPr>
          <w:p>
            <w:pPr>
              <w:spacing w:after="0"/>
              <w:rPr>
                <w:sz w:val="1"/>
                <w:szCs w:val="1"/>
                <w:color w:val="auto"/>
              </w:rPr>
            </w:pPr>
          </w:p>
        </w:tc>
      </w:tr>
      <w:tr>
        <w:trPr>
          <w:trHeight w:val="210"/>
        </w:trPr>
        <w:tc>
          <w:tcPr>
            <w:tcW w:w="6760" w:type="dxa"/>
            <w:vAlign w:val="bottom"/>
            <w:gridSpan w:val="2"/>
          </w:tcPr>
          <w:p>
            <w:pPr>
              <w:spacing w:after="0"/>
              <w:rPr>
                <w:sz w:val="20"/>
                <w:szCs w:val="20"/>
                <w:color w:val="auto"/>
              </w:rPr>
            </w:pPr>
            <w:r>
              <w:rPr>
                <w:rFonts w:ascii="Arial" w:cs="Arial" w:eastAsia="Arial" w:hAnsi="Arial"/>
                <w:sz w:val="17"/>
                <w:szCs w:val="17"/>
                <w:color w:val="auto"/>
              </w:rPr>
              <w:t>Conversions and non-cash exchanges</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58,478,391</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43,596,371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12,537,081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Current</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Spread</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Maturity</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Industry</w:t>
            </w:r>
          </w:p>
        </w:tc>
        <w:tc>
          <w:tcPr>
            <w:tcW w:w="980" w:type="dxa"/>
            <w:vAlign w:val="bottom"/>
            <w:gridSpan w:val="2"/>
            <w:vMerge w:val="continue"/>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Above</w:t>
            </w: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10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Coupon</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556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 xml:space="preserve">in Non-Controlled, Non-Affiliated Portfolio Companies—138.9% </w:t>
            </w:r>
            <w:r>
              <w:rPr>
                <w:rFonts w:ascii="Arial" w:cs="Arial" w:eastAsia="Arial" w:hAnsi="Arial"/>
                <w:sz w:val="12"/>
                <w:szCs w:val="12"/>
                <w:b w:val="1"/>
                <w:bCs w:val="1"/>
                <w:color w:val="auto"/>
              </w:rPr>
              <w:t>(1),(2)</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Debt—41.3%</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06/21/2017</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5"/>
              </w:rPr>
              <w:t>Communications</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23,912,894</w:t>
            </w:r>
          </w:p>
        </w:tc>
        <w:tc>
          <w:tcPr>
            <w:tcW w:w="12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   23,012,057</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25,347,668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AKA Diversified Holdings, Inc.</w:t>
            </w:r>
          </w:p>
        </w:tc>
        <w:tc>
          <w:tcPr>
            <w:tcW w:w="8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12/21/2016</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rPr>
              <w:t>Retail</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12.50%</w:t>
            </w:r>
          </w:p>
        </w:tc>
        <w:tc>
          <w:tcPr>
            <w:tcW w:w="9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L+1,225</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14,550,084</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14,310,552</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14,694,828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(PIK 1.50%)</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CEVA Group PLC </w:t>
            </w:r>
            <w:r>
              <w:rPr>
                <w:rFonts w:ascii="Arial" w:cs="Arial" w:eastAsia="Arial" w:hAnsi="Arial"/>
                <w:sz w:val="12"/>
                <w:szCs w:val="12"/>
                <w:color w:val="auto"/>
              </w:rPr>
              <w:t>(5), (10)</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10/01/2016</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Cargo Transport</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11.63%</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7,500,000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7,385,251</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Columbus International, Inc. </w:t>
            </w:r>
            <w:r>
              <w:rPr>
                <w:rFonts w:ascii="Arial" w:cs="Arial" w:eastAsia="Arial" w:hAnsi="Arial"/>
                <w:sz w:val="12"/>
                <w:szCs w:val="12"/>
                <w:color w:val="auto"/>
              </w:rPr>
              <w:t>(5), (10)</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11/20/2014</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Communications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11.50%</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10,000,000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Cydcor LLC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06/12/2017</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Business Services</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9.75%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L+725</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7,342,967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7,342,967</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7,342,967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Good Sam Enterprises, LLC </w:t>
            </w:r>
            <w:r>
              <w:rPr>
                <w:rFonts w:ascii="Arial" w:cs="Arial" w:eastAsia="Arial" w:hAnsi="Arial"/>
                <w:sz w:val="12"/>
                <w:szCs w:val="12"/>
                <w:color w:val="auto"/>
              </w:rPr>
              <w:t>(5)</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12/01/2016</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Consumer Products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11.50%</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12,000,000</w:t>
            </w:r>
          </w:p>
        </w:tc>
        <w:tc>
          <w:tcPr>
            <w:tcW w:w="12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11,835,907</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12,900,000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IDQ Holdings, Inc. </w:t>
            </w:r>
            <w:r>
              <w:rPr>
                <w:rFonts w:ascii="Arial" w:cs="Arial" w:eastAsia="Arial" w:hAnsi="Arial"/>
                <w:sz w:val="12"/>
                <w:szCs w:val="12"/>
                <w:color w:val="auto"/>
              </w:rPr>
              <w:t>(5)</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03/30/2017</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2"/>
              </w:rPr>
              <w:t>Auto Sector</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11.50%</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11,500,000</w:t>
            </w:r>
          </w:p>
        </w:tc>
        <w:tc>
          <w:tcPr>
            <w:tcW w:w="12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11,326,110</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12,391,250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InfuSystem Holdings, Inc.</w:t>
            </w:r>
          </w:p>
        </w:tc>
        <w:tc>
          <w:tcPr>
            <w:tcW w:w="8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11/30/2016</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2"/>
              </w:rPr>
              <w:t>Healthcare, Education</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11.95%</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P+625</w:t>
            </w:r>
            <w:r>
              <w:rPr>
                <w:rFonts w:ascii="Arial" w:cs="Arial" w:eastAsia="Arial" w:hAnsi="Arial"/>
                <w:sz w:val="12"/>
                <w:szCs w:val="12"/>
                <w:color w:val="auto"/>
              </w:rPr>
              <w:t>(8)</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11,600,000</w:t>
            </w:r>
          </w:p>
        </w:tc>
        <w:tc>
          <w:tcPr>
            <w:tcW w:w="12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11,600,000</w:t>
            </w: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11,708,430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and Childcare</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08/07/2014</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Printing and Publishing</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14.50%</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23,934,268</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23,788,980</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22,976,897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Instant Web, Inc.</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08/07/2014</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Printing and Publishing</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3.55%</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L+338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18,199,679</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13,917,288</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14,559,743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Interactive Health Solutions, Inc.</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10/04/2016</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Healthcare, Education</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11.50%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18,050,000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17,770,705</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18,050,000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and Childcare</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Jackson Hewitt Tax Service Inc.</w:t>
            </w:r>
          </w:p>
        </w:tc>
        <w:tc>
          <w:tcPr>
            <w:tcW w:w="8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10/16/2017</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1"/>
              </w:rPr>
              <w:t>Personal, Food and</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L+850</w:t>
            </w:r>
            <w:r>
              <w:rPr>
                <w:rFonts w:ascii="Arial" w:cs="Arial" w:eastAsia="Arial" w:hAnsi="Arial"/>
                <w:sz w:val="12"/>
                <w:szCs w:val="12"/>
                <w:color w:val="auto"/>
              </w:rPr>
              <w:t>(8)</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8,355,469</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8,349,704</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8,230,137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08/19/2019</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Chemicals, Plastics</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L+900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22,342,352</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21,899,258</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22,007,217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and Rubber</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Penton Media, Inc.</w:t>
            </w:r>
          </w:p>
        </w:tc>
        <w:tc>
          <w:tcPr>
            <w:tcW w:w="8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08/01/2014</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3"/>
              </w:rPr>
              <w:t>Other Media</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6.00%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L+500</w:t>
            </w:r>
            <w:r>
              <w:rPr>
                <w:rFonts w:ascii="Arial" w:cs="Arial" w:eastAsia="Arial" w:hAnsi="Arial"/>
                <w:sz w:val="12"/>
                <w:szCs w:val="12"/>
                <w:color w:val="auto"/>
              </w:rPr>
              <w:t>(8)</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37,950,152</w:t>
            </w:r>
          </w:p>
        </w:tc>
        <w:tc>
          <w:tcPr>
            <w:tcW w:w="12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36,110,124</w:t>
            </w: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37,523,212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(PIK 2.00%)</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Prince Mineral Holding Corp. </w:t>
            </w:r>
            <w:r>
              <w:rPr>
                <w:rFonts w:ascii="Arial" w:cs="Arial" w:eastAsia="Arial" w:hAnsi="Arial"/>
                <w:sz w:val="12"/>
                <w:szCs w:val="12"/>
                <w:color w:val="auto"/>
              </w:rPr>
              <w:t>(5)</w:t>
            </w:r>
          </w:p>
        </w:tc>
        <w:tc>
          <w:tcPr>
            <w:tcW w:w="234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12/16/2019   Mining, Steel, Iron and</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11.50%</w:t>
            </w:r>
          </w:p>
        </w:tc>
        <w:tc>
          <w:tcPr>
            <w:tcW w:w="9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14,250,000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14,096,169</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15,176,250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Non-Precious Metals</w:t>
            </w: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04/30/2018</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Business Services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L+1,050</w:t>
            </w:r>
            <w:r>
              <w:rPr>
                <w:rFonts w:ascii="Arial" w:cs="Arial" w:eastAsia="Arial" w:hAnsi="Arial"/>
                <w:sz w:val="12"/>
                <w:szCs w:val="12"/>
                <w:color w:val="auto"/>
              </w:rPr>
              <w:t>(8)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34,270,800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33,766,321</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34,270,800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Worley Claims Services LLC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07/06/2017</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Insurance</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L+1,100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12,451,096</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12,451,096</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12,388,840</w:t>
            </w:r>
          </w:p>
        </w:tc>
        <w:tc>
          <w:tcPr>
            <w:tcW w:w="0" w:type="dxa"/>
            <w:vAlign w:val="bottom"/>
          </w:tcPr>
          <w:p>
            <w:pPr>
              <w:spacing w:after="0"/>
              <w:rPr>
                <w:sz w:val="1"/>
                <w:szCs w:val="1"/>
                <w:color w:val="auto"/>
              </w:rPr>
            </w:pPr>
          </w:p>
        </w:tc>
      </w:tr>
      <w:tr>
        <w:trPr>
          <w:trHeight w:val="163"/>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278,962,489</w:t>
            </w:r>
          </w:p>
        </w:tc>
        <w:tc>
          <w:tcPr>
            <w:tcW w:w="1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288,043,239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Debt—48.9%</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American Gilsonite Company </w:t>
            </w:r>
            <w:r>
              <w:rPr>
                <w:rFonts w:ascii="Arial" w:cs="Arial" w:eastAsia="Arial" w:hAnsi="Arial"/>
                <w:sz w:val="12"/>
                <w:szCs w:val="12"/>
                <w:color w:val="auto"/>
              </w:rPr>
              <w:t>(5)</w:t>
            </w:r>
          </w:p>
        </w:tc>
        <w:tc>
          <w:tcPr>
            <w:tcW w:w="8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09/01/2017</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7"/>
              </w:rPr>
              <w:t>Diversified Natural</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11.50%</w:t>
            </w:r>
          </w:p>
        </w:tc>
        <w:tc>
          <w:tcPr>
            <w:tcW w:w="9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25,400,000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25,400,000</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25,971,500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Resources, Precious</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Metals and Minerals</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Arsloane Acquisition, LLC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10/01/2020</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Business Services</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L+1,050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18,750,000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18,375,000</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18,687,563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10/23/2019</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Energy / Utilities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42,278,570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41,471,524</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43,159,233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Carolina Beverage Group, LLC</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08/01/2018</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1"/>
              </w:rPr>
              <w:t>Beverage, Food and</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10.63%</w:t>
            </w:r>
          </w:p>
        </w:tc>
        <w:tc>
          <w:tcPr>
            <w:tcW w:w="9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13,125,000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13,125,000</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13,420,313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9"/>
              </w:rPr>
              <w:t>Tobacco</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Envision Acquisition Company, LLC</w:t>
            </w:r>
          </w:p>
        </w:tc>
        <w:tc>
          <w:tcPr>
            <w:tcW w:w="8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11/04/2021</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2"/>
              </w:rPr>
              <w:t>Healthcare, Education</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9.75%</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L+875</w:t>
            </w:r>
            <w:r>
              <w:rPr>
                <w:rFonts w:ascii="Arial" w:cs="Arial" w:eastAsia="Arial" w:hAnsi="Arial"/>
                <w:sz w:val="12"/>
                <w:szCs w:val="12"/>
                <w:color w:val="auto"/>
              </w:rPr>
              <w:t>(8)</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19,000,000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18,620,000</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18,905,000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and Childcare</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Eureka Hunter Pipeline, LLC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08/16/2018</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8"/>
              </w:rPr>
              <w:t>Energy / Utilities</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45,000,000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44,599,796</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46,575,000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ILC Industries, LLC</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06/14/2019</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Electronics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L+1,000</w:t>
            </w:r>
            <w:r>
              <w:rPr>
                <w:rFonts w:ascii="Arial" w:cs="Arial" w:eastAsia="Arial" w:hAnsi="Arial"/>
                <w:sz w:val="12"/>
                <w:szCs w:val="12"/>
                <w:color w:val="auto"/>
              </w:rPr>
              <w:t>(8)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7,500,000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7,200,000</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Intermediate Transportation 100, L.L.C.</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03/01/2017</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0"/>
              </w:rPr>
              <w:t>Cargo Transport</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L+700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3,544,833</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3,544,836</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3,544,833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8"/>
              </w:rPr>
              <w:t>(PIK 11.00%)</w:t>
            </w: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Jacobs Entertainment, Inc.</w:t>
            </w:r>
          </w:p>
        </w:tc>
        <w:tc>
          <w:tcPr>
            <w:tcW w:w="8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10/29/2019</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4"/>
              </w:rPr>
              <w:t>Hotels, Motels, Inns</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13.00%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L+1,175</w:t>
            </w:r>
            <w:r>
              <w:rPr>
                <w:rFonts w:ascii="Arial" w:cs="Arial" w:eastAsia="Arial" w:hAnsi="Arial"/>
                <w:sz w:val="12"/>
                <w:szCs w:val="12"/>
                <w:color w:val="auto"/>
              </w:rPr>
              <w:t>(8)</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38,950,000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38,287,499</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39,096,063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and Gaming</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Language Line, LLC</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12/20/2016</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1"/>
              </w:rPr>
              <w:t>Personal, Food and</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10.50%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L+875</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33,750,000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33,265,829</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33,187,388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Linc USA GP and Linc Energy Finance (USA), Inc. </w:t>
            </w:r>
            <w:r>
              <w:rPr>
                <w:rFonts w:ascii="Arial" w:cs="Arial" w:eastAsia="Arial" w:hAnsi="Arial"/>
                <w:sz w:val="12"/>
                <w:szCs w:val="12"/>
                <w:color w:val="auto"/>
              </w:rPr>
              <w:t>(5)</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10/31/2017</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Oil and Gas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11,875,000</w:t>
            </w:r>
          </w:p>
        </w:tc>
        <w:tc>
          <w:tcPr>
            <w:tcW w:w="12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11,511,878</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13,062,500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07/01/2020</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1"/>
              </w:rPr>
              <w:t>Personal, Food and</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9.75%</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L+850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56,750,000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55,923,621</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56,040,625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12/15/2014</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Other Media</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L+550</w:t>
            </w:r>
            <w:r>
              <w:rPr>
                <w:rFonts w:ascii="Arial" w:cs="Arial" w:eastAsia="Arial" w:hAnsi="Arial"/>
                <w:sz w:val="12"/>
                <w:szCs w:val="12"/>
                <w:color w:val="auto"/>
              </w:rPr>
              <w:t>(8)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2,395,378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2,395,378</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2,371,424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Questex Media Group LLC, Term Loan B</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12/15/2015</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Other Media</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11.50%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P+750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2,502,333</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2,502,333</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2,452,286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8"/>
              </w:rPr>
              <w:t>(PIK 11.50%)</w:t>
            </w: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ROC Finance LLC and ROC Finance 1 Corp.</w:t>
            </w:r>
          </w:p>
        </w:tc>
        <w:tc>
          <w:tcPr>
            <w:tcW w:w="2340" w:type="dxa"/>
            <w:vAlign w:val="bottom"/>
            <w:gridSpan w:val="4"/>
          </w:tcPr>
          <w:p>
            <w:pPr>
              <w:ind w:left="40"/>
              <w:spacing w:after="0" w:line="130" w:lineRule="exact"/>
              <w:rPr>
                <w:sz w:val="20"/>
                <w:szCs w:val="20"/>
                <w:color w:val="auto"/>
              </w:rPr>
            </w:pPr>
            <w:r>
              <w:rPr>
                <w:rFonts w:ascii="Arial" w:cs="Arial" w:eastAsia="Arial" w:hAnsi="Arial"/>
                <w:sz w:val="14"/>
                <w:szCs w:val="14"/>
                <w:color w:val="auto"/>
              </w:rPr>
              <w:t>08/31/2018   Hotels, Motels, Ins and</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12.13%</w:t>
            </w:r>
          </w:p>
        </w:tc>
        <w:tc>
          <w:tcPr>
            <w:tcW w:w="9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16,000,000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15,785,252</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17,720,000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Gaming</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332,007,946</w:t>
            </w:r>
          </w:p>
        </w:tc>
        <w:tc>
          <w:tcPr>
            <w:tcW w:w="18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341,093,728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Current</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Spread</w:t>
            </w: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Maturity</w:t>
            </w:r>
          </w:p>
        </w:tc>
        <w:tc>
          <w:tcPr>
            <w:tcW w:w="1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Industry</w:t>
            </w:r>
          </w:p>
        </w:tc>
        <w:tc>
          <w:tcPr>
            <w:tcW w:w="1160" w:type="dxa"/>
            <w:vAlign w:val="bottom"/>
            <w:gridSpan w:val="2"/>
            <w:vMerge w:val="continue"/>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Above</w:t>
            </w: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700" w:type="dxa"/>
            <w:vAlign w:val="bottom"/>
            <w:gridSpan w:val="4"/>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Coupon</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1"/>
              </w:rPr>
              <w:t>Subordinated</w:t>
            </w:r>
          </w:p>
        </w:tc>
        <w:tc>
          <w:tcPr>
            <w:tcW w:w="288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4"/>
                <w:szCs w:val="14"/>
                <w:b w:val="1"/>
                <w:bCs w:val="1"/>
                <w:color w:val="auto"/>
              </w:rPr>
              <w:t>Debt/Corporate Notes—37.4%</w:t>
            </w:r>
          </w:p>
        </w:tc>
        <w:tc>
          <w:tcPr>
            <w:tcW w:w="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Acentia, LLC</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10/02/2017</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13.75%</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19,000,000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18,629,082</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18,879,139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11/15/2015</w:t>
            </w:r>
          </w:p>
        </w:tc>
        <w:tc>
          <w:tcPr>
            <w:tcW w:w="1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Consumer Products</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11.63%</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4"/>
              </w:rPr>
              <w:t>35,552,000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34,570,664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20,442,400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Alegeus Technologies, LLC</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02/15/2019</w:t>
            </w: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12.00%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8,930,000</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8,773,751</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8,888,617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LLC</w:t>
            </w:r>
          </w:p>
        </w:tc>
        <w:tc>
          <w:tcPr>
            <w:tcW w:w="9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4"/>
              </w:rPr>
              <w:t>03/26/2018</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12.00%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23,514,494</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9"/>
              </w:rPr>
              <w:t>23,114,286</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23,867,211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 1.00%)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Credit Infonet, Inc.</w:t>
            </w:r>
          </w:p>
        </w:tc>
        <w:tc>
          <w:tcPr>
            <w:tcW w:w="9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4"/>
              </w:rPr>
              <w:t>10/26/2018</w:t>
            </w:r>
          </w:p>
        </w:tc>
        <w:tc>
          <w:tcPr>
            <w:tcW w:w="16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Personal, Food and</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12.25%</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10,600,000</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10,399,101</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10,653,423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Miscellaneous Services</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Escort, Inc.</w:t>
            </w:r>
          </w:p>
        </w:tc>
        <w:tc>
          <w:tcPr>
            <w:tcW w:w="9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4"/>
              </w:rPr>
              <w:t>06/01/2016</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14.75%</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25,965,563</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9"/>
              </w:rPr>
              <w:t>25,579,621</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26,484,875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 2.75%)</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JF Acquisition, LLC</w:t>
            </w:r>
          </w:p>
        </w:tc>
        <w:tc>
          <w:tcPr>
            <w:tcW w:w="9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4"/>
              </w:rPr>
              <w:t>06/30/2017</w:t>
            </w:r>
          </w:p>
        </w:tc>
        <w:tc>
          <w:tcPr>
            <w:tcW w:w="16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9"/>
              </w:rPr>
              <w:t>Distribution</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14.00%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17,517,386</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17,160,955</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17,517,386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(PIK 2.00%)</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Learning Care Group (US) Inc.</w:t>
            </w:r>
          </w:p>
        </w:tc>
        <w:tc>
          <w:tcPr>
            <w:tcW w:w="9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4"/>
              </w:rPr>
              <w:t>05/08/2020</w:t>
            </w:r>
          </w:p>
        </w:tc>
        <w:tc>
          <w:tcPr>
            <w:tcW w:w="16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Education</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15.00%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7,215,989</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6,754,246</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7,215,989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 15.00%)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LTI Flexible Products, Inc.</w:t>
            </w:r>
          </w:p>
        </w:tc>
        <w:tc>
          <w:tcPr>
            <w:tcW w:w="9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4"/>
              </w:rPr>
              <w:t>01/19/2019</w:t>
            </w:r>
          </w:p>
        </w:tc>
        <w:tc>
          <w:tcPr>
            <w:tcW w:w="16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Chemicals, Plastics and</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12.50%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30,000,000</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30,000,000</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30,525,000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Rubber</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 xml:space="preserve">LTI Flexible Products, Inc. </w:t>
            </w:r>
            <w:r>
              <w:rPr>
                <w:rFonts w:ascii="Arial" w:cs="Arial" w:eastAsia="Arial" w:hAnsi="Arial"/>
                <w:sz w:val="12"/>
                <w:szCs w:val="12"/>
                <w:color w:val="auto"/>
              </w:rPr>
              <w:t>(9)</w:t>
            </w:r>
          </w:p>
        </w:tc>
        <w:tc>
          <w:tcPr>
            <w:tcW w:w="9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4"/>
              </w:rPr>
              <w:t>01/11/2014</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Chemicals, Plastics and</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5,000,000</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4,825,000</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5,087,500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1"/>
              </w:rPr>
              <w:t>Rubber</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MSPark, Inc.</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06/15/2017</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Printing and Publishing</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14.50%</w:t>
            </w:r>
            <w:r>
              <w:rPr>
                <w:rFonts w:ascii="Arial" w:cs="Arial" w:eastAsia="Arial" w:hAnsi="Arial"/>
                <w:sz w:val="12"/>
                <w:szCs w:val="12"/>
                <w:color w:val="auto"/>
              </w:rPr>
              <w:t>(7)</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15,000,000</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14,691,342</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14,700,000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Varel International Energy Mezzanine Funding Corp.</w:t>
            </w:r>
          </w:p>
        </w:tc>
        <w:tc>
          <w:tcPr>
            <w:tcW w:w="9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4"/>
              </w:rPr>
              <w:t>01/15/2018</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14.00%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37,070,637</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9"/>
              </w:rPr>
              <w:t>36,441,726</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36,720,586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 4.00%)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Vestcom International, Inc.</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06/27/2019</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Printing and Publishing</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12.00%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39,892,933</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39,147,926</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39,827,248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270,087,700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2"/>
              </w:rPr>
              <w:t>260,809,374</w:t>
            </w:r>
          </w:p>
        </w:tc>
        <w:tc>
          <w:tcPr>
            <w:tcW w:w="0" w:type="dxa"/>
            <w:vAlign w:val="bottom"/>
          </w:tcPr>
          <w:p>
            <w:pPr>
              <w:spacing w:after="0"/>
              <w:rPr>
                <w:sz w:val="1"/>
                <w:szCs w:val="1"/>
                <w:color w:val="auto"/>
              </w:rPr>
            </w:pPr>
          </w:p>
        </w:tc>
      </w:tr>
      <w:tr>
        <w:trPr>
          <w:trHeight w:val="156"/>
        </w:trPr>
        <w:tc>
          <w:tcPr>
            <w:tcW w:w="370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 xml:space="preserve">Preferred Equity/Partnership Interests—1.2% </w:t>
            </w:r>
            <w:r>
              <w:rPr>
                <w:rFonts w:ascii="Arial" w:cs="Arial" w:eastAsia="Arial" w:hAnsi="Arial"/>
                <w:sz w:val="12"/>
                <w:szCs w:val="12"/>
                <w:b w:val="1"/>
                <w:bCs w:val="1"/>
                <w:color w:val="auto"/>
              </w:rPr>
              <w:t>(6)</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AH Holdings, Inc.</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 and</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6.00%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211</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815,133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AHC Mezzanine, LLC</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7,505</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318,896</w:t>
            </w:r>
          </w:p>
        </w:tc>
        <w:tc>
          <w:tcPr>
            <w:tcW w:w="100" w:type="dxa"/>
            <w:vAlign w:val="bottom"/>
          </w:tcPr>
          <w:p>
            <w:pPr>
              <w:spacing w:after="0"/>
              <w:rPr>
                <w:sz w:val="12"/>
                <w:szCs w:val="12"/>
                <w:color w:val="auto"/>
              </w:rPr>
            </w:pP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Alegeus Technologies Holdings Corp., Series A (Alegeus</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949</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949,050</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805,697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Technologies, LLC)</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92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76,357</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765,307</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1,187,410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auto"/>
              </w:rPr>
              <w:t>(Interactive Health Solutions, Inc.)</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r>
              <w:rPr>
                <w:rFonts w:ascii="Arial" w:cs="Arial" w:eastAsia="Arial" w:hAnsi="Arial"/>
                <w:sz w:val="14"/>
                <w:szCs w:val="14"/>
                <w:color w:val="auto"/>
              </w:rPr>
              <w:t xml:space="preserve"> (Interactive Health</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38,179</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382,654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593,705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Solutions, Inc.)</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Convergint Technologies Holdings, LLC (Convergint</w:t>
            </w:r>
          </w:p>
        </w:tc>
        <w:tc>
          <w:tcPr>
            <w:tcW w:w="92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2,375</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2,375,000</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2,584,106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auto"/>
              </w:rPr>
              <w:t>Technologies LLC)</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9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9.00%</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326,215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326,215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326,215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HW Topco, Inc.</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3,591</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24,177</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A</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Insurance</w:t>
            </w:r>
          </w:p>
        </w:tc>
        <w:tc>
          <w:tcPr>
            <w:tcW w:w="11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686</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685,820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TZ Holdings, L.P., Series B</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Insurance</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6.50%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1,312</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1,312,006</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862,664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VRide Holdings, Inc.</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Personal Transportation</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1,824,167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1,824,167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156,029</w:t>
            </w:r>
          </w:p>
        </w:tc>
        <w:tc>
          <w:tcPr>
            <w:tcW w:w="0" w:type="dxa"/>
            <w:vAlign w:val="bottom"/>
          </w:tcPr>
          <w:p>
            <w:pPr>
              <w:spacing w:after="0"/>
              <w:rPr>
                <w:sz w:val="1"/>
                <w:szCs w:val="1"/>
                <w:color w:val="auto"/>
              </w:rPr>
            </w:pPr>
          </w:p>
        </w:tc>
      </w:tr>
      <w:tr>
        <w:trPr>
          <w:trHeight w:val="163"/>
        </w:trPr>
        <w:tc>
          <w:tcPr>
            <w:tcW w:w="370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9,463,292</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8,051,870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Common Equity/Warrants/Partnership Interests—10.1%</w:t>
            </w:r>
            <w:r>
              <w:rPr>
                <w:rFonts w:ascii="Arial" w:cs="Arial" w:eastAsia="Arial" w:hAnsi="Arial"/>
                <w:sz w:val="12"/>
                <w:szCs w:val="12"/>
                <w:b w:val="1"/>
                <w:bCs w:val="1"/>
                <w:color w:val="auto"/>
                <w:w w:val="95"/>
              </w:rPr>
              <w:t>(6)</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 xml:space="preserve">Acentia, LLC, Class A Units </w:t>
            </w:r>
            <w:r>
              <w:rPr>
                <w:rFonts w:ascii="Arial" w:cs="Arial" w:eastAsia="Arial" w:hAnsi="Arial"/>
                <w:sz w:val="12"/>
                <w:szCs w:val="12"/>
                <w:color w:val="auto"/>
              </w:rPr>
              <w:t>(12)</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1,998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2,000,000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1,572,603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AH Holdings, Inc. (Warrants)</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1"/>
              </w:rPr>
              <w:t>03/23/2021</w:t>
            </w:r>
          </w:p>
        </w:tc>
        <w:tc>
          <w:tcPr>
            <w:tcW w:w="24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753</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2,499,319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Alegeus Technologies Holding Corp., Class A (Alegeus</w:t>
            </w:r>
          </w:p>
        </w:tc>
        <w:tc>
          <w:tcPr>
            <w:tcW w:w="92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950</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auto"/>
              </w:rPr>
              <w:t>Technologies, LLC)</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Autumn Games, LLC</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Broadcasting and</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1,333,330</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3,000,000</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4"/>
              </w:rPr>
              <w:t>Entertainment</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 xml:space="preserve">CI (Galls) Prime Investment Holdings, LLC </w:t>
            </w:r>
            <w:r>
              <w:rPr>
                <w:rFonts w:ascii="Arial" w:cs="Arial" w:eastAsia="Arial" w:hAnsi="Arial"/>
                <w:sz w:val="12"/>
                <w:szCs w:val="12"/>
                <w:color w:val="auto"/>
              </w:rPr>
              <w:t>(11)</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Distribution</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1,505,000</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1,505,000</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2,308,777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 (Interactive Health</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23,416</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234,693</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364,156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Solutions, Inc.)</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r>
              <w:rPr>
                <w:rFonts w:ascii="Arial" w:cs="Arial" w:eastAsia="Arial" w:hAnsi="Arial"/>
                <w:sz w:val="14"/>
                <w:szCs w:val="14"/>
                <w:color w:val="auto"/>
              </w:rPr>
              <w:t xml:space="preserve"> (Interactive Health</w:t>
            </w:r>
          </w:p>
        </w:tc>
        <w:tc>
          <w:tcPr>
            <w:tcW w:w="92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11,708</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117,346</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182,078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auto"/>
              </w:rPr>
              <w:t>Solutions, Inc.)</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 (Convergint</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2,375</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212,881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Technologies LLC)</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5,556</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1,918,346</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7,285,399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HW Topco, Inc.</w:t>
            </w:r>
          </w:p>
        </w:tc>
        <w:tc>
          <w:tcPr>
            <w:tcW w:w="9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386,770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2,697,835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3,400,855</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Spread</w:t>
            </w: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Par/</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15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Industry</w:t>
            </w:r>
          </w:p>
        </w:tc>
        <w:tc>
          <w:tcPr>
            <w:tcW w:w="1080" w:type="dxa"/>
            <w:vAlign w:val="bottom"/>
            <w:gridSpan w:val="2"/>
            <w:vMerge w:val="continue"/>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Above</w:t>
            </w:r>
          </w:p>
        </w:tc>
        <w:tc>
          <w:tcPr>
            <w:tcW w:w="1000" w:type="dxa"/>
            <w:vAlign w:val="bottom"/>
            <w:gridSpan w:val="2"/>
            <w:vMerge w:val="continue"/>
          </w:tcPr>
          <w:p>
            <w:pPr>
              <w:spacing w:after="0"/>
              <w:rPr>
                <w:sz w:val="12"/>
                <w:szCs w:val="12"/>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00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39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Kadmon Holdings, LLC, Class A</w:t>
            </w:r>
          </w:p>
        </w:tc>
        <w:tc>
          <w:tcPr>
            <w:tcW w:w="660" w:type="dxa"/>
            <w:vAlign w:val="bottom"/>
            <w:shd w:val="clear" w:color="auto" w:fill="CCEEFF"/>
          </w:tcPr>
          <w:p>
            <w:pPr>
              <w:ind w:left="220"/>
              <w:spacing w:after="0" w:line="123" w:lineRule="exact"/>
              <w:rPr>
                <w:sz w:val="20"/>
                <w:szCs w:val="20"/>
                <w:color w:val="auto"/>
              </w:rPr>
            </w:pPr>
            <w:r>
              <w:rPr>
                <w:rFonts w:ascii="Arial" w:cs="Arial" w:eastAsia="Arial" w:hAnsi="Arial"/>
                <w:sz w:val="14"/>
                <w:szCs w:val="14"/>
                <w:color w:val="auto"/>
              </w:rPr>
              <w:t>—</w:t>
            </w:r>
          </w:p>
        </w:tc>
        <w:tc>
          <w:tcPr>
            <w:tcW w:w="180" w:type="dxa"/>
            <w:vAlign w:val="bottom"/>
            <w:vMerge w:val="continue"/>
            <w:shd w:val="clear" w:color="auto" w:fill="CCEEFF"/>
          </w:tcPr>
          <w:p>
            <w:pPr>
              <w:spacing w:after="0"/>
              <w:rPr>
                <w:sz w:val="10"/>
                <w:szCs w:val="10"/>
                <w:color w:val="auto"/>
              </w:rPr>
            </w:pPr>
          </w:p>
        </w:tc>
        <w:tc>
          <w:tcPr>
            <w:tcW w:w="140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Healthcare, Education</w:t>
            </w:r>
          </w:p>
        </w:tc>
        <w:tc>
          <w:tcPr>
            <w:tcW w:w="160" w:type="dxa"/>
            <w:vAlign w:val="bottom"/>
            <w:vMerge w:val="continue"/>
            <w:shd w:val="clear" w:color="auto" w:fill="CCEEFF"/>
          </w:tcPr>
          <w:p>
            <w:pPr>
              <w:spacing w:after="0"/>
              <w:rPr>
                <w:sz w:val="10"/>
                <w:szCs w:val="10"/>
                <w:color w:val="auto"/>
              </w:rPr>
            </w:pPr>
          </w:p>
        </w:tc>
        <w:tc>
          <w:tcPr>
            <w:tcW w:w="700" w:type="dxa"/>
            <w:vAlign w:val="bottom"/>
            <w:shd w:val="clear" w:color="auto" w:fill="CCEEFF"/>
          </w:tcPr>
          <w:p>
            <w:pPr>
              <w:ind w:left="480"/>
              <w:spacing w:after="0" w:line="123" w:lineRule="exact"/>
              <w:rPr>
                <w:sz w:val="20"/>
                <w:szCs w:val="20"/>
                <w:color w:val="auto"/>
              </w:rPr>
            </w:pPr>
            <w:r>
              <w:rPr>
                <w:rFonts w:ascii="Arial" w:cs="Arial" w:eastAsia="Arial" w:hAnsi="Arial"/>
                <w:sz w:val="14"/>
                <w:szCs w:val="14"/>
                <w:color w:val="auto"/>
              </w:rPr>
              <w:t>—</w:t>
            </w:r>
          </w:p>
        </w:tc>
        <w:tc>
          <w:tcPr>
            <w:tcW w:w="380" w:type="dxa"/>
            <w:vAlign w:val="bottom"/>
            <w:vMerge w:val="continue"/>
            <w:shd w:val="clear" w:color="auto" w:fill="CCEEFF"/>
          </w:tcPr>
          <w:p>
            <w:pPr>
              <w:spacing w:after="0"/>
              <w:rPr>
                <w:sz w:val="10"/>
                <w:szCs w:val="10"/>
                <w:color w:val="auto"/>
              </w:rPr>
            </w:pPr>
          </w:p>
        </w:tc>
        <w:tc>
          <w:tcPr>
            <w:tcW w:w="700" w:type="dxa"/>
            <w:vAlign w:val="bottom"/>
            <w:shd w:val="clear" w:color="auto" w:fill="CCEEFF"/>
          </w:tcPr>
          <w:p>
            <w:pPr>
              <w:ind w:left="480"/>
              <w:spacing w:after="0" w:line="123" w:lineRule="exact"/>
              <w:rPr>
                <w:sz w:val="20"/>
                <w:szCs w:val="20"/>
                <w:color w:val="auto"/>
              </w:rPr>
            </w:pPr>
            <w:r>
              <w:rPr>
                <w:rFonts w:ascii="Arial" w:cs="Arial" w:eastAsia="Arial" w:hAnsi="Arial"/>
                <w:sz w:val="14"/>
                <w:szCs w:val="14"/>
                <w:color w:val="auto"/>
              </w:rPr>
              <w:t>—</w:t>
            </w:r>
          </w:p>
        </w:tc>
        <w:tc>
          <w:tcPr>
            <w:tcW w:w="260" w:type="dxa"/>
            <w:vAlign w:val="bottom"/>
            <w:vMerge w:val="continue"/>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1,079,920</w:t>
            </w:r>
          </w:p>
        </w:tc>
        <w:tc>
          <w:tcPr>
            <w:tcW w:w="320" w:type="dxa"/>
            <w:vAlign w:val="bottom"/>
            <w:vMerge w:val="continue"/>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1,236,832</w:t>
            </w:r>
          </w:p>
        </w:tc>
        <w:tc>
          <w:tcPr>
            <w:tcW w:w="240" w:type="dxa"/>
            <w:vAlign w:val="bottom"/>
            <w:vMerge w:val="continue"/>
            <w:shd w:val="clear" w:color="auto" w:fill="CCEEFF"/>
          </w:tcPr>
          <w:p>
            <w:pPr>
              <w:spacing w:after="0"/>
              <w:rPr>
                <w:sz w:val="10"/>
                <w:szCs w:val="10"/>
                <w:color w:val="auto"/>
              </w:rPr>
            </w:pPr>
          </w:p>
        </w:tc>
        <w:tc>
          <w:tcPr>
            <w:tcW w:w="82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11,085,403</w:t>
            </w:r>
          </w:p>
        </w:tc>
        <w:tc>
          <w:tcPr>
            <w:tcW w:w="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Kadmon Holdings, LLC, Class D</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0" w:lineRule="exact"/>
              <w:rPr>
                <w:sz w:val="20"/>
                <w:szCs w:val="20"/>
                <w:color w:val="auto"/>
              </w:rPr>
            </w:pPr>
            <w:r>
              <w:rPr>
                <w:rFonts w:ascii="Arial" w:cs="Arial" w:eastAsia="Arial" w:hAnsi="Arial"/>
                <w:sz w:val="14"/>
                <w:szCs w:val="14"/>
                <w:color w:val="auto"/>
              </w:rPr>
              <w:t>1,079,920</w:t>
            </w:r>
          </w:p>
        </w:tc>
        <w:tc>
          <w:tcPr>
            <w:tcW w:w="32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1,028,807</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04/27/2020</w:t>
            </w:r>
          </w:p>
        </w:tc>
        <w:tc>
          <w:tcPr>
            <w:tcW w:w="1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Education</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6,649</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779,920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4,300,696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w w:val="97"/>
              </w:rPr>
              <w:t>Magnum Hunter Resources Corporation (Eureka Hunter Pipeline,</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0" w:lineRule="exact"/>
              <w:rPr>
                <w:sz w:val="20"/>
                <w:szCs w:val="20"/>
                <w:color w:val="auto"/>
              </w:rPr>
            </w:pPr>
            <w:r>
              <w:rPr>
                <w:rFonts w:ascii="Arial" w:cs="Arial" w:eastAsia="Arial" w:hAnsi="Arial"/>
                <w:sz w:val="14"/>
                <w:szCs w:val="14"/>
                <w:color w:val="auto"/>
              </w:rPr>
              <w:t>1,221,932</w:t>
            </w:r>
          </w:p>
        </w:tc>
        <w:tc>
          <w:tcPr>
            <w:tcW w:w="32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3,057,500</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7,539,320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tcPr>
          <w:p>
            <w:pPr>
              <w:ind w:left="140"/>
              <w:spacing w:after="0"/>
              <w:rPr>
                <w:sz w:val="20"/>
                <w:szCs w:val="20"/>
                <w:color w:val="auto"/>
              </w:rPr>
            </w:pPr>
            <w:r>
              <w:rPr>
                <w:rFonts w:ascii="Arial" w:cs="Arial" w:eastAsia="Arial" w:hAnsi="Arial"/>
                <w:sz w:val="14"/>
                <w:szCs w:val="14"/>
                <w:color w:val="auto"/>
              </w:rPr>
              <w:t>LLC)</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Magnum Hunter Resources Corporation (Warrants)(Eureka</w:t>
            </w:r>
          </w:p>
        </w:tc>
        <w:tc>
          <w:tcPr>
            <w:tcW w:w="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10/14/2013</w:t>
            </w:r>
          </w:p>
        </w:tc>
        <w:tc>
          <w:tcPr>
            <w:tcW w:w="18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122,193</w:t>
            </w:r>
          </w:p>
        </w:tc>
        <w:tc>
          <w:tcPr>
            <w:tcW w:w="84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105,697</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Hunter Pipeline, LLC)</w:t>
            </w: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Magnum Hunter Resources Corporation (Warrants)(Eureka</w:t>
            </w:r>
          </w:p>
        </w:tc>
        <w:tc>
          <w:tcPr>
            <w:tcW w:w="660" w:type="dxa"/>
            <w:vAlign w:val="bottom"/>
          </w:tcPr>
          <w:p>
            <w:pPr>
              <w:spacing w:after="0" w:line="130" w:lineRule="exact"/>
              <w:rPr>
                <w:sz w:val="20"/>
                <w:szCs w:val="20"/>
                <w:color w:val="auto"/>
              </w:rPr>
            </w:pPr>
            <w:r>
              <w:rPr>
                <w:rFonts w:ascii="Arial" w:cs="Arial" w:eastAsia="Arial" w:hAnsi="Arial"/>
                <w:sz w:val="14"/>
                <w:szCs w:val="14"/>
                <w:color w:val="auto"/>
                <w:w w:val="91"/>
              </w:rPr>
              <w:t>04/16/2016</w:t>
            </w:r>
          </w:p>
        </w:tc>
        <w:tc>
          <w:tcPr>
            <w:tcW w:w="180" w:type="dxa"/>
            <w:vAlign w:val="bottom"/>
          </w:tcPr>
          <w:p>
            <w:pPr>
              <w:spacing w:after="0"/>
              <w:rPr>
                <w:sz w:val="11"/>
                <w:szCs w:val="11"/>
                <w:color w:val="auto"/>
              </w:rPr>
            </w:pP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122,193</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182,499</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205,667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tcPr>
          <w:p>
            <w:pPr>
              <w:ind w:left="140"/>
              <w:spacing w:after="0"/>
              <w:rPr>
                <w:sz w:val="20"/>
                <w:szCs w:val="20"/>
                <w:color w:val="auto"/>
              </w:rPr>
            </w:pPr>
            <w:r>
              <w:rPr>
                <w:rFonts w:ascii="Arial" w:cs="Arial" w:eastAsia="Arial" w:hAnsi="Arial"/>
                <w:sz w:val="14"/>
                <w:szCs w:val="14"/>
                <w:color w:val="auto"/>
              </w:rPr>
              <w:t>Hunter Pipeline, LLC)</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JF Holdings Corp.</w:t>
            </w:r>
          </w:p>
        </w:tc>
        <w:tc>
          <w:tcPr>
            <w:tcW w:w="8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7"/>
              </w:rPr>
              <w:t>Distribution</w:t>
            </w:r>
          </w:p>
        </w:tc>
        <w:tc>
          <w:tcPr>
            <w:tcW w:w="10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1,850</w:t>
            </w:r>
          </w:p>
        </w:tc>
        <w:tc>
          <w:tcPr>
            <w:tcW w:w="84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1,850,294</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1,845,784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(JF Acquisition, LLC)</w:t>
            </w: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MidOcean PPL Holdings, Corp.</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Personal, Food and</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3,000</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5,441,976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80" w:type="dxa"/>
            <w:vAlign w:val="bottom"/>
            <w:gridSpan w:val="2"/>
          </w:tcPr>
          <w:p>
            <w:pPr>
              <w:ind w:left="140"/>
              <w:spacing w:after="0"/>
              <w:rPr>
                <w:sz w:val="20"/>
                <w:szCs w:val="20"/>
                <w:color w:val="auto"/>
              </w:rPr>
            </w:pPr>
            <w:r>
              <w:rPr>
                <w:rFonts w:ascii="Arial" w:cs="Arial" w:eastAsia="Arial" w:hAnsi="Arial"/>
                <w:sz w:val="14"/>
                <w:szCs w:val="14"/>
                <w:color w:val="auto"/>
              </w:rPr>
              <w:t>(Pre-Paid Legal Services, Inc.)</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Miscellaneous Services</w:t>
            </w: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Paradigm Acquisition Corp.</w:t>
            </w:r>
          </w:p>
        </w:tc>
        <w:tc>
          <w:tcPr>
            <w:tcW w:w="8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0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20,000</w:t>
            </w:r>
          </w:p>
        </w:tc>
        <w:tc>
          <w:tcPr>
            <w:tcW w:w="84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2,000,000</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3,720,481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A (Questex Media Group, LLC)</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4,325</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1,306,167</w:t>
            </w:r>
          </w:p>
        </w:tc>
        <w:tc>
          <w:tcPr>
            <w:tcW w:w="2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2,073,419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QMG HoldCo, LLC, Class B (Questex Media Group, LLC)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254,563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SPG Boyd Holdings Corp. (LTI Flexible Products, Inc.)</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Chemical, Plastic and</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300,000</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5,571,120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Rubber</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12/29/2019</w:t>
            </w:r>
          </w:p>
        </w:tc>
        <w:tc>
          <w:tcPr>
            <w:tcW w:w="1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3,500</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606,681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Transportation 100 Holdco, L.L.C. </w:t>
            </w:r>
            <w:r>
              <w:rPr>
                <w:rFonts w:ascii="Arial" w:cs="Arial" w:eastAsia="Arial" w:hAnsi="Arial"/>
                <w:sz w:val="12"/>
                <w:szCs w:val="12"/>
                <w:color w:val="auto"/>
              </w:rPr>
              <w:t>(13)</w:t>
            </w:r>
            <w:r>
              <w:rPr>
                <w:rFonts w:ascii="Arial" w:cs="Arial" w:eastAsia="Arial" w:hAnsi="Arial"/>
                <w:sz w:val="14"/>
                <w:szCs w:val="14"/>
                <w:color w:val="auto"/>
              </w:rPr>
              <w:t xml:space="preserve"> (Intermediate</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Cargo Transport</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137,923</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2,111,588</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379,453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tcPr>
          <w:p>
            <w:pPr>
              <w:ind w:left="140"/>
              <w:spacing w:after="0"/>
              <w:rPr>
                <w:sz w:val="20"/>
                <w:szCs w:val="20"/>
                <w:color w:val="auto"/>
              </w:rPr>
            </w:pPr>
            <w:r>
              <w:rPr>
                <w:rFonts w:ascii="Arial" w:cs="Arial" w:eastAsia="Arial" w:hAnsi="Arial"/>
                <w:sz w:val="14"/>
                <w:szCs w:val="14"/>
                <w:color w:val="auto"/>
              </w:rPr>
              <w:t>Transportation 100, L.L.C.)</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Insurance</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9,567</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Vestcom Parent Holdings, Inc. (Vestcom International, Inc.)</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Printing and Publishing</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211,797</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2,325,555</w:t>
            </w:r>
          </w:p>
        </w:tc>
        <w:tc>
          <w:tcPr>
            <w:tcW w:w="2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2,626,512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VRide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Personal Transportation</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9,166</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9,166</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35,526</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4,050,000</w:t>
            </w:r>
          </w:p>
        </w:tc>
        <w:tc>
          <w:tcPr>
            <w:tcW w:w="2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5,966,074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37,557,162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70,472,831</w:t>
            </w:r>
          </w:p>
        </w:tc>
        <w:tc>
          <w:tcPr>
            <w:tcW w:w="0" w:type="dxa"/>
            <w:vAlign w:val="bottom"/>
          </w:tcPr>
          <w:p>
            <w:pPr>
              <w:spacing w:after="0"/>
              <w:rPr>
                <w:sz w:val="1"/>
                <w:szCs w:val="1"/>
                <w:color w:val="auto"/>
              </w:rPr>
            </w:pPr>
          </w:p>
        </w:tc>
      </w:tr>
      <w:tr>
        <w:trPr>
          <w:trHeight w:val="163"/>
        </w:trPr>
        <w:tc>
          <w:tcPr>
            <w:tcW w:w="48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928,078,589</w:t>
            </w:r>
          </w:p>
        </w:tc>
        <w:tc>
          <w:tcPr>
            <w:tcW w:w="2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968,471,042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 xml:space="preserve">Investments in Non-Controlled, Affiliated Portfolio Companies—11.0% </w:t>
            </w:r>
            <w:r>
              <w:rPr>
                <w:rFonts w:ascii="Arial" w:cs="Arial" w:eastAsia="Arial" w:hAnsi="Arial"/>
                <w:sz w:val="12"/>
                <w:szCs w:val="12"/>
                <w:b w:val="1"/>
                <w:bCs w:val="1"/>
                <w:color w:val="auto"/>
                <w:w w:val="95"/>
              </w:rPr>
              <w:t>(1),(2)</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Notes—5.7%</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DirectBuy Holdings, Inc.</w:t>
            </w:r>
          </w:p>
        </w:tc>
        <w:tc>
          <w:tcPr>
            <w:tcW w:w="6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88"/>
              </w:rPr>
              <w:t>11/05/2019</w:t>
            </w:r>
          </w:p>
        </w:tc>
        <w:tc>
          <w:tcPr>
            <w:tcW w:w="18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0"/>
              </w:rPr>
              <w:t>Consumer Products</w:t>
            </w:r>
          </w:p>
        </w:tc>
        <w:tc>
          <w:tcPr>
            <w:tcW w:w="1080" w:type="dxa"/>
            <w:vAlign w:val="bottom"/>
            <w:gridSpan w:val="2"/>
            <w:shd w:val="clear" w:color="auto" w:fill="CCEEFF"/>
          </w:tcPr>
          <w:p>
            <w:pPr>
              <w:ind w:left="380"/>
              <w:spacing w:after="0" w:line="130" w:lineRule="exact"/>
              <w:rPr>
                <w:sz w:val="20"/>
                <w:szCs w:val="20"/>
                <w:color w:val="auto"/>
              </w:rPr>
            </w:pPr>
            <w:r>
              <w:rPr>
                <w:rFonts w:ascii="Arial" w:cs="Arial" w:eastAsia="Arial" w:hAnsi="Arial"/>
                <w:sz w:val="14"/>
                <w:szCs w:val="14"/>
                <w:color w:val="auto"/>
              </w:rPr>
              <w:t>12.00%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11,428,224</w:t>
            </w:r>
          </w:p>
        </w:tc>
        <w:tc>
          <w:tcPr>
            <w:tcW w:w="84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93"/>
              </w:rPr>
              <w:t>$  11,428,224</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w w:val="93"/>
              </w:rPr>
              <w:t>$  11,428,224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(PIK 12.00%)</w:t>
            </w: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660" w:type="dxa"/>
            <w:vAlign w:val="bottom"/>
          </w:tcPr>
          <w:p>
            <w:pPr>
              <w:spacing w:after="0" w:line="149" w:lineRule="exact"/>
              <w:rPr>
                <w:sz w:val="20"/>
                <w:szCs w:val="20"/>
                <w:color w:val="auto"/>
              </w:rPr>
            </w:pPr>
            <w:r>
              <w:rPr>
                <w:rFonts w:ascii="Arial" w:cs="Arial" w:eastAsia="Arial" w:hAnsi="Arial"/>
                <w:sz w:val="14"/>
                <w:szCs w:val="14"/>
                <w:color w:val="auto"/>
                <w:w w:val="91"/>
              </w:rPr>
              <w:t>10/02/2017</w:t>
            </w:r>
          </w:p>
        </w:tc>
        <w:tc>
          <w:tcPr>
            <w:tcW w:w="180" w:type="dxa"/>
            <w:vAlign w:val="bottom"/>
          </w:tcPr>
          <w:p>
            <w:pPr>
              <w:spacing w:after="0"/>
              <w:rPr>
                <w:sz w:val="13"/>
                <w:szCs w:val="13"/>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Auto Sector</w:t>
            </w:r>
          </w:p>
        </w:tc>
        <w:tc>
          <w:tcPr>
            <w:tcW w:w="10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12.50%</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28,000,000</w:t>
            </w:r>
          </w:p>
        </w:tc>
        <w:tc>
          <w:tcPr>
            <w:tcW w:w="32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27,474,713</w:t>
            </w:r>
          </w:p>
        </w:tc>
        <w:tc>
          <w:tcPr>
            <w:tcW w:w="2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28,248,043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t>
            </w:r>
            <w:r>
              <w:rPr>
                <w:rFonts w:ascii="Arial" w:cs="Arial" w:eastAsia="Arial" w:hAnsi="Arial"/>
                <w:sz w:val="14"/>
                <w:szCs w:val="14"/>
                <w:b w:val="1"/>
                <w:bCs w:val="1"/>
                <w:color w:val="auto"/>
              </w:rPr>
              <w:t>otal Subordinated Debt/Corporate Notes</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38,902,937</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39,676,267</w:t>
            </w:r>
          </w:p>
        </w:tc>
        <w:tc>
          <w:tcPr>
            <w:tcW w:w="0" w:type="dxa"/>
            <w:vAlign w:val="bottom"/>
          </w:tcPr>
          <w:p>
            <w:pPr>
              <w:spacing w:after="0"/>
              <w:rPr>
                <w:sz w:val="1"/>
                <w:szCs w:val="1"/>
                <w:color w:val="auto"/>
              </w:rPr>
            </w:pPr>
          </w:p>
        </w:tc>
      </w:tr>
      <w:tr>
        <w:trPr>
          <w:trHeight w:val="156"/>
        </w:trPr>
        <w:tc>
          <w:tcPr>
            <w:tcW w:w="4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Preferred Equity—0.2%</w:t>
            </w:r>
            <w:r>
              <w:rPr>
                <w:rFonts w:ascii="Arial" w:cs="Arial" w:eastAsia="Arial" w:hAnsi="Arial"/>
                <w:sz w:val="12"/>
                <w:szCs w:val="12"/>
                <w:b w:val="1"/>
                <w:bCs w:val="1"/>
                <w:color w:val="auto"/>
              </w:rPr>
              <w:t>(6)</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Aerospace and Defense</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53,071</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20,059,340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1,694,296</w:t>
            </w:r>
          </w:p>
        </w:tc>
        <w:tc>
          <w:tcPr>
            <w:tcW w:w="0" w:type="dxa"/>
            <w:vAlign w:val="bottom"/>
          </w:tcPr>
          <w:p>
            <w:pPr>
              <w:spacing w:after="0"/>
              <w:rPr>
                <w:sz w:val="1"/>
                <w:szCs w:val="1"/>
                <w:color w:val="auto"/>
              </w:rPr>
            </w:pPr>
          </w:p>
        </w:tc>
      </w:tr>
      <w:tr>
        <w:trPr>
          <w:trHeight w:val="156"/>
        </w:trPr>
        <w:tc>
          <w:tcPr>
            <w:tcW w:w="4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 xml:space="preserve">Common Equity/Partnership Interest—5.1% </w:t>
            </w:r>
            <w:r>
              <w:rPr>
                <w:rFonts w:ascii="Arial" w:cs="Arial" w:eastAsia="Arial" w:hAnsi="Arial"/>
                <w:sz w:val="12"/>
                <w:szCs w:val="12"/>
                <w:b w:val="1"/>
                <w:bCs w:val="1"/>
                <w:color w:val="auto"/>
              </w:rPr>
              <w:t>(6)</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Consumer Products</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104,719</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21,492,822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5,556,207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 (Warrants)</w:t>
            </w: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auto"/>
                <w:w w:val="88"/>
              </w:rPr>
              <w:t>11/05/2022</w:t>
            </w:r>
          </w:p>
        </w:tc>
        <w:tc>
          <w:tcPr>
            <w:tcW w:w="18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Consumer Products</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15,486</w:t>
            </w:r>
          </w:p>
        </w:tc>
        <w:tc>
          <w:tcPr>
            <w:tcW w:w="10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821,505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Environmental Services</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142,684</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11,891,822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21,265,345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NCP-Performance</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Leisure, Amusement,</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375,000</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3,750,000</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2,500,165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Motion Pictures</w:t>
            </w: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Entertainment</w:t>
            </w: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Service Champ Holdings, Inc. (Service Champ,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Auto Sector</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16,800</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2,721,600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5,222,015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Aerospace and Defense</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53,071</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202,620</w:t>
            </w:r>
          </w:p>
        </w:tc>
        <w:tc>
          <w:tcPr>
            <w:tcW w:w="240" w:type="dxa"/>
            <w:vAlign w:val="bottom"/>
          </w:tcPr>
          <w:p>
            <w:pPr>
              <w:spacing w:after="0"/>
              <w:rPr>
                <w:sz w:val="13"/>
                <w:szCs w:val="13"/>
                <w:color w:val="auto"/>
              </w:rPr>
            </w:pPr>
          </w:p>
        </w:tc>
        <w:tc>
          <w:tcPr>
            <w:tcW w:w="820" w:type="dxa"/>
            <w:vAlign w:val="bottom"/>
            <w:tcBorders>
              <w:bottom w:val="single" w:sz="8" w:color="auto"/>
            </w:tcBorders>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40,058,864</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35,365,237</w:t>
            </w:r>
          </w:p>
        </w:tc>
        <w:tc>
          <w:tcPr>
            <w:tcW w:w="0" w:type="dxa"/>
            <w:vAlign w:val="bottom"/>
          </w:tcPr>
          <w:p>
            <w:pPr>
              <w:spacing w:after="0"/>
              <w:rPr>
                <w:sz w:val="1"/>
                <w:szCs w:val="1"/>
                <w:color w:val="auto"/>
              </w:rPr>
            </w:pPr>
          </w:p>
        </w:tc>
      </w:tr>
      <w:tr>
        <w:trPr>
          <w:trHeight w:val="156"/>
        </w:trPr>
        <w:tc>
          <w:tcPr>
            <w:tcW w:w="48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99,021,141</w:t>
            </w:r>
          </w:p>
        </w:tc>
        <w:tc>
          <w:tcPr>
            <w:tcW w:w="24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76,735,800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Basis Point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Spread</w:t>
            </w: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Par/</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Industry</w:t>
            </w:r>
          </w:p>
        </w:tc>
        <w:tc>
          <w:tcPr>
            <w:tcW w:w="1160" w:type="dxa"/>
            <w:vAlign w:val="bottom"/>
            <w:gridSpan w:val="2"/>
            <w:vMerge w:val="continue"/>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Above</w:t>
            </w:r>
          </w:p>
        </w:tc>
        <w:tc>
          <w:tcPr>
            <w:tcW w:w="1000" w:type="dxa"/>
            <w:vAlign w:val="bottom"/>
            <w:gridSpan w:val="2"/>
            <w:vMerge w:val="continue"/>
          </w:tcPr>
          <w:p>
            <w:pPr>
              <w:spacing w:after="0"/>
              <w:rPr>
                <w:sz w:val="12"/>
                <w:szCs w:val="12"/>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0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98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xml:space="preserve">Index </w:t>
            </w:r>
            <w:r>
              <w:rPr>
                <w:rFonts w:ascii="Arial" w:cs="Arial" w:eastAsia="Arial" w:hAnsi="Arial"/>
                <w:sz w:val="12"/>
                <w:szCs w:val="12"/>
                <w:b w:val="1"/>
                <w:bCs w:val="1"/>
                <w:color w:val="auto"/>
                <w:w w:val="97"/>
              </w:rPr>
              <w:t>(4)</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32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in Controlled, Affiliated Portfolio Companies—4.7%</w:t>
            </w:r>
          </w:p>
        </w:tc>
        <w:tc>
          <w:tcPr>
            <w:tcW w:w="660" w:type="dxa"/>
            <w:vAlign w:val="bottom"/>
            <w:tcBorders>
              <w:top w:val="single" w:sz="8" w:color="auto"/>
            </w:tcBorders>
            <w:shd w:val="clear" w:color="auto" w:fill="CCEEFF"/>
          </w:tcPr>
          <w:p>
            <w:pPr>
              <w:jc w:val="right"/>
              <w:ind w:right="189"/>
              <w:spacing w:after="0" w:line="129" w:lineRule="exact"/>
              <w:rPr>
                <w:sz w:val="20"/>
                <w:szCs w:val="20"/>
                <w:color w:val="auto"/>
              </w:rPr>
            </w:pPr>
            <w:r>
              <w:rPr>
                <w:rFonts w:ascii="Arial" w:cs="Arial" w:eastAsia="Arial" w:hAnsi="Arial"/>
                <w:sz w:val="12"/>
                <w:szCs w:val="12"/>
                <w:b w:val="1"/>
                <w:bCs w:val="1"/>
                <w:color w:val="auto"/>
              </w:rPr>
              <w:t>(1),(2)</w:t>
            </w:r>
          </w:p>
        </w:tc>
        <w:tc>
          <w:tcPr>
            <w:tcW w:w="1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Debt—1.6%</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06/30/2020</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9,250,000</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9,250,000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9,556,385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Universal Pegasus International, LLC </w:t>
            </w:r>
            <w:r>
              <w:rPr>
                <w:rFonts w:ascii="Arial" w:cs="Arial" w:eastAsia="Arial" w:hAnsi="Arial"/>
                <w:sz w:val="12"/>
                <w:szCs w:val="12"/>
                <w:color w:val="auto"/>
              </w:rPr>
              <w:t>(9)</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12/31/2015</w:t>
            </w:r>
          </w:p>
        </w:tc>
        <w:tc>
          <w:tcPr>
            <w:tcW w:w="18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1,916,667</w:t>
            </w:r>
          </w:p>
        </w:tc>
        <w:tc>
          <w:tcPr>
            <w:tcW w:w="32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1,787,941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1,916,667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11,037,941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11,473,052</w:t>
            </w: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Debt—2.4%</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Universal Pegasus International, LLC</w:t>
            </w:r>
          </w:p>
        </w:tc>
        <w:tc>
          <w:tcPr>
            <w:tcW w:w="6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12/31/2015</w:t>
            </w: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15.00%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4"/>
              </w:rPr>
              <w:t>16,615,645</w:t>
            </w:r>
          </w:p>
        </w:tc>
        <w:tc>
          <w:tcPr>
            <w:tcW w:w="3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14,709,502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16,449,489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8"/>
              </w:rPr>
              <w:t>(PIK 15.00%)</w:t>
            </w: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Notes—0.3%</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6/30/2020</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2,250,000</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2,250,000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1,961,667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Preferred Equity—0.4%</w:t>
            </w:r>
            <w:r>
              <w:rPr>
                <w:rFonts w:ascii="Arial" w:cs="Arial" w:eastAsia="Arial" w:hAnsi="Arial"/>
                <w:sz w:val="12"/>
                <w:szCs w:val="12"/>
                <w:b w:val="1"/>
                <w:bCs w:val="1"/>
                <w:color w:val="auto"/>
              </w:rPr>
              <w:t>(6)</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14.00%</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2,000</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1,981,948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30" w:lineRule="exact"/>
              <w:rPr>
                <w:sz w:val="20"/>
                <w:szCs w:val="20"/>
                <w:color w:val="auto"/>
              </w:rPr>
            </w:pPr>
            <w:r>
              <w:rPr>
                <w:rFonts w:ascii="Arial" w:cs="Arial" w:eastAsia="Arial" w:hAnsi="Arial"/>
                <w:sz w:val="14"/>
                <w:szCs w:val="14"/>
                <w:color w:val="auto"/>
              </w:rPr>
              <w:t>Universal Pegasus International Holdings, Inc.</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8.00%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376,988</w:t>
            </w:r>
          </w:p>
        </w:tc>
        <w:tc>
          <w:tcPr>
            <w:tcW w:w="10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34,420,612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1,102,555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gridSpan w:val="2"/>
          </w:tcPr>
          <w:p>
            <w:pPr>
              <w:ind w:left="140"/>
              <w:spacing w:after="0"/>
              <w:rPr>
                <w:sz w:val="20"/>
                <w:szCs w:val="20"/>
                <w:color w:val="auto"/>
              </w:rPr>
            </w:pPr>
            <w:r>
              <w:rPr>
                <w:rFonts w:ascii="Arial" w:cs="Arial" w:eastAsia="Arial" w:hAnsi="Arial"/>
                <w:sz w:val="14"/>
                <w:szCs w:val="14"/>
                <w:color w:val="auto"/>
              </w:rPr>
              <w:t>(Universal Pegasus International, LLC)</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36,420,612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3,084,503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Common Equity—0.0</w:t>
            </w:r>
            <w:r>
              <w:rPr>
                <w:rFonts w:ascii="Arial" w:cs="Arial" w:eastAsia="Arial" w:hAnsi="Arial"/>
                <w:sz w:val="14"/>
                <w:szCs w:val="14"/>
                <w:color w:val="auto"/>
              </w:rPr>
              <w:t>%</w:t>
            </w:r>
            <w:r>
              <w:rPr>
                <w:rFonts w:ascii="Arial" w:cs="Arial" w:eastAsia="Arial" w:hAnsi="Arial"/>
                <w:sz w:val="12"/>
                <w:szCs w:val="12"/>
                <w:color w:val="auto"/>
              </w:rPr>
              <w:t>(6)</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4"/>
              </w:rPr>
              <w:t>Total Investments in Controlled, Affiliated Portfolio Companies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64,418,155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32,968,711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Investments—154.6%</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1,091,517,885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1,078,175,553</w:t>
            </w: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and Cash Equivalents—8.4%</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2,667,511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2,667,511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BlackRock Liquidity Funds, Temp Cash, Institutional Shares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2,446,232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2,446,232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BNY Mellon Cash Reserve</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53,327,086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53,327,086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Cash and Cash Equivalents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58,440,829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58,440,829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Cash and Cash Equivalents—163.0%</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$ 1,149,958,714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1,136,616,382</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Assets—(63.0%)</w:t>
            </w: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94"/>
              </w:rPr>
              <w:t>(439,110,183)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697,506,199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20" w:hanging="332"/>
        <w:spacing w:after="0" w:line="248" w:lineRule="auto"/>
        <w:tabs>
          <w:tab w:leader="none" w:pos="34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00" w:hanging="332"/>
        <w:spacing w:after="0" w:line="221"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21"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hanging="332"/>
        <w:spacing w:after="0" w:line="221"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or “P” rate.</w:t>
      </w:r>
    </w:p>
    <w:p>
      <w:pPr>
        <w:ind w:left="340" w:right="60" w:hanging="332"/>
        <w:spacing w:after="0" w:line="221"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340" w:hanging="332"/>
        <w:spacing w:after="0" w:line="221"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investments). This security does not have a basis point spread above an index.</w:t>
      </w:r>
    </w:p>
    <w:p>
      <w:pPr>
        <w:ind w:left="340" w:hanging="332"/>
        <w:spacing w:after="0" w:line="221"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340" w:hanging="332"/>
        <w:spacing w:after="0" w:line="221" w:lineRule="auto"/>
        <w:tabs>
          <w:tab w:leader="none" w:pos="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spacing w:after="0"/>
        <w:rPr>
          <w:sz w:val="20"/>
          <w:szCs w:val="20"/>
          <w:color w:val="auto"/>
        </w:rPr>
      </w:pPr>
      <w:r>
        <w:rPr>
          <w:rFonts w:ascii="Arial" w:cs="Arial" w:eastAsia="Arial" w:hAnsi="Arial"/>
          <w:sz w:val="14"/>
          <w:szCs w:val="14"/>
          <w:color w:val="auto"/>
        </w:rPr>
        <w:t>(13)Investment is held through PNNT Transportation 100 Holdco, L.L.C., a consolidated subsidiary.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Current</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Spread</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Par/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Maturity</w:t>
            </w: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Industry</w:t>
            </w:r>
          </w:p>
        </w:tc>
        <w:tc>
          <w:tcPr>
            <w:tcW w:w="1080" w:type="dxa"/>
            <w:vAlign w:val="bottom"/>
            <w:gridSpan w:val="2"/>
            <w:vMerge w:val="continue"/>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Above</w:t>
            </w: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680" w:type="dxa"/>
            <w:vAlign w:val="bottom"/>
            <w:gridSpan w:val="3"/>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Coupon</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900" w:type="dxa"/>
            <w:vAlign w:val="bottom"/>
            <w:vMerge w:val="restart"/>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 Non-Controlled, Non-Affiliated Portfolio</w:t>
            </w: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2900" w:type="dxa"/>
            <w:vAlign w:val="bottom"/>
            <w:vMerge w:val="continue"/>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2"/>
              </w:rPr>
              <w:t>Companies—130.3%</w:t>
            </w:r>
          </w:p>
        </w:tc>
        <w:tc>
          <w:tcPr>
            <w:tcW w:w="1380" w:type="dxa"/>
            <w:vAlign w:val="bottom"/>
            <w:shd w:val="clear" w:color="auto" w:fill="CCEEFF"/>
          </w:tcPr>
          <w:p>
            <w:pPr>
              <w:jc w:val="right"/>
              <w:ind w:right="868"/>
              <w:spacing w:after="0" w:line="129" w:lineRule="exact"/>
              <w:rPr>
                <w:sz w:val="20"/>
                <w:szCs w:val="20"/>
                <w:color w:val="auto"/>
              </w:rPr>
            </w:pPr>
            <w:r>
              <w:rPr>
                <w:rFonts w:ascii="Arial" w:cs="Arial" w:eastAsia="Arial" w:hAnsi="Arial"/>
                <w:sz w:val="12"/>
                <w:szCs w:val="12"/>
                <w:b w:val="1"/>
                <w:bCs w:val="1"/>
                <w:color w:val="auto"/>
              </w:rPr>
              <w:t>(1),(2)</w:t>
            </w:r>
          </w:p>
        </w:tc>
        <w:tc>
          <w:tcPr>
            <w:tcW w:w="16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Debt—41.7%</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06/21/2017</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Communications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11.25%</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14,906,250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  14,332,682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  14,906,250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American Surgical Holdings, Inc.</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03/23/2015</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14.00%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L+1,000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17,811,828</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17,441,366</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17,811,828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02/07/2014</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Energy/Utilities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3.68%</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L+325</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1,757,029</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1,973,334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CEVA Group PLC</w:t>
            </w:r>
            <w:r>
              <w:rPr>
                <w:rFonts w:ascii="Arial" w:cs="Arial" w:eastAsia="Arial" w:hAnsi="Arial"/>
                <w:sz w:val="12"/>
                <w:szCs w:val="12"/>
                <w:color w:val="auto"/>
              </w:rPr>
              <w:t>(5),(10)</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10/01/2016</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Cargo Transport</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11.63%</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7,500,000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7,355,237</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7,687,500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CEVA Group PLC</w:t>
            </w:r>
            <w:r>
              <w:rPr>
                <w:rFonts w:ascii="Arial" w:cs="Arial" w:eastAsia="Arial" w:hAnsi="Arial"/>
                <w:sz w:val="12"/>
                <w:szCs w:val="12"/>
                <w:color w:val="auto"/>
              </w:rPr>
              <w:t>(5),(10)</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04/01/2018</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Cargo Transport</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990,089</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Columbus International, Inc.</w:t>
            </w:r>
            <w:r>
              <w:rPr>
                <w:rFonts w:ascii="Arial" w:cs="Arial" w:eastAsia="Arial" w:hAnsi="Arial"/>
                <w:sz w:val="12"/>
                <w:szCs w:val="12"/>
                <w:color w:val="auto"/>
              </w:rPr>
              <w:t>(5), (10)</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11/20/2014</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Communications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10,000,000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10,000,000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11,100,000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Good Sam Enterprises, LLC</w:t>
            </w:r>
            <w:r>
              <w:rPr>
                <w:rFonts w:ascii="Arial" w:cs="Arial" w:eastAsia="Arial" w:hAnsi="Arial"/>
                <w:sz w:val="12"/>
                <w:szCs w:val="12"/>
                <w:color w:val="auto"/>
              </w:rPr>
              <w:t>(5)</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12/01/2016</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Consumer Products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12,000,000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11,795,443</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01/13/2017</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L+650</w:t>
            </w:r>
            <w:r>
              <w:rPr>
                <w:rFonts w:ascii="Arial" w:cs="Arial" w:eastAsia="Arial" w:hAnsi="Arial"/>
                <w:sz w:val="12"/>
                <w:szCs w:val="12"/>
                <w:color w:val="auto"/>
              </w:rPr>
              <w:t>(8)</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1,752,896</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1,752,896</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1,752,896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IDQ Holdings, Inc. </w:t>
            </w:r>
            <w:r>
              <w:rPr>
                <w:rFonts w:ascii="Arial" w:cs="Arial" w:eastAsia="Arial" w:hAnsi="Arial"/>
                <w:sz w:val="12"/>
                <w:szCs w:val="12"/>
                <w:color w:val="auto"/>
              </w:rPr>
              <w:t>(5)</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04/01/2017</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5"/>
              </w:rPr>
              <w:t>Auto Sector</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11,500,000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11,288,165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12,218,750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Instant Web, Inc.</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08/07/2014</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Printing and</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14.50%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24,115,645</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23,829,738</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23,802,142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Publishing</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Interactive Health Solutions, Inc.</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10/04/2016</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6"/>
              </w:rPr>
              <w:t>18,525,000</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18,165,492</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18,571,313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Jacuzzi Brands Corp.</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02/07/2014</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Home and Office</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2.28%</w:t>
            </w:r>
          </w:p>
        </w:tc>
        <w:tc>
          <w:tcPr>
            <w:tcW w:w="104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L+225</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9,598,649</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9,598,649</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6,371,103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Furnishings,</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Housewares and</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Durable Consumer</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Products</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09/10/2015</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0"/>
              </w:rPr>
              <w:t>Chemicals, Plastics</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10.00%</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L+775</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6"/>
              </w:rPr>
              <w:t>18,952,500</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18,216,865</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19,236,788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0"/>
              </w:rPr>
              <w:t>and Rubber</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Kadmon Pharmaceuticals, LLC</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10/31/2012</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15.00%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L+1,300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4,931,494</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4,992,740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5,110,409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04/27/2016</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Education</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26,052,632</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25,640,832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25,857,237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Penton Media, Inc.</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08/01/2014</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5.00%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L+400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37,775,294</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33,971,917</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30,503,550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(PIK 1.00%)</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Tranche A</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12/30/2016</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89"/>
              </w:rPr>
              <w:t>Personal, Food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7.50%</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L+600</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1,552,846</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1,533,687</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1,556,728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Miscellaneous Services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Pre-Paid Legal Services, Inc., Tranche B</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12/30/2016</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89"/>
              </w:rPr>
              <w:t>Personal, Food and</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11.00%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35,000,000</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34,118,800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35,350,000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Miscellaneous Services</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w:t>
            </w:r>
            <w:r>
              <w:rPr>
                <w:rFonts w:ascii="Arial" w:cs="Arial" w:eastAsia="Arial" w:hAnsi="Arial"/>
                <w:sz w:val="12"/>
                <w:szCs w:val="12"/>
                <w:color w:val="auto"/>
              </w:rPr>
              <w:t>(9)</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12/16/2012</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1.36%</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133,603</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133,603</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133,603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01/29/2018</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Telecommunications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L+750</w:t>
            </w:r>
            <w:r>
              <w:rPr>
                <w:rFonts w:ascii="Arial" w:cs="Arial" w:eastAsia="Arial" w:hAnsi="Arial"/>
                <w:sz w:val="12"/>
                <w:szCs w:val="12"/>
                <w:color w:val="auto"/>
              </w:rPr>
              <w:t>(8)</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850,000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838,369</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01/29/2018</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Telecommunications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13.50%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L+1,200</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10,625,000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10,338,450</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10,848,126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Worley Claims Services, LLC</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07/06/2017</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7"/>
              </w:rPr>
              <w:t>Insurance</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L+1,100</w:t>
            </w:r>
            <w:r>
              <w:rPr>
                <w:rFonts w:ascii="Arial" w:cs="Arial" w:eastAsia="Arial" w:hAnsi="Arial"/>
                <w:sz w:val="12"/>
                <w:szCs w:val="12"/>
                <w:color w:val="auto"/>
              </w:rPr>
              <w:t>(8)</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14,934,000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14,934,000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14,859,330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Yonkers Racing Corp.</w:t>
            </w:r>
            <w:r>
              <w:rPr>
                <w:rFonts w:ascii="Arial" w:cs="Arial" w:eastAsia="Arial" w:hAnsi="Arial"/>
                <w:sz w:val="12"/>
                <w:szCs w:val="12"/>
                <w:color w:val="auto"/>
              </w:rPr>
              <w:t>(5)</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07/15/2016</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5"/>
              </w:rPr>
              <w:t>Hotels, Motels, Inns</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11.38%</w:t>
            </w:r>
          </w:p>
        </w:tc>
        <w:tc>
          <w:tcPr>
            <w:tcW w:w="1040" w:type="dxa"/>
            <w:vAlign w:val="bottom"/>
            <w:gridSpan w:val="2"/>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4,500,000</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4,401,515</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4,860,000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and Gaming</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277,427,564</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278,960,887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Debt—25.3%</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American Gilsonite Company</w:t>
            </w:r>
            <w:r>
              <w:rPr>
                <w:rFonts w:ascii="Arial" w:cs="Arial" w:eastAsia="Arial" w:hAnsi="Arial"/>
                <w:sz w:val="12"/>
                <w:szCs w:val="12"/>
                <w:color w:val="auto"/>
              </w:rPr>
              <w:t>(5)</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09/01/2017</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6"/>
              </w:rPr>
              <w:t>Diversified Natural</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25,400,000</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25,400,000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26,098,500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Resources, Precious</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Metals and Minerals</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02/07/2015</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Energy/Utilities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6.33%</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13,600,000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13,378,432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12,729,600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02/07/2015</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Energy/Utilities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7.36%</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L+700</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12,000,000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11,866,485</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11,232,000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r>
              <w:rPr>
                <w:rFonts w:ascii="Arial" w:cs="Arial" w:eastAsia="Arial" w:hAnsi="Arial"/>
                <w:sz w:val="12"/>
                <w:szCs w:val="12"/>
                <w:color w:val="auto"/>
              </w:rPr>
              <w:t>(5), (6)</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02/01/2017</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Consumer Products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34,000,000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31,964,822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10,880,000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Eureka Hunter Pipeline, LLC</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08/16/2018</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Energy/Utilities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45,000,000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44,543,688</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Greatwide Logistics Services, L.L.C.</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03/01/2014</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Cargo Transport</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11.00%</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L+700</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3,184,219</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3,184,222</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2,292,640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(PIK 11.00%)</w:t>
            </w: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Paradigm Management Services, LLC</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07/31/2017</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L+1,100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20,512,821</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20,059,979</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20,512,821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12/15/2014</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9.50%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L+650</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2,752,666</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2,752,666</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2,584,753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Questex Media Group LLC, Term Loan B</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12/15/2015</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L+850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2,230,508</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2,230,508</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2,002,996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(PIK 11.50%)</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Realogy Corp.</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10/15/2017</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7"/>
              </w:rPr>
              <w:t>Buildings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13.50%</w:t>
            </w:r>
          </w:p>
        </w:tc>
        <w:tc>
          <w:tcPr>
            <w:tcW w:w="1040" w:type="dxa"/>
            <w:vAlign w:val="bottom"/>
            <w:gridSpan w:val="2"/>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6"/>
              </w:rPr>
              <w:t>10,000,000</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10,000,000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10,062,500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Real Estate</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Current</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Spread</w:t>
            </w: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Par/</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Maturity</w:t>
            </w:r>
          </w:p>
        </w:tc>
        <w:tc>
          <w:tcPr>
            <w:tcW w:w="15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Industry</w:t>
            </w:r>
          </w:p>
        </w:tc>
        <w:tc>
          <w:tcPr>
            <w:tcW w:w="1160" w:type="dxa"/>
            <w:vAlign w:val="bottom"/>
            <w:gridSpan w:val="2"/>
            <w:vMerge w:val="continue"/>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Above</w:t>
            </w:r>
          </w:p>
        </w:tc>
        <w:tc>
          <w:tcPr>
            <w:tcW w:w="1000" w:type="dxa"/>
            <w:vAlign w:val="bottom"/>
            <w:gridSpan w:val="2"/>
            <w:vMerge w:val="continue"/>
          </w:tcPr>
          <w:p>
            <w:pPr>
              <w:spacing w:after="0"/>
              <w:rPr>
                <w:sz w:val="12"/>
                <w:szCs w:val="12"/>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760" w:type="dxa"/>
            <w:vAlign w:val="bottom"/>
            <w:gridSpan w:val="3"/>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Coupon</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87"/>
              </w:rPr>
              <w:t>ROC Finance</w:t>
            </w:r>
          </w:p>
        </w:tc>
        <w:tc>
          <w:tcPr>
            <w:tcW w:w="2980" w:type="dxa"/>
            <w:vAlign w:val="bottom"/>
            <w:tcBorders>
              <w:top w:val="single" w:sz="8" w:color="CCEEFF"/>
            </w:tcBorders>
            <w:shd w:val="clear" w:color="auto" w:fill="CCEEFF"/>
          </w:tcPr>
          <w:p>
            <w:pPr>
              <w:ind w:left="60"/>
              <w:spacing w:after="0" w:line="123" w:lineRule="exact"/>
              <w:rPr>
                <w:sz w:val="20"/>
                <w:szCs w:val="20"/>
                <w:color w:val="auto"/>
              </w:rPr>
            </w:pPr>
            <w:r>
              <w:rPr>
                <w:rFonts w:ascii="Arial" w:cs="Arial" w:eastAsia="Arial" w:hAnsi="Arial"/>
                <w:sz w:val="14"/>
                <w:szCs w:val="14"/>
                <w:color w:val="auto"/>
              </w:rPr>
              <w:t>LLC and ROC Finance 1 Corp.</w:t>
            </w:r>
          </w:p>
        </w:tc>
        <w:tc>
          <w:tcPr>
            <w:tcW w:w="7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6"/>
              </w:rPr>
              <w:t>09/01/2018</w:t>
            </w:r>
          </w:p>
        </w:tc>
        <w:tc>
          <w:tcPr>
            <w:tcW w:w="32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4"/>
              </w:rPr>
              <w:t>Hotels, Motels,</w:t>
            </w:r>
          </w:p>
        </w:tc>
        <w:tc>
          <w:tcPr>
            <w:tcW w:w="1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12.13</w:t>
            </w:r>
          </w:p>
        </w:tc>
        <w:tc>
          <w:tcPr>
            <w:tcW w:w="460" w:type="dxa"/>
            <w:vAlign w:val="bottom"/>
            <w:tcBorders>
              <w:top w:val="single" w:sz="8" w:color="CCEEFF"/>
            </w:tcBorders>
            <w:shd w:val="clear" w:color="auto" w:fill="CCEEFF"/>
          </w:tcPr>
          <w:p>
            <w:pPr>
              <w:jc w:val="right"/>
              <w:ind w:right="268"/>
              <w:spacing w:after="0" w:line="123" w:lineRule="exact"/>
              <w:rPr>
                <w:sz w:val="20"/>
                <w:szCs w:val="20"/>
                <w:color w:val="auto"/>
              </w:rPr>
            </w:pPr>
            <w:r>
              <w:rPr>
                <w:rFonts w:ascii="Arial" w:cs="Arial" w:eastAsia="Arial" w:hAnsi="Arial"/>
                <w:sz w:val="14"/>
                <w:szCs w:val="14"/>
                <w:color w:val="auto"/>
                <w:w w:val="79"/>
              </w:rPr>
              <w:t>%</w:t>
            </w:r>
          </w:p>
        </w:tc>
        <w:tc>
          <w:tcPr>
            <w:tcW w:w="700" w:type="dxa"/>
            <w:vAlign w:val="bottom"/>
            <w:tcBorders>
              <w:top w:val="single" w:sz="8" w:color="auto"/>
            </w:tcBorders>
            <w:shd w:val="clear" w:color="auto" w:fill="CCEEFF"/>
          </w:tcPr>
          <w:p>
            <w:pPr>
              <w:ind w:left="480"/>
              <w:spacing w:after="0" w:line="123"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4"/>
              </w:rPr>
              <w:t>16,000,000</w:t>
            </w:r>
          </w:p>
        </w:tc>
        <w:tc>
          <w:tcPr>
            <w:tcW w:w="3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15,752,822</w:t>
            </w:r>
          </w:p>
        </w:tc>
        <w:tc>
          <w:tcPr>
            <w:tcW w:w="24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18,560,000</w:t>
            </w: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3"/>
              </w:rPr>
              <w:t>Inns and Gaming</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TransFirst Holdings, Inc.</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06/15/2015</w:t>
            </w: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6.22%</w:t>
            </w:r>
          </w:p>
        </w:tc>
        <w:tc>
          <w:tcPr>
            <w:tcW w:w="9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L+600</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7,811,488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7,511,344</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7,411,149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188,644,968</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169,366,959</w:t>
            </w: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Notes—52.4%</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Acentia,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10/02/2017</w:t>
            </w:r>
          </w:p>
        </w:tc>
        <w:tc>
          <w:tcPr>
            <w:tcW w:w="3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13.75%</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4"/>
              </w:rPr>
              <w:t>19,000,000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  18,563,943</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  19,000,000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11/15/2015</w:t>
            </w:r>
          </w:p>
        </w:tc>
        <w:tc>
          <w:tcPr>
            <w:tcW w:w="32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Consumer Products</w:t>
            </w:r>
          </w:p>
        </w:tc>
        <w:tc>
          <w:tcPr>
            <w:tcW w:w="11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11.63%</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35,552,000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34,172,451</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24,175,360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Alegeus Technologies,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02/15/2019</w:t>
            </w:r>
          </w:p>
        </w:tc>
        <w:tc>
          <w:tcPr>
            <w:tcW w:w="3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12.00%</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8,930,000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8,754,461</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8,930,000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Convergint Technologies LLC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03/26/2018</w:t>
            </w:r>
          </w:p>
        </w:tc>
        <w:tc>
          <w:tcPr>
            <w:tcW w:w="320" w:type="dxa"/>
            <w:vAlign w:val="bottom"/>
          </w:tcPr>
          <w:p>
            <w:pPr>
              <w:spacing w:after="0"/>
              <w:rPr>
                <w:sz w:val="11"/>
                <w:szCs w:val="11"/>
                <w:color w:val="auto"/>
              </w:rPr>
            </w:pP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12.00%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23,277,586</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22,812,086</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22,812,034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1.00%)</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Diversitech Corporation</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01/29/2017</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Manufacturing/</w:t>
            </w:r>
          </w:p>
        </w:tc>
        <w:tc>
          <w:tcPr>
            <w:tcW w:w="1160" w:type="dxa"/>
            <w:vAlign w:val="bottom"/>
            <w:gridSpan w:val="2"/>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13.50%</w:t>
            </w:r>
            <w:r>
              <w:rPr>
                <w:rFonts w:ascii="Arial" w:cs="Arial" w:eastAsia="Arial" w:hAnsi="Arial"/>
                <w:sz w:val="12"/>
                <w:szCs w:val="12"/>
                <w:color w:val="auto"/>
              </w:rPr>
              <w:t>(7)</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11,000,000</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10,836,901</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11,275,000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5"/>
              </w:rPr>
              <w:t>Basic Industry</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Escort,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06/01/2016</w:t>
            </w:r>
          </w:p>
        </w:tc>
        <w:tc>
          <w:tcPr>
            <w:tcW w:w="320" w:type="dxa"/>
            <w:vAlign w:val="bottom"/>
          </w:tcPr>
          <w:p>
            <w:pPr>
              <w:spacing w:after="0"/>
              <w:rPr>
                <w:sz w:val="11"/>
                <w:szCs w:val="11"/>
                <w:color w:val="auto"/>
              </w:rPr>
            </w:pP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14.75%</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25,254,035</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24,751,548</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25,254,035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2.75%)</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Galls, LLC; Quartermaster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03/31/2017</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9"/>
              </w:rPr>
              <w:t>Distribution</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13.00%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21,797,263</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21,399,764</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21,906,249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(PIK 2.00%)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JF Acquisition, LLC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06/30/2017</w:t>
            </w:r>
          </w:p>
        </w:tc>
        <w:tc>
          <w:tcPr>
            <w:tcW w:w="320" w:type="dxa"/>
            <w:vAlign w:val="bottom"/>
          </w:tcPr>
          <w:p>
            <w:pPr>
              <w:spacing w:after="0"/>
              <w:rPr>
                <w:sz w:val="11"/>
                <w:szCs w:val="11"/>
                <w:color w:val="auto"/>
              </w:rPr>
            </w:pPr>
          </w:p>
        </w:tc>
        <w:tc>
          <w:tcPr>
            <w:tcW w:w="15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9"/>
              </w:rPr>
              <w:t>Distribution</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14.00%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17,171,374</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16,748,220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17,377,430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2.00%)</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Last Mile Funding Corp.</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06/30/2016</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Cargo Transport</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14.50%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45,597,139</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44,677,474</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45,095,570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(PIK 2.50%)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Learning Care Group (US)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06/30/2016</w:t>
            </w:r>
          </w:p>
        </w:tc>
        <w:tc>
          <w:tcPr>
            <w:tcW w:w="320" w:type="dxa"/>
            <w:vAlign w:val="bottom"/>
          </w:tcPr>
          <w:p>
            <w:pPr>
              <w:spacing w:after="0"/>
              <w:rPr>
                <w:sz w:val="11"/>
                <w:szCs w:val="11"/>
                <w:color w:val="auto"/>
              </w:rPr>
            </w:pPr>
          </w:p>
        </w:tc>
        <w:tc>
          <w:tcPr>
            <w:tcW w:w="15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Education</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15.00%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5,277,718</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4,696,436</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4,815,918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15.00%)</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LTI Flexible Products,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01/19/2019</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Chemical, Plastic and</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12.50%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30,000,000</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30,000,000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30,000,000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1"/>
              </w:rPr>
              <w:t>Rubber</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LTI Flexible Products, Inc.</w:t>
            </w:r>
            <w:r>
              <w:rPr>
                <w:rFonts w:ascii="Arial" w:cs="Arial" w:eastAsia="Arial" w:hAnsi="Arial"/>
                <w:sz w:val="12"/>
                <w:szCs w:val="12"/>
                <w:color w:val="auto"/>
              </w:rPr>
              <w:t>(9)</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01/11/2014</w:t>
            </w:r>
          </w:p>
        </w:tc>
        <w:tc>
          <w:tcPr>
            <w:tcW w:w="320" w:type="dxa"/>
            <w:vAlign w:val="bottom"/>
          </w:tcPr>
          <w:p>
            <w:pPr>
              <w:spacing w:after="0"/>
              <w:rPr>
                <w:sz w:val="11"/>
                <w:szCs w:val="11"/>
                <w:color w:val="auto"/>
              </w:rPr>
            </w:pP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Chemical, Plastic and</w:t>
            </w:r>
          </w:p>
        </w:tc>
        <w:tc>
          <w:tcPr>
            <w:tcW w:w="1160" w:type="dxa"/>
            <w:vAlign w:val="bottom"/>
            <w:gridSpan w:val="2"/>
          </w:tcPr>
          <w:p>
            <w:pPr>
              <w:jc w:val="right"/>
              <w:ind w:right="46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5,000,000</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4,825,000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Rubber</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Mailsouth,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06/15/2017</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4"/>
              </w:rPr>
              <w:t>Printing and Publishing</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14.50%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15,000,000</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14,632,413</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15,210,000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(PIK 2.00%)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PAS Technologies,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05/12/2017</w:t>
            </w:r>
          </w:p>
        </w:tc>
        <w:tc>
          <w:tcPr>
            <w:tcW w:w="320" w:type="dxa"/>
            <w:vAlign w:val="bottom"/>
          </w:tcPr>
          <w:p>
            <w:pPr>
              <w:spacing w:after="0"/>
              <w:rPr>
                <w:sz w:val="11"/>
                <w:szCs w:val="11"/>
                <w:color w:val="auto"/>
              </w:rPr>
            </w:pP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0"/>
              </w:rPr>
              <w:t>Aerospace and Defense</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15.02%</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17,123,218</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16,783,033</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17,123,218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3.02%)</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Prince Mineral Holdings Corp.</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12/03/2016</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Mining, Steel, Iron</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13.50%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26,696,517</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26,263,685</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26,696,517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and Non-Precious</w:t>
            </w:r>
          </w:p>
        </w:tc>
        <w:tc>
          <w:tcPr>
            <w:tcW w:w="116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(PIK 2.00%)</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6"/>
              </w:rPr>
              <w:t>Metals</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Realogy Corp.</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04/15/2018</w:t>
            </w:r>
          </w:p>
        </w:tc>
        <w:tc>
          <w:tcPr>
            <w:tcW w:w="320" w:type="dxa"/>
            <w:vAlign w:val="bottom"/>
          </w:tcPr>
          <w:p>
            <w:pPr>
              <w:spacing w:after="0"/>
              <w:rPr>
                <w:sz w:val="11"/>
                <w:szCs w:val="11"/>
                <w:color w:val="auto"/>
              </w:rPr>
            </w:pPr>
          </w:p>
        </w:tc>
        <w:tc>
          <w:tcPr>
            <w:tcW w:w="15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4"/>
              </w:rPr>
              <w:t>Buildings and Real</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11.00%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10,000,000</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9,247,298</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9,400,000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Estate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12/29/2015</w:t>
            </w:r>
          </w:p>
        </w:tc>
        <w:tc>
          <w:tcPr>
            <w:tcW w:w="3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15.00%</w:t>
            </w:r>
            <w:r>
              <w:rPr>
                <w:rFonts w:ascii="Arial" w:cs="Arial" w:eastAsia="Arial" w:hAnsi="Arial"/>
                <w:sz w:val="12"/>
                <w:szCs w:val="12"/>
                <w:color w:val="auto"/>
              </w:rPr>
              <w:t>(7)</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4"/>
              </w:rPr>
              <w:t>12,020,950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11,708,199</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12,020,950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TrustHouse Services Group,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06/03/2019</w:t>
            </w:r>
          </w:p>
        </w:tc>
        <w:tc>
          <w:tcPr>
            <w:tcW w:w="320" w:type="dxa"/>
            <w:vAlign w:val="bottom"/>
          </w:tcPr>
          <w:p>
            <w:pPr>
              <w:spacing w:after="0"/>
              <w:rPr>
                <w:sz w:val="11"/>
                <w:szCs w:val="11"/>
                <w:color w:val="auto"/>
              </w:rPr>
            </w:pP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Beverage, Food, and</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14.25%</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14,778,578</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14,527,411</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14,778,578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Tobacco</w:t>
            </w: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2.25%)</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TrustHouse Services Group, Inc.</w:t>
            </w:r>
            <w:r>
              <w:rPr>
                <w:rFonts w:ascii="Arial" w:cs="Arial" w:eastAsia="Arial" w:hAnsi="Arial"/>
                <w:sz w:val="12"/>
                <w:szCs w:val="12"/>
                <w:color w:val="auto"/>
              </w:rPr>
              <w:t>(9)</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06/02/2014</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Beverage, Food, and</w:t>
            </w:r>
          </w:p>
        </w:tc>
        <w:tc>
          <w:tcPr>
            <w:tcW w:w="1160" w:type="dxa"/>
            <w:vAlign w:val="bottom"/>
            <w:gridSpan w:val="2"/>
            <w:shd w:val="clear" w:color="auto" w:fill="CCEEFF"/>
          </w:tcPr>
          <w:p>
            <w:pPr>
              <w:jc w:val="right"/>
              <w:ind w:right="46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4,000,000</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3,920,000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9"/>
              </w:rPr>
              <w:t>Tobacco</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Veritext Corp.</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12/31/2015</w:t>
            </w:r>
          </w:p>
        </w:tc>
        <w:tc>
          <w:tcPr>
            <w:tcW w:w="32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13.00%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16,200,000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15,916,579</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16,200,000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355,236,902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351,070,859</w:t>
            </w: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 xml:space="preserve">Preferred Equity/Partnership Interests—1.7% </w:t>
            </w:r>
            <w:r>
              <w:rPr>
                <w:rFonts w:ascii="Arial" w:cs="Arial" w:eastAsia="Arial" w:hAnsi="Arial"/>
                <w:sz w:val="12"/>
                <w:szCs w:val="12"/>
                <w:b w:val="1"/>
                <w:bCs w:val="1"/>
                <w:color w:val="auto"/>
              </w:rPr>
              <w:t>(6)</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AH Holdings, Inc.</w:t>
            </w:r>
          </w:p>
        </w:tc>
        <w:tc>
          <w:tcPr>
            <w:tcW w:w="102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6.00%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211</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500,000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624,081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(American Surgical Holdings, Inc.)</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LLC</w:t>
            </w: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1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7,505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318,896</w:t>
            </w:r>
          </w:p>
        </w:tc>
        <w:tc>
          <w:tcPr>
            <w:tcW w:w="9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Alegeus Technologies Holding Corp., Series A</w:t>
            </w:r>
          </w:p>
        </w:tc>
        <w:tc>
          <w:tcPr>
            <w:tcW w:w="102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shd w:val="clear" w:color="auto" w:fill="CCEEFF"/>
          </w:tcPr>
          <w:p>
            <w:pPr>
              <w:jc w:val="right"/>
              <w:ind w:right="46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949</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949,050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1,031,820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(Alegeus Technologies, LLC)</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CI (IHS) Investment Holdings, LLC (Interactive Health</w:t>
            </w:r>
          </w:p>
        </w:tc>
        <w:tc>
          <w:tcPr>
            <w:tcW w:w="1020" w:type="dxa"/>
            <w:vAlign w:val="bottom"/>
            <w:gridSpan w:val="2"/>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76,357</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765,307</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881,885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Solutions, Inc.)</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r>
              <w:rPr>
                <w:rFonts w:ascii="Arial" w:cs="Arial" w:eastAsia="Arial" w:hAnsi="Arial"/>
                <w:sz w:val="14"/>
                <w:szCs w:val="14"/>
                <w:color w:val="auto"/>
              </w:rPr>
              <w:t xml:space="preserve"> (Interactive Health</w:t>
            </w:r>
          </w:p>
        </w:tc>
        <w:tc>
          <w:tcPr>
            <w:tcW w:w="102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shd w:val="clear" w:color="auto" w:fill="CCEEFF"/>
          </w:tcPr>
          <w:p>
            <w:pPr>
              <w:jc w:val="right"/>
              <w:ind w:right="46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38,179</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382,654</w:t>
            </w:r>
          </w:p>
        </w:tc>
        <w:tc>
          <w:tcPr>
            <w:tcW w:w="98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Solutions, Inc.)</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Convergint Technologies Holdings, LLC</w:t>
            </w: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2,375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2,375,000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 Topco, Inc. (Hanley-Wood, LLC)</w:t>
            </w:r>
          </w:p>
        </w:tc>
        <w:tc>
          <w:tcPr>
            <w:tcW w:w="10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1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3,591</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24,177</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27,916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PAS Tech Holdings, Inc., Series A-1</w:t>
            </w:r>
          </w:p>
        </w:tc>
        <w:tc>
          <w:tcPr>
            <w:tcW w:w="1020" w:type="dxa"/>
            <w:vAlign w:val="bottom"/>
            <w:gridSpan w:val="2"/>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0"/>
              </w:rPr>
              <w:t>Aerospace and Defense</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20,000</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1,980,000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823,710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(PAS Technologies, Inc.)</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TrustHouse Services Holdings, LLC</w:t>
            </w:r>
          </w:p>
        </w:tc>
        <w:tc>
          <w:tcPr>
            <w:tcW w:w="102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Beverage, Food,</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12.00%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1,099</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984,344</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1,111,742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8"/>
              </w:rPr>
              <w:t>and Tobacco</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Basis Point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Current</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Spread</w:t>
            </w: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Maturity</w:t>
            </w: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Industry</w:t>
            </w:r>
          </w:p>
        </w:tc>
        <w:tc>
          <w:tcPr>
            <w:tcW w:w="860" w:type="dxa"/>
            <w:vAlign w:val="bottom"/>
            <w:gridSpan w:val="2"/>
            <w:vMerge w:val="continue"/>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Above</w:t>
            </w: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220" w:type="dxa"/>
            <w:vAlign w:val="bottom"/>
            <w:gridSpan w:val="3"/>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TZ Holdings,</w:t>
            </w:r>
          </w:p>
        </w:tc>
        <w:tc>
          <w:tcPr>
            <w:tcW w:w="3440" w:type="dxa"/>
            <w:vAlign w:val="bottom"/>
            <w:tcBorders>
              <w:top w:val="single" w:sz="8" w:color="CCEEFF"/>
            </w:tcBorders>
            <w:shd w:val="clear" w:color="auto" w:fill="CCEEFF"/>
          </w:tcPr>
          <w:p>
            <w:pPr>
              <w:ind w:left="40"/>
              <w:spacing w:after="0" w:line="115" w:lineRule="exact"/>
              <w:rPr>
                <w:sz w:val="20"/>
                <w:szCs w:val="20"/>
                <w:color w:val="auto"/>
              </w:rPr>
            </w:pPr>
            <w:r>
              <w:rPr>
                <w:rFonts w:ascii="Arial" w:cs="Arial" w:eastAsia="Arial" w:hAnsi="Arial"/>
                <w:sz w:val="13"/>
                <w:szCs w:val="13"/>
                <w:color w:val="auto"/>
              </w:rPr>
              <w:t>L.P., Series A</w:t>
            </w:r>
          </w:p>
        </w:tc>
        <w:tc>
          <w:tcPr>
            <w:tcW w:w="700" w:type="dxa"/>
            <w:vAlign w:val="bottom"/>
            <w:tcBorders>
              <w:top w:val="single" w:sz="8" w:color="auto"/>
            </w:tcBorders>
            <w:shd w:val="clear" w:color="auto" w:fill="CCEEFF"/>
          </w:tcPr>
          <w:p>
            <w:pPr>
              <w:jc w:val="right"/>
              <w:ind w:right="228"/>
              <w:spacing w:after="0" w:line="115"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3"/>
                <w:szCs w:val="13"/>
                <w:color w:val="auto"/>
                <w:w w:val="94"/>
              </w:rPr>
              <w:t>Insurance</w:t>
            </w:r>
          </w:p>
        </w:tc>
        <w:tc>
          <w:tcPr>
            <w:tcW w:w="1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300"/>
              <w:spacing w:after="0" w:line="115"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ind w:left="480"/>
              <w:spacing w:after="0" w:line="115"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686</w:t>
            </w:r>
          </w:p>
        </w:tc>
        <w:tc>
          <w:tcPr>
            <w:tcW w:w="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685,820</w:t>
            </w:r>
          </w:p>
        </w:tc>
        <w:tc>
          <w:tcPr>
            <w:tcW w:w="2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685,820</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(Trizetto Group, Inc.)</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TZ Holdings, L.P., Series B</w:t>
            </w:r>
          </w:p>
        </w:tc>
        <w:tc>
          <w:tcPr>
            <w:tcW w:w="1020" w:type="dxa"/>
            <w:vAlign w:val="bottom"/>
            <w:gridSpan w:val="2"/>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87"/>
              </w:rPr>
              <w:t>Insurance</w:t>
            </w:r>
          </w:p>
        </w:tc>
        <w:tc>
          <w:tcPr>
            <w:tcW w:w="86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6.50%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1,312</w:t>
            </w:r>
          </w:p>
        </w:tc>
        <w:tc>
          <w:tcPr>
            <w:tcW w:w="1160" w:type="dxa"/>
            <w:vAlign w:val="bottom"/>
            <w:gridSpan w:val="3"/>
          </w:tcPr>
          <w:p>
            <w:pPr>
              <w:jc w:val="right"/>
              <w:ind w:right="260"/>
              <w:spacing w:after="0" w:line="130" w:lineRule="exact"/>
              <w:rPr>
                <w:sz w:val="20"/>
                <w:szCs w:val="20"/>
                <w:color w:val="auto"/>
              </w:rPr>
            </w:pPr>
            <w:r>
              <w:rPr>
                <w:rFonts w:ascii="Arial" w:cs="Arial" w:eastAsia="Arial" w:hAnsi="Arial"/>
                <w:sz w:val="14"/>
                <w:szCs w:val="14"/>
                <w:color w:val="auto"/>
              </w:rPr>
              <w:t>1,312,006</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1,666,679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(Trizetto Group, Inc.)</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0"/>
              </w:rPr>
              <w:t>Personal</w:t>
            </w:r>
          </w:p>
        </w:tc>
        <w:tc>
          <w:tcPr>
            <w:tcW w:w="86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6"/>
              </w:rPr>
              <w:t>1,824,167</w:t>
            </w:r>
          </w:p>
        </w:tc>
        <w:tc>
          <w:tcPr>
            <w:tcW w:w="1160" w:type="dxa"/>
            <w:vAlign w:val="bottom"/>
            <w:gridSpan w:val="3"/>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1,824,167</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1,949,629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Verde Parent Holdings, Inc.</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5"/>
              </w:rPr>
              <w:t>Transportation</w:t>
            </w: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12,101,421</w:t>
            </w:r>
          </w:p>
        </w:tc>
        <w:tc>
          <w:tcPr>
            <w:tcW w:w="26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11,178,282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Common Equity/Warrants/Partnership Interests—9.2%</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Acentia, LLC, Class A Units </w:t>
            </w:r>
            <w:r>
              <w:rPr>
                <w:rFonts w:ascii="Arial" w:cs="Arial" w:eastAsia="Arial" w:hAnsi="Arial"/>
                <w:sz w:val="12"/>
                <w:szCs w:val="12"/>
                <w:color w:val="auto"/>
              </w:rPr>
              <w:t>(12)</w:t>
            </w: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Electronics</w:t>
            </w: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1,998</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$ 2,000,000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   1,737,396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AH Holdings, Inc. (Warrants) (American Surgical Holdings, Inc.)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6"/>
              </w:rPr>
              <w:t>03/23/2021</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753</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2,063,780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Alegeus Technologies Holding Corp., Class A</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(Alegeus Technologies,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Financial Services</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950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Autumn Games, LLC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3"/>
              </w:rPr>
              <w:t>Broadcasting and</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Entertainment</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1,333,330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3,000,000</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CI (Galls) Prime Investment Holdings, LLC </w:t>
            </w:r>
            <w:r>
              <w:rPr>
                <w:rFonts w:ascii="Arial" w:cs="Arial" w:eastAsia="Arial" w:hAnsi="Arial"/>
                <w:sz w:val="12"/>
                <w:szCs w:val="12"/>
                <w:color w:val="auto"/>
              </w:rPr>
              <w:t>(11)</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(Galls, LLC; Quartermaster Inc.)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Distribution</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1,505,000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1,505,000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1,680,720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(Interactive Health Solutions, Inc.)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23,416</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234,693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270,457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(Interactive Health Solutions, Inc.)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11,708</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117,346</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(Convergint Technologies) LLC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6"/>
              </w:rPr>
              <w:t>Electronics</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2,375</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Business Services</w:t>
            </w: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5,556</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1,904,033</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6,665,183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Investors, L.P.</w:t>
            </w: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Consumer Products</w:t>
            </w: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30,000</w:t>
            </w:r>
          </w:p>
        </w:tc>
        <w:tc>
          <w:tcPr>
            <w:tcW w:w="11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1,350,000</w:t>
            </w: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HW Topco, Inc.</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(Hanley-Wood,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Other Media</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348,912</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2,443,050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2,642,438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Kadmon Holdings, LLC, Class A</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(Kadmon Pharmaceuticals, LLC)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1,079,920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1,236,832</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12,013,688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Kadmon Holdings, LLC, Class D</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(Kadmon Pharmaceuticals,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1,079,920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1,028,807</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04/27/2020</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Education</w:t>
            </w: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1,267</w:t>
            </w:r>
          </w:p>
        </w:tc>
        <w:tc>
          <w:tcPr>
            <w:tcW w:w="11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779,920</w:t>
            </w: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Magnum Hunter Resources Corporation</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(Eureka Hunter Pipeline,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Oil and Gas</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1,221,932</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3,239,999</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5,425,378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Magnum Hunter Resources Corporation (Warrants)</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(Eureka Hunter Pipeline, LLC)</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6"/>
              </w:rPr>
              <w:t>10/14/2013</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Oil and Gas</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122,193</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105,697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31,778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MidOcean JF Holdings Corp.</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(JF Acquisition,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Distribution</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1,700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1,700,000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1,641,575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PPL Holdings, Inc.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89"/>
              </w:rPr>
              <w:t>Personal, Food and</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(Pre-Paid Legal Services, Inc.)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Miscellaneous Services</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3,000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3,000,000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4,377,360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Paradigm Acquisition Corp.</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(Paradigm Management Services,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20,000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2,000,000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2,124,491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PAS Tech Holdings, Inc.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(PAS Technologies, Inc.)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9"/>
              </w:rPr>
              <w:t>Aerospace and Defense</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20,000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20,000</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QMG HoldCo, LLC, Class A</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(Questex Media Group, Inc.)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Other Media</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4,325</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1,306,166</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1,404,661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QMG HoldCo, LLC, Class B</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(Questex Media Group, Inc.)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6"/>
              </w:rPr>
              <w:t>Other Media</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531</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172,457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SPG Boyd Holdings Corp.</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4"/>
              </w:rPr>
              <w:t>Chemical, Plastic</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(LTI Flexible Products, Inc.)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and Rubber</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300,000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3,000,000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Titan Private Holdings I, LLC – Class A</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(Tekelec Global, Inc.)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Telecommunications</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2,276,847</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2,274,883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6,182,426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12/29/2019</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Business Services</w:t>
            </w: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3,500</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29,400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1,197,412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Transportation 100 Holdco, L.L.C. </w:t>
            </w:r>
            <w:r>
              <w:rPr>
                <w:rFonts w:ascii="Arial" w:cs="Arial" w:eastAsia="Arial" w:hAnsi="Arial"/>
                <w:sz w:val="12"/>
                <w:szCs w:val="12"/>
                <w:color w:val="auto"/>
              </w:rPr>
              <w:t>(13)</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(Greatwide Logistics Services, L.L.C.)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Cargo Transport</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137,923</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2,111,588</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TZ Holdings, L.P.</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(Trizetto Group, Inc.)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87"/>
              </w:rPr>
              <w:t>Insurance</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9,567</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713,718</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Current</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Spread</w:t>
            </w: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Maturity</w:t>
            </w:r>
          </w:p>
        </w:tc>
        <w:tc>
          <w:tcPr>
            <w:tcW w:w="15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Industry</w:t>
            </w:r>
          </w:p>
        </w:tc>
        <w:tc>
          <w:tcPr>
            <w:tcW w:w="1160" w:type="dxa"/>
            <w:vAlign w:val="bottom"/>
            <w:gridSpan w:val="2"/>
            <w:vMerge w:val="continue"/>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Above</w:t>
            </w: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62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Coupon</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9"/>
              </w:rPr>
              <w:t>Verde Parent</w:t>
            </w:r>
          </w:p>
        </w:tc>
        <w:tc>
          <w:tcPr>
            <w:tcW w:w="2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Holdings, Inc.</w:t>
            </w:r>
          </w:p>
        </w:tc>
        <w:tc>
          <w:tcPr>
            <w:tcW w:w="70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Personal Transportation</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48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9,166</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9,167</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 (Veritext Corp.)</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35,526</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4,050,000</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6,941,000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 Partnership Interests</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38,457,098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61,315,758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w w:val="93"/>
              </w:rPr>
              <w:t>Total Investments in Non-Controlled, Non-Affiliated Portfolio Companies</w:t>
            </w: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871,867,953</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871,892,745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Investments in Non-Controlled, Affiliated Portfolio Companies—12.0% </w:t>
            </w:r>
            <w:r>
              <w:rPr>
                <w:rFonts w:ascii="Arial" w:cs="Arial" w:eastAsia="Arial" w:hAnsi="Arial"/>
                <w:sz w:val="12"/>
                <w:szCs w:val="12"/>
                <w:b w:val="1"/>
                <w:bCs w:val="1"/>
                <w:color w:val="auto"/>
              </w:rPr>
              <w:t>(1),(2)</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Second Lien Secured Debt—1.1%</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Performance,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01/16/2015</w:t>
            </w:r>
          </w:p>
        </w:tc>
        <w:tc>
          <w:tcPr>
            <w:tcW w:w="2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3"/>
              </w:rPr>
              <w:t>Leisure, Amusement</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7.25%</w:t>
            </w:r>
          </w:p>
        </w:tc>
        <w:tc>
          <w:tcPr>
            <w:tcW w:w="9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L+625</w:t>
            </w:r>
            <w:r>
              <w:rPr>
                <w:rFonts w:ascii="Arial" w:cs="Arial" w:eastAsia="Arial" w:hAnsi="Arial"/>
                <w:sz w:val="12"/>
                <w:szCs w:val="12"/>
                <w:color w:val="auto"/>
              </w:rPr>
              <w:t>(8)</w:t>
            </w:r>
          </w:p>
        </w:tc>
        <w:tc>
          <w:tcPr>
            <w:tcW w:w="98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8,000,000</w:t>
            </w: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8,000,000</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7,672,000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3"/>
              </w:rPr>
              <w:t>Motion Pictures and</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Entertainment</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Notes—7.1%</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Performance Holdings,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07/16/2015</w:t>
            </w:r>
          </w:p>
        </w:tc>
        <w:tc>
          <w:tcPr>
            <w:tcW w:w="2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3"/>
              </w:rPr>
              <w:t>Leisure, Amusement,</w:t>
            </w:r>
          </w:p>
        </w:tc>
        <w:tc>
          <w:tcPr>
            <w:tcW w:w="11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15.00%</w:t>
            </w:r>
            <w:r>
              <w:rPr>
                <w:rFonts w:ascii="Arial" w:cs="Arial" w:eastAsia="Arial" w:hAnsi="Arial"/>
                <w:sz w:val="12"/>
                <w:szCs w:val="12"/>
                <w:color w:val="auto"/>
              </w:rPr>
              <w:t>(7)</w:t>
            </w:r>
          </w:p>
        </w:tc>
        <w:tc>
          <w:tcPr>
            <w:tcW w:w="98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7,567,234</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7,435,314</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7,453,725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3"/>
              </w:rPr>
              <w:t>Motion Pictures and</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Entertainment</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10/02/2017</w:t>
            </w:r>
          </w:p>
        </w:tc>
        <w:tc>
          <w:tcPr>
            <w:tcW w:w="220" w:type="dxa"/>
            <w:vAlign w:val="bottom"/>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Auto Sector</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4"/>
              </w:rPr>
              <w:t>24,000,000</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23,495,700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24,000,000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Service Champ, Inc. </w:t>
            </w:r>
            <w:r>
              <w:rPr>
                <w:rFonts w:ascii="Arial" w:cs="Arial" w:eastAsia="Arial" w:hAnsi="Arial"/>
                <w:sz w:val="12"/>
                <w:szCs w:val="12"/>
                <w:color w:val="auto"/>
              </w:rPr>
              <w:t>(9)</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10/02/2013</w:t>
            </w: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2"/>
              </w:rPr>
              <w:t>Auto Sector</w:t>
            </w:r>
          </w:p>
        </w:tc>
        <w:tc>
          <w:tcPr>
            <w:tcW w:w="11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4"/>
              </w:rPr>
              <w:t>16,000,000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15,640,000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16,000,000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46,571,014</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47,453,725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Common Equity/Partnership Interest—3.8% </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Environmental Services</w:t>
            </w:r>
          </w:p>
        </w:tc>
        <w:tc>
          <w:tcPr>
            <w:tcW w:w="11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125,106</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10,055,844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18,425,519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NCP-Performance</w:t>
            </w:r>
          </w:p>
        </w:tc>
        <w:tc>
          <w:tcPr>
            <w:tcW w:w="9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9"/>
              </w:rPr>
              <w:t>—</w:t>
            </w:r>
          </w:p>
        </w:tc>
        <w:tc>
          <w:tcPr>
            <w:tcW w:w="154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3"/>
              </w:rPr>
              <w:t>Leisure, Amusement,</w:t>
            </w:r>
          </w:p>
        </w:tc>
        <w:tc>
          <w:tcPr>
            <w:tcW w:w="11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375,000</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3,750,000</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2,902,355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(Performance Holdings, Inc.)</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3"/>
              </w:rPr>
              <w:t>Motion Pictures and</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Entertainment</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tcPr>
          <w:p>
            <w:pPr>
              <w:spacing w:after="0" w:line="130" w:lineRule="exact"/>
              <w:rPr>
                <w:sz w:val="20"/>
                <w:szCs w:val="20"/>
                <w:color w:val="auto"/>
              </w:rPr>
            </w:pPr>
            <w:r>
              <w:rPr>
                <w:rFonts w:ascii="Arial" w:cs="Arial" w:eastAsia="Arial" w:hAnsi="Arial"/>
                <w:sz w:val="14"/>
                <w:szCs w:val="14"/>
                <w:color w:val="auto"/>
              </w:rPr>
              <w:t>New Service Champ Holdings, Inc.</w:t>
            </w:r>
          </w:p>
        </w:tc>
        <w:tc>
          <w:tcPr>
            <w:tcW w:w="920" w:type="dxa"/>
            <w:vAlign w:val="bottom"/>
            <w:gridSpan w:val="2"/>
          </w:tcPr>
          <w:p>
            <w:pPr>
              <w:jc w:val="center"/>
              <w:ind w:right="260"/>
              <w:spacing w:after="0" w:line="130" w:lineRule="exact"/>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2"/>
              </w:rPr>
              <w:t>Auto Sector</w:t>
            </w:r>
          </w:p>
        </w:tc>
        <w:tc>
          <w:tcPr>
            <w:tcW w:w="11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16,800</w:t>
            </w:r>
          </w:p>
        </w:tc>
        <w:tc>
          <w:tcPr>
            <w:tcW w:w="8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4,200,000</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4,501,658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gridSpan w:val="2"/>
          </w:tcPr>
          <w:p>
            <w:pPr>
              <w:ind w:left="140"/>
              <w:spacing w:after="0"/>
              <w:rPr>
                <w:sz w:val="20"/>
                <w:szCs w:val="20"/>
                <w:color w:val="auto"/>
              </w:rPr>
            </w:pPr>
            <w:r>
              <w:rPr>
                <w:rFonts w:ascii="Arial" w:cs="Arial" w:eastAsia="Arial" w:hAnsi="Arial"/>
                <w:sz w:val="14"/>
                <w:szCs w:val="14"/>
                <w:color w:val="auto"/>
              </w:rPr>
              <w:t>(Service Champ, Inc.)</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18,005,844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25,829,532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72,576,858</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80,955,257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 xml:space="preserve">Investments in Controlled, Affiliated Portfolio Companies—5.6% </w:t>
            </w:r>
            <w:r>
              <w:rPr>
                <w:rFonts w:ascii="Arial" w:cs="Arial" w:eastAsia="Arial" w:hAnsi="Arial"/>
                <w:sz w:val="12"/>
                <w:szCs w:val="12"/>
                <w:b w:val="1"/>
                <w:bCs w:val="1"/>
                <w:color w:val="auto"/>
                <w:w w:val="97"/>
              </w:rPr>
              <w:t>(1),(2)</w:t>
            </w: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Debt—1.9%</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06/30/2020</w:t>
            </w: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4"/>
              </w:rPr>
              <w:t>10,800,000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10,800,000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10,800,000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UP Support Services, Inc. </w:t>
            </w:r>
            <w:r>
              <w:rPr>
                <w:rFonts w:ascii="Arial" w:cs="Arial" w:eastAsia="Arial" w:hAnsi="Arial"/>
                <w:sz w:val="12"/>
                <w:szCs w:val="12"/>
                <w:color w:val="auto"/>
              </w:rPr>
              <w:t>(9)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12/31/2015</w:t>
            </w:r>
          </w:p>
        </w:tc>
        <w:tc>
          <w:tcPr>
            <w:tcW w:w="220" w:type="dxa"/>
            <w:vAlign w:val="bottom"/>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743,187</w:t>
            </w:r>
          </w:p>
        </w:tc>
        <w:tc>
          <w:tcPr>
            <w:tcW w:w="8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668,632</w:t>
            </w:r>
          </w:p>
        </w:tc>
        <w:tc>
          <w:tcPr>
            <w:tcW w:w="8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743,187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UP Support Services, Inc. </w:t>
            </w:r>
            <w:r>
              <w:rPr>
                <w:rFonts w:ascii="Arial" w:cs="Arial" w:eastAsia="Arial" w:hAnsi="Arial"/>
                <w:sz w:val="12"/>
                <w:szCs w:val="12"/>
                <w:color w:val="auto"/>
              </w:rPr>
              <w:t>(9)</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12/31/2015</w:t>
            </w: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1,173,479</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1,068,059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1,173,479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12,536,691</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12,716,666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Debt—2.1%</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tcPr>
          <w:p>
            <w:pPr>
              <w:spacing w:after="0" w:line="130" w:lineRule="exact"/>
              <w:rPr>
                <w:sz w:val="20"/>
                <w:szCs w:val="20"/>
                <w:color w:val="auto"/>
              </w:rPr>
            </w:pPr>
            <w:r>
              <w:rPr>
                <w:rFonts w:ascii="Arial" w:cs="Arial" w:eastAsia="Arial" w:hAnsi="Arial"/>
                <w:sz w:val="14"/>
                <w:szCs w:val="14"/>
                <w:color w:val="auto"/>
              </w:rPr>
              <w:t>UP Support Services,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12/31/2015</w:t>
            </w:r>
          </w:p>
        </w:tc>
        <w:tc>
          <w:tcPr>
            <w:tcW w:w="220" w:type="dxa"/>
            <w:vAlign w:val="bottom"/>
          </w:tcPr>
          <w:p>
            <w:pPr>
              <w:spacing w:after="0"/>
              <w:rPr>
                <w:sz w:val="11"/>
                <w:szCs w:val="11"/>
                <w:color w:val="auto"/>
              </w:rPr>
            </w:pPr>
          </w:p>
        </w:tc>
        <w:tc>
          <w:tcPr>
            <w:tcW w:w="154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15.00%</w:t>
            </w:r>
          </w:p>
        </w:tc>
        <w:tc>
          <w:tcPr>
            <w:tcW w:w="98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w w:val="94"/>
              </w:rPr>
              <w:t>14,300,282</w:t>
            </w:r>
          </w:p>
        </w:tc>
        <w:tc>
          <w:tcPr>
            <w:tcW w:w="80" w:type="dxa"/>
            <w:vAlign w:val="bottom"/>
          </w:tcPr>
          <w:p>
            <w:pPr>
              <w:spacing w:after="0"/>
              <w:rPr>
                <w:sz w:val="11"/>
                <w:szCs w:val="11"/>
                <w:color w:val="auto"/>
              </w:rPr>
            </w:pPr>
          </w:p>
        </w:tc>
        <w:tc>
          <w:tcPr>
            <w:tcW w:w="114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11,809,647</w:t>
            </w:r>
          </w:p>
        </w:tc>
        <w:tc>
          <w:tcPr>
            <w:tcW w:w="80" w:type="dxa"/>
            <w:vAlign w:val="bottom"/>
          </w:tcPr>
          <w:p>
            <w:pPr>
              <w:spacing w:after="0"/>
              <w:rPr>
                <w:sz w:val="11"/>
                <w:szCs w:val="11"/>
                <w:color w:val="auto"/>
              </w:rPr>
            </w:pPr>
          </w:p>
        </w:tc>
        <w:tc>
          <w:tcPr>
            <w:tcW w:w="80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14,300,282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(PIK 15.00)%</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06/30/2020</w:t>
            </w:r>
          </w:p>
        </w:tc>
        <w:tc>
          <w:tcPr>
            <w:tcW w:w="220" w:type="dxa"/>
            <w:vAlign w:val="bottom"/>
          </w:tcPr>
          <w:p>
            <w:pPr>
              <w:spacing w:after="0"/>
              <w:rPr>
                <w:sz w:val="13"/>
                <w:szCs w:val="13"/>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2,700,000</w:t>
            </w:r>
          </w:p>
        </w:tc>
        <w:tc>
          <w:tcPr>
            <w:tcW w:w="8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2,700,000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2,158,053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Equity—1.3%</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14.00%</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216,947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Universal Pegasus International Holdings, Inc.</w:t>
            </w:r>
          </w:p>
        </w:tc>
        <w:tc>
          <w:tcPr>
            <w:tcW w:w="9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9"/>
              </w:rPr>
              <w:t>—</w:t>
            </w: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8.00%</w:t>
            </w: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411,988</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35,120,613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8,239,760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37,120,613</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8,456,707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Common Equity—0.0% </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100</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Controlled, Affiliated Portfolio Companies</w:t>
            </w: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64,167,051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37,631,708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Investments—147.9%</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1,008,611,862</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990,479,710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Equivalents—1.1%</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7,559,453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7,559,453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Equivalents—149.0%</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1,016,171,315</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998,039,163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Assets—(49.0%)</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w w:val="91"/>
              </w:rPr>
              <w:t>(328,322,116)</w:t>
            </w:r>
          </w:p>
        </w:tc>
        <w:tc>
          <w:tcPr>
            <w:tcW w:w="0" w:type="dxa"/>
            <w:vAlign w:val="bottom"/>
          </w:tcPr>
          <w:p>
            <w:pPr>
              <w:spacing w:after="0"/>
              <w:rPr>
                <w:sz w:val="1"/>
                <w:szCs w:val="1"/>
                <w:color w:val="auto"/>
              </w:rPr>
            </w:pPr>
          </w:p>
        </w:tc>
      </w:tr>
      <w:tr>
        <w:trPr>
          <w:trHeight w:val="156"/>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Assets—100.0%</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669,717,047</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89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2" w:lineRule="exact"/>
        <w:rPr>
          <w:sz w:val="20"/>
          <w:szCs w:val="20"/>
          <w:color w:val="auto"/>
        </w:rPr>
      </w:pPr>
    </w:p>
    <w:p>
      <w:pPr>
        <w:ind w:left="340" w:hanging="332"/>
        <w:spacing w:after="0" w:line="248" w:lineRule="auto"/>
        <w:tabs>
          <w:tab w:leader="none" w:pos="34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80" w:hanging="332"/>
        <w:spacing w:after="0" w:line="238" w:lineRule="auto"/>
        <w:tabs>
          <w:tab w:leader="none" w:pos="34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hanging="332"/>
        <w:spacing w:after="0" w:line="221"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or “P”, rate.</w:t>
      </w:r>
    </w:p>
    <w:p>
      <w:pPr>
        <w:ind w:left="340" w:right="40" w:hanging="332"/>
        <w:spacing w:after="0" w:line="221"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340" w:hanging="332"/>
        <w:spacing w:after="0" w:line="221"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investments). This security does not have a basis point spread above an index.</w:t>
      </w:r>
    </w:p>
    <w:p>
      <w:pPr>
        <w:ind w:left="340" w:hanging="332"/>
        <w:spacing w:after="0" w:line="221"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340" w:hanging="332"/>
        <w:spacing w:after="0" w:line="221"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ind w:left="340" w:hanging="332"/>
        <w:spacing w:after="0"/>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Investment is held through PNNT Transportation 100 Holdco, LLC, a consolidated subsidiary.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72" w:lineRule="exact"/>
        <w:rPr>
          <w:sz w:val="20"/>
          <w:szCs w:val="20"/>
          <w:color w:val="auto"/>
        </w:rPr>
      </w:pPr>
    </w:p>
    <w:p>
      <w:pPr>
        <w:ind w:right="180" w:firstLine="228"/>
        <w:spacing w:after="0" w:line="272" w:lineRule="auto"/>
        <w:rPr>
          <w:sz w:val="20"/>
          <w:szCs w:val="20"/>
          <w:color w:val="auto"/>
        </w:rPr>
      </w:pPr>
      <w:r>
        <w:rPr>
          <w:rFonts w:ascii="Arial" w:cs="Arial" w:eastAsia="Arial" w:hAnsi="Arial"/>
          <w:sz w:val="17"/>
          <w:szCs w:val="17"/>
          <w:b w:val="1"/>
          <w:bCs w:val="1"/>
          <w:i w:val="1"/>
          <w:iCs w:val="1"/>
          <w:color w:val="auto"/>
        </w:rPr>
        <w:t>Except where the context suggests otherwise, “we,” “our” or “us”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“SBA” refers to the Small Business Administration; “Credit Facility” refers to our multi-currency, senior secured revolving credit facility; “2025 Notes” refers to our 6.25% senior notes due 2025; “BDC” refers to a business development company under the Investment Company Act of 1940, as amended, or the 1940 Act; “Code” refers to the Internal Revenue Code of 1986, as amended; “RIC” refers to a regulated investment company under the Code.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 On April 24, 2007, we closed our initial public offering and our common stock trades on the NASDAQ Global Select Market under the symbol “PNNT.” Our 2025 Notes trade on the NYSE under the symbol “PNTA.”</w:t>
      </w:r>
    </w:p>
    <w:p>
      <w:pPr>
        <w:spacing w:after="0" w:line="173" w:lineRule="exact"/>
        <w:rPr>
          <w:sz w:val="20"/>
          <w:szCs w:val="20"/>
          <w:color w:val="auto"/>
        </w:rPr>
      </w:pPr>
    </w:p>
    <w:p>
      <w:pPr>
        <w:ind w:right="340" w:firstLine="456"/>
        <w:spacing w:after="0" w:line="273" w:lineRule="auto"/>
        <w:rPr>
          <w:sz w:val="20"/>
          <w:szCs w:val="20"/>
          <w:color w:val="auto"/>
        </w:rPr>
      </w:pPr>
      <w:r>
        <w:rPr>
          <w:rFonts w:ascii="Arial" w:cs="Arial" w:eastAsia="Arial" w:hAnsi="Arial"/>
          <w:sz w:val="17"/>
          <w:szCs w:val="17"/>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our controlled affiliate SuttonPark Holdings, Inc. and its subsidiaries, or SPH, under separate administration agreements. See Note 3.</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small business investment companies, or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These Taxable Subsidiaries allow us to hold equity securities of portfolio companies organized as pass-through entities while continuing to satisfy the requirements of a RIC under the Code.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may reclassify certain prior period amounts to conform to the current period presentation. We have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6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200" w:hanging="446"/>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right="640" w:hanging="446"/>
        <w:spacing w:after="0" w:line="264"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management’s preliminary valuations in light of their own independent assessment and also in light of any market quotations obtained from an independent pricing service, broker, dealer or market maker;</w:t>
      </w:r>
    </w:p>
    <w:p>
      <w:pPr>
        <w:spacing w:after="0" w:line="76" w:lineRule="exact"/>
        <w:rPr>
          <w:sz w:val="20"/>
          <w:szCs w:val="20"/>
          <w:color w:val="auto"/>
        </w:rPr>
      </w:pPr>
    </w:p>
    <w:p>
      <w:pPr>
        <w:ind w:left="900" w:right="260" w:hanging="446"/>
        <w:spacing w:after="0" w:line="286" w:lineRule="auto"/>
        <w:tabs>
          <w:tab w:leader="none" w:pos="90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400" w:hanging="446"/>
        <w:spacing w:after="0" w:line="277" w:lineRule="auto"/>
        <w:tabs>
          <w:tab w:leader="none" w:pos="9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78" w:lineRule="exact"/>
        <w:rPr>
          <w:rFonts w:ascii="Arial" w:cs="Arial" w:eastAsia="Arial" w:hAnsi="Arial"/>
          <w:sz w:val="18"/>
          <w:szCs w:val="18"/>
          <w:color w:val="auto"/>
        </w:rPr>
      </w:pPr>
    </w:p>
    <w:p>
      <w:pPr>
        <w:ind w:left="500" w:hanging="264"/>
        <w:spacing w:after="0"/>
        <w:tabs>
          <w:tab w:leader="none" w:pos="500" w:val="left"/>
        </w:tabs>
        <w:numPr>
          <w:ilvl w:val="0"/>
          <w:numId w:val="1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 / Unrealized Gains or Losses</w:t>
      </w:r>
    </w:p>
    <w:p>
      <w:pPr>
        <w:spacing w:after="0" w:line="11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and our Credit Facility during the reporting period, including any reversal of previously recorded unrealized appreciation or depreciation, when gains or losses are realized.</w:t>
      </w:r>
    </w:p>
    <w:p>
      <w:pPr>
        <w:spacing w:after="0" w:line="17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are capitalized and we then accrete or amortize such amounts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6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are paid and, in management’s judgment, are likely to remain current.</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accrued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estimated excise taxes of $(0.1) million, $0.3 million and $0.2 million for the fiscal years ended September 30, 2013, 2012 and 2011, respectively.</w:t>
      </w:r>
    </w:p>
    <w:p>
      <w:pPr>
        <w:spacing w:after="0" w:line="23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2009 remain subject to examination by the Internal Revenue Service and the state department of revenue.</w:t>
      </w:r>
    </w:p>
    <w:p>
      <w:pPr>
        <w:spacing w:after="0" w:line="18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18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Consolidation</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SBIC LP, SBIC GP and our Taxable Subsidiaries in our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 in February 2013.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The base management fee is calculated at an annual rate of 2.00% of our “average adjusted gross assets” (net of U.S. Treasury Bills and/or temporary draws under any credit facility, repurchase agreements or other balance sheet transactions undertaken at the end of a fiscal quarter for purposes of preserving investment flexibility for the next quarter,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2013, 2012 and 2011, the Investment Adviser earned base management fees of $21.3 million, $17.5 million and $14.9 million, respectively, from us.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is compared to the hurdle rate of</w:t>
      </w:r>
    </w:p>
    <w:p>
      <w:pPr>
        <w:spacing w:after="0" w:line="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relevant quarter. For the fiscal years ended September 30, 2013, 2012 and 2011, the Investment Adviser received an incentive fee of $16.8 million, $14.2 million and $13.2 million, respectively, from us.</w:t>
      </w:r>
    </w:p>
    <w:p>
      <w:pPr>
        <w:spacing w:after="0" w:line="193"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2013, 2012 and 2011 the Investment Adviser did not earn an incentive fee on capital gains as calculated under the Investment Management Agreement (as described above).</w:t>
      </w:r>
    </w:p>
    <w:p>
      <w:pPr>
        <w:spacing w:after="0" w:line="17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60" w:right="2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2013, 2012 and 2011, our unrealized and realized capital gains did not exceed our cumulative realized and unrealized losses and resulted in no accrual under GAAP.</w:t>
      </w:r>
    </w:p>
    <w:p>
      <w:pPr>
        <w:spacing w:after="0" w:line="16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our directors who are not interested persons of us, in February 2013.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fiscal years ended September 30, 2013, 2012 and 2011, the Investment Adviser and Administrator, collectively, were reimbursed $2.9 million, $3.6 million and $2.6 million, respectively, from us, including expenses incurred on behalf of the Administrator, for the services described above.</w:t>
      </w:r>
    </w:p>
    <w:p>
      <w:pPr>
        <w:spacing w:after="0" w:line="183"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PennantPark Investment has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fiscal years ended September 30, 2013, 2012 and 2011, PennantPark Investment was reimbursed $0.4 million, $0.7 million and $0.5 million, respectively, for the services described above.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Purchases of long-term investments, including PIK, for the fiscal years ended September 30, 2013, 2012 and 2011 totaled $516.2 million, $337.3 million and $490.6 million, respectively. Sales and repayments of long-term investments for the fiscal years ended September 30, 2013, 2012 and 2011 totaled $437.1 million, $201.7 million and $304.0 million,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29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September 30, 2013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ind w:left="640"/>
              <w:spacing w:after="0"/>
              <w:rPr>
                <w:sz w:val="20"/>
                <w:szCs w:val="20"/>
                <w:color w:val="auto"/>
              </w:rPr>
            </w:pPr>
            <w:r>
              <w:rPr>
                <w:rFonts w:ascii="Arial" w:cs="Arial" w:eastAsia="Arial" w:hAnsi="Arial"/>
                <w:sz w:val="14"/>
                <w:szCs w:val="14"/>
                <w:b w:val="1"/>
                <w:bCs w:val="1"/>
                <w:color w:val="auto"/>
              </w:rPr>
              <w:t>September 30, 2012</w:t>
            </w:r>
          </w:p>
        </w:tc>
        <w:tc>
          <w:tcPr>
            <w:tcW w:w="0" w:type="dxa"/>
            <w:vAlign w:val="bottom"/>
          </w:tcPr>
          <w:p>
            <w:pPr>
              <w:spacing w:after="0"/>
              <w:rPr>
                <w:sz w:val="1"/>
                <w:szCs w:val="1"/>
                <w:color w:val="auto"/>
              </w:rPr>
            </w:pPr>
          </w:p>
        </w:tc>
      </w:tr>
      <w:tr>
        <w:trPr>
          <w:trHeight w:val="142"/>
        </w:trPr>
        <w:tc>
          <w:tcPr>
            <w:tcW w:w="512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3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290,000,430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299,516,291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289,964,255</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291,677,553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346,717,448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357,543,217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208,454,615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191,339,241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311,240,637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302,447,308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404,507,916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400,682,637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Preferred equity and partnership interests</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65,943,244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12,830,669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49,222,034</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19,634,989</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 and partnership interests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77,616,126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105,838,068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56,463,042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87,145,290</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1,091,517,885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1,078,175,553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1,008,611,862</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990,479,710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58,440,829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58,440,829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Total investments, cash and cash equivalents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1,149,958,714</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1,136,616,382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1,016,171,315</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998,039,163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3100" w:type="dxa"/>
            <w:vAlign w:val="bottom"/>
            <w:vMerge w:val="restart"/>
          </w:tcPr>
          <w:p>
            <w:pPr>
              <w:spacing w:after="0"/>
              <w:rPr>
                <w:sz w:val="14"/>
                <w:szCs w:val="14"/>
                <w:color w:val="auto"/>
              </w:rPr>
            </w:pPr>
          </w:p>
        </w:tc>
        <w:tc>
          <w:tcPr>
            <w:tcW w:w="3100" w:type="dxa"/>
            <w:vAlign w:val="bottom"/>
          </w:tcPr>
          <w:p>
            <w:pPr>
              <w:spacing w:after="0"/>
              <w:rPr>
                <w:sz w:val="14"/>
                <w:szCs w:val="14"/>
                <w:color w:val="auto"/>
              </w:rPr>
            </w:pPr>
          </w:p>
        </w:tc>
        <w:tc>
          <w:tcPr>
            <w:tcW w:w="19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tcBorders>
            <w:vMerge w:val="continue"/>
          </w:tcPr>
          <w:p>
            <w:pPr>
              <w:spacing w:after="0"/>
              <w:rPr>
                <w:sz w:val="12"/>
                <w:szCs w:val="12"/>
                <w:color w:val="auto"/>
              </w:rPr>
            </w:pPr>
          </w:p>
        </w:tc>
        <w:tc>
          <w:tcPr>
            <w:tcW w:w="3100" w:type="dxa"/>
            <w:vAlign w:val="bottom"/>
            <w:tcBorders>
              <w:bottom w:val="single" w:sz="8" w:color="CCEEFF"/>
            </w:tcBorders>
            <w:vMerge w:val="continue"/>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w w:val="89"/>
              </w:rPr>
              <w:t>Personal, Food and</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 Services</w:t>
            </w:r>
          </w:p>
        </w:tc>
        <w:tc>
          <w:tcPr>
            <w:tcW w:w="3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Diversified Natural Resources, Precious Metals and Minerals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 Steel, Iron and Non-Precious Metals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3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3100" w:type="dxa"/>
            <w:vAlign w:val="bottom"/>
          </w:tcPr>
          <w:p>
            <w:pPr>
              <w:spacing w:after="0"/>
              <w:rPr>
                <w:sz w:val="18"/>
                <w:szCs w:val="18"/>
                <w:color w:val="auto"/>
              </w:rPr>
            </w:pPr>
          </w:p>
        </w:tc>
        <w:tc>
          <w:tcPr>
            <w:tcW w:w="13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Pictures, Entertainment</w:t>
            </w:r>
          </w:p>
        </w:tc>
        <w:tc>
          <w:tcPr>
            <w:tcW w:w="3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100" w:type="dxa"/>
            <w:vAlign w:val="bottom"/>
          </w:tcPr>
          <w:p>
            <w:pPr>
              <w:spacing w:after="0"/>
              <w:rPr>
                <w:sz w:val="18"/>
                <w:szCs w:val="18"/>
                <w:color w:val="auto"/>
              </w:rPr>
            </w:pPr>
          </w:p>
        </w:tc>
        <w:tc>
          <w:tcPr>
            <w:tcW w:w="13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100" w:type="dxa"/>
            <w:vAlign w:val="bottom"/>
          </w:tcPr>
          <w:p>
            <w:pPr>
              <w:spacing w:after="0"/>
              <w:rPr>
                <w:sz w:val="19"/>
                <w:szCs w:val="19"/>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72"/>
        </w:trPr>
        <w:tc>
          <w:tcPr>
            <w:tcW w:w="1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F-24</w:t>
            </w:r>
          </w:p>
        </w:tc>
        <w:tc>
          <w:tcPr>
            <w:tcW w:w="44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520" w:right="620" w:hanging="1052"/>
        <w:spacing w:after="0" w:line="277" w:lineRule="auto"/>
        <w:tabs>
          <w:tab w:leader="none" w:pos="15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130" w:lineRule="exact"/>
        <w:rPr>
          <w:sz w:val="20"/>
          <w:szCs w:val="20"/>
          <w:color w:val="auto"/>
        </w:rPr>
      </w:pPr>
    </w:p>
    <w:p>
      <w:pPr>
        <w:ind w:left="1520" w:right="440" w:hanging="1052"/>
        <w:spacing w:after="0" w:line="264" w:lineRule="auto"/>
        <w:tabs>
          <w:tab w:leader="none" w:pos="1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1" w:lineRule="exact"/>
        <w:rPr>
          <w:sz w:val="20"/>
          <w:szCs w:val="20"/>
          <w:color w:val="auto"/>
        </w:rPr>
      </w:pPr>
    </w:p>
    <w:p>
      <w:pPr>
        <w:ind w:left="1520" w:right="440" w:hanging="1052"/>
        <w:spacing w:after="0" w:line="277" w:lineRule="auto"/>
        <w:tabs>
          <w:tab w:leader="none" w:pos="15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80"/>
          </w:cols>
          <w:pgMar w:left="240" w:top="460" w:right="2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such companies were rated, we believe that they would typically receive a rating below investment grade (between BB and CCC under the Standard &amp; Poor’s system) from the national rating agencies.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fiscal year ended September 30, 2013, our ability to observe valuation inputs has resulted in a reclassification of an investment from Level 3 to 2 with no other reclassifications of assets between levels. During the fiscal year ended September 30, 2012, our ability to observe valuation inputs resulted in no reclassification of assets between levels.</w:t>
      </w:r>
    </w:p>
    <w:p>
      <w:pPr>
        <w:spacing w:after="0" w:line="17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88"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remainder of our portfolio, including our long-term Credit Facility, classified as Level 3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60" w:right="2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Fair Value at</w:t>
            </w:r>
          </w:p>
        </w:tc>
        <w:tc>
          <w:tcPr>
            <w:tcW w:w="2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2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31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 2013</w:t>
            </w:r>
          </w:p>
        </w:tc>
        <w:tc>
          <w:tcPr>
            <w:tcW w:w="2240" w:type="dxa"/>
            <w:vAlign w:val="bottom"/>
            <w:gridSpan w:val="2"/>
            <w:vMerge w:val="continue"/>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First lien, second lien, subordinated</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debt/corporate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448,842,465</w:t>
            </w: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Broker/Dealer bid quotes</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6"/>
                <w:szCs w:val="16"/>
                <w:color w:val="auto"/>
              </w:rPr>
              <w:t>First lien, second lien, subordinated</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60" w:type="dxa"/>
            <w:vAlign w:val="bottom"/>
            <w:gridSpan w:val="2"/>
          </w:tcPr>
          <w:p>
            <w:pPr>
              <w:ind w:left="160"/>
              <w:spacing w:after="0"/>
              <w:rPr>
                <w:sz w:val="20"/>
                <w:szCs w:val="20"/>
                <w:color w:val="auto"/>
              </w:rPr>
            </w:pPr>
            <w:r>
              <w:rPr>
                <w:rFonts w:ascii="Arial" w:cs="Arial" w:eastAsia="Arial" w:hAnsi="Arial"/>
                <w:sz w:val="16"/>
                <w:szCs w:val="16"/>
                <w:color w:val="auto"/>
              </w:rPr>
              <w:t>debt/corporate notes</w:t>
            </w:r>
          </w:p>
        </w:tc>
        <w:tc>
          <w:tcPr>
            <w:tcW w:w="120" w:type="dxa"/>
            <w:vAlign w:val="bottom"/>
          </w:tcPr>
          <w:p>
            <w:pPr>
              <w:spacing w:after="0"/>
              <w:rPr>
                <w:sz w:val="17"/>
                <w:szCs w:val="17"/>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6"/>
                <w:szCs w:val="16"/>
                <w:color w:val="auto"/>
              </w:rPr>
              <w:t>466,571,947</w:t>
            </w:r>
          </w:p>
        </w:tc>
        <w:tc>
          <w:tcPr>
            <w:tcW w:w="22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9.5% - 21.5% (13.5%)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Preferred and common equity</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110,923,754</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Enterprise Market Value</w:t>
            </w:r>
          </w:p>
        </w:tc>
        <w:tc>
          <w:tcPr>
            <w:tcW w:w="23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8"/>
              </w:rPr>
              <w:t>EBITDA multiple</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6.0 - 15.0 (9.0)</w:t>
            </w:r>
          </w:p>
        </w:tc>
        <w:tc>
          <w:tcPr>
            <w:tcW w:w="0" w:type="dxa"/>
            <w:vAlign w:val="bottom"/>
          </w:tcPr>
          <w:p>
            <w:pPr>
              <w:spacing w:after="0"/>
              <w:rPr>
                <w:sz w:val="1"/>
                <w:szCs w:val="1"/>
                <w:color w:val="auto"/>
              </w:rPr>
            </w:pPr>
          </w:p>
        </w:tc>
      </w:tr>
      <w:tr>
        <w:trPr>
          <w:trHeight w:val="217"/>
        </w:trPr>
        <w:tc>
          <w:tcPr>
            <w:tcW w:w="3180" w:type="dxa"/>
            <w:vAlign w:val="bottom"/>
            <w:gridSpan w:val="3"/>
          </w:tcPr>
          <w:p>
            <w:pPr>
              <w:spacing w:after="0"/>
              <w:rPr>
                <w:sz w:val="20"/>
                <w:szCs w:val="20"/>
                <w:color w:val="auto"/>
              </w:rPr>
            </w:pPr>
            <w:r>
              <w:rPr>
                <w:rFonts w:ascii="Arial" w:cs="Arial" w:eastAsia="Arial" w:hAnsi="Arial"/>
                <w:sz w:val="16"/>
                <w:szCs w:val="16"/>
                <w:color w:val="auto"/>
              </w:rPr>
              <w:t>Total Level 3 investments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1,026,338,166</w:t>
            </w: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117,500,000</w:t>
            </w:r>
          </w:p>
        </w:tc>
        <w:tc>
          <w:tcPr>
            <w:tcW w:w="3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Discount rate</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3.6%</w:t>
            </w:r>
          </w:p>
        </w:tc>
        <w:tc>
          <w:tcPr>
            <w:tcW w:w="0" w:type="dxa"/>
            <w:vAlign w:val="bottom"/>
          </w:tcPr>
          <w:p>
            <w:pPr>
              <w:spacing w:after="0"/>
              <w:rPr>
                <w:sz w:val="1"/>
                <w:szCs w:val="1"/>
                <w:color w:val="auto"/>
              </w:rPr>
            </w:pPr>
          </w:p>
        </w:tc>
      </w:tr>
      <w:tr>
        <w:trPr>
          <w:trHeight w:val="349"/>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24"/>
                <w:szCs w:val="2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Fair Value at</w:t>
            </w:r>
          </w:p>
        </w:tc>
        <w:tc>
          <w:tcPr>
            <w:tcW w:w="2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2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31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 2012</w:t>
            </w:r>
          </w:p>
        </w:tc>
        <w:tc>
          <w:tcPr>
            <w:tcW w:w="2240" w:type="dxa"/>
            <w:vAlign w:val="bottom"/>
            <w:gridSpan w:val="2"/>
            <w:vMerge w:val="continue"/>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First lien, second lien, subordinated</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debt/corporate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258,617,082</w:t>
            </w: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Broker/Dealer bid quotes</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6"/>
                <w:szCs w:val="16"/>
                <w:color w:val="auto"/>
              </w:rPr>
              <w:t>First lien, second lien, subordinated</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60" w:type="dxa"/>
            <w:vAlign w:val="bottom"/>
            <w:gridSpan w:val="2"/>
          </w:tcPr>
          <w:p>
            <w:pPr>
              <w:ind w:left="160"/>
              <w:spacing w:after="0"/>
              <w:rPr>
                <w:sz w:val="20"/>
                <w:szCs w:val="20"/>
                <w:color w:val="auto"/>
              </w:rPr>
            </w:pPr>
            <w:r>
              <w:rPr>
                <w:rFonts w:ascii="Arial" w:cs="Arial" w:eastAsia="Arial" w:hAnsi="Arial"/>
                <w:sz w:val="16"/>
                <w:szCs w:val="16"/>
                <w:color w:val="auto"/>
              </w:rPr>
              <w:t>debt/corporate notes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300"/>
              <w:spacing w:after="0"/>
              <w:rPr>
                <w:sz w:val="20"/>
                <w:szCs w:val="20"/>
                <w:color w:val="auto"/>
              </w:rPr>
            </w:pPr>
            <w:r>
              <w:rPr>
                <w:rFonts w:ascii="Arial" w:cs="Arial" w:eastAsia="Arial" w:hAnsi="Arial"/>
                <w:sz w:val="16"/>
                <w:szCs w:val="16"/>
                <w:color w:val="auto"/>
              </w:rPr>
              <w:t>589,806,989</w:t>
            </w:r>
          </w:p>
        </w:tc>
        <w:tc>
          <w:tcPr>
            <w:tcW w:w="22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8.4% - 19.0% (14.1%)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Preferred and common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101,323,123</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Enterprise Market Value</w:t>
            </w:r>
          </w:p>
        </w:tc>
        <w:tc>
          <w:tcPr>
            <w:tcW w:w="23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8"/>
              </w:rPr>
              <w:t>EBITDA multiple</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4.3x - 15.5x (8.5x)</w:t>
            </w:r>
          </w:p>
        </w:tc>
        <w:tc>
          <w:tcPr>
            <w:tcW w:w="0" w:type="dxa"/>
            <w:vAlign w:val="bottom"/>
          </w:tcPr>
          <w:p>
            <w:pPr>
              <w:spacing w:after="0"/>
              <w:rPr>
                <w:sz w:val="1"/>
                <w:szCs w:val="1"/>
                <w:color w:val="auto"/>
              </w:rPr>
            </w:pPr>
          </w:p>
        </w:tc>
      </w:tr>
      <w:tr>
        <w:trPr>
          <w:trHeight w:val="217"/>
        </w:trPr>
        <w:tc>
          <w:tcPr>
            <w:tcW w:w="3180" w:type="dxa"/>
            <w:vAlign w:val="bottom"/>
            <w:gridSpan w:val="3"/>
          </w:tcPr>
          <w:p>
            <w:pPr>
              <w:spacing w:after="0"/>
              <w:rPr>
                <w:sz w:val="20"/>
                <w:szCs w:val="20"/>
                <w:color w:val="auto"/>
              </w:rPr>
            </w:pPr>
            <w:r>
              <w:rPr>
                <w:rFonts w:ascii="Arial" w:cs="Arial" w:eastAsia="Arial" w:hAnsi="Arial"/>
                <w:sz w:val="16"/>
                <w:szCs w:val="16"/>
                <w:color w:val="auto"/>
              </w:rPr>
              <w:t>Total Level 3 investments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949,747,194</w:t>
            </w: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144,452,500</w:t>
            </w:r>
          </w:p>
        </w:tc>
        <w:tc>
          <w:tcPr>
            <w:tcW w:w="3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Discount rate</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Our cash equivalents, 2025 Notes and investments and our Credit Facility were categorized as follows in the fair value hierarchy for ASC 820 purposes: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gridSpan w:val="7"/>
          </w:tcPr>
          <w:p>
            <w:pPr>
              <w:ind w:left="40"/>
              <w:spacing w:after="0"/>
              <w:rPr>
                <w:sz w:val="20"/>
                <w:szCs w:val="20"/>
                <w:color w:val="auto"/>
              </w:rPr>
            </w:pPr>
            <w:r>
              <w:rPr>
                <w:rFonts w:ascii="Arial" w:cs="Arial" w:eastAsia="Arial" w:hAnsi="Arial"/>
                <w:sz w:val="14"/>
                <w:szCs w:val="14"/>
                <w:b w:val="1"/>
                <w:bCs w:val="1"/>
                <w:color w:val="auto"/>
              </w:rPr>
              <w:t>Fair Value at September 30, 2013</w:t>
            </w: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Loan and</w:t>
            </w: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959,506,815</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$ 44,092,400</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915,414,415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118,668,738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7,539,320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205,667</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110,923,751</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2"/>
              </w:rPr>
              <w:t>1,078,175,553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7,539,320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44,298,067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1,026,338,166</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58,440,829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58,440,829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cash and cash equivalents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2"/>
              </w:rPr>
              <w:t>1,136,616,382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65,980,149</w:t>
            </w:r>
          </w:p>
        </w:tc>
        <w:tc>
          <w:tcPr>
            <w:tcW w:w="18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$ 44,298,067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1,026,338,166</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Long-Term Credit Facility (excluding temporary draw of $28.0 million)</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117,500,000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68,400,000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68,400,000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185,900,000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68,400,000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gridSpan w:val="7"/>
          </w:tcPr>
          <w:p>
            <w:pPr>
              <w:ind w:left="40"/>
              <w:spacing w:after="0"/>
              <w:rPr>
                <w:sz w:val="20"/>
                <w:szCs w:val="20"/>
                <w:color w:val="auto"/>
              </w:rPr>
            </w:pPr>
            <w:r>
              <w:rPr>
                <w:rFonts w:ascii="Arial" w:cs="Arial" w:eastAsia="Arial" w:hAnsi="Arial"/>
                <w:sz w:val="14"/>
                <w:szCs w:val="14"/>
                <w:b w:val="1"/>
                <w:bCs w:val="1"/>
                <w:color w:val="auto"/>
              </w:rPr>
              <w:t>Fair Value at September 30, 2012</w:t>
            </w: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Loan and</w:t>
            </w: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883,699,431</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$ 35,275,360</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848,424,071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106,780,279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5,425,378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31,778</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101,323,123</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990,479,710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5,425,378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35,307,138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949,747,194</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7,559,453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7,559,453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cash and cash equivalents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998,039,163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12,984,831</w:t>
            </w:r>
          </w:p>
        </w:tc>
        <w:tc>
          <w:tcPr>
            <w:tcW w:w="18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$ 35,307,138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949,747,194</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Long-Term Credit Facility (excluding temporary draw of $35.5 million)</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108,952,500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108,952,500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Year Ended September 30, 2013</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jc w:val="right"/>
              <w:ind w:right="468"/>
              <w:spacing w:after="0" w:line="119" w:lineRule="exact"/>
              <w:rPr>
                <w:sz w:val="20"/>
                <w:szCs w:val="20"/>
                <w:color w:val="auto"/>
              </w:rPr>
            </w:pPr>
            <w:r>
              <w:rPr>
                <w:rFonts w:ascii="Arial" w:cs="Arial" w:eastAsia="Arial" w:hAnsi="Arial"/>
                <w:sz w:val="13"/>
                <w:szCs w:val="13"/>
                <w:b w:val="1"/>
                <w:bCs w:val="1"/>
                <w:color w:val="auto"/>
              </w:rPr>
              <w:t>Loan and debt</w:t>
            </w:r>
          </w:p>
        </w:tc>
        <w:tc>
          <w:tcPr>
            <w:tcW w:w="1480" w:type="dxa"/>
            <w:vAlign w:val="bottom"/>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0"/>
                <w:szCs w:val="10"/>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8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w w:val="97"/>
              </w:rPr>
              <w:t>investments</w:t>
            </w: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60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September 30, 2012</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848,424,071</w:t>
            </w:r>
          </w:p>
        </w:tc>
        <w:tc>
          <w:tcPr>
            <w:tcW w:w="4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$ 101,323,123</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949,747,194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Realized gains (losses)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68"/>
              <w:spacing w:after="0"/>
              <w:rPr>
                <w:sz w:val="20"/>
                <w:szCs w:val="20"/>
                <w:color w:val="auto"/>
              </w:rPr>
            </w:pPr>
            <w:r>
              <w:rPr>
                <w:rFonts w:ascii="Arial" w:cs="Arial" w:eastAsia="Arial" w:hAnsi="Arial"/>
                <w:sz w:val="18"/>
                <w:szCs w:val="18"/>
                <w:color w:val="auto"/>
              </w:rPr>
              <w:t>6,721,638</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3,311,652</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10,033,290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appreciation</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35,227,586</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(28,273,765)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Purchases, PIK, net discount accretion and non-cash exchanges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68"/>
              <w:spacing w:after="0"/>
              <w:rPr>
                <w:sz w:val="20"/>
                <w:szCs w:val="20"/>
                <w:color w:val="auto"/>
              </w:rPr>
            </w:pPr>
            <w:r>
              <w:rPr>
                <w:rFonts w:ascii="Arial" w:cs="Arial" w:eastAsia="Arial" w:hAnsi="Arial"/>
                <w:sz w:val="18"/>
                <w:szCs w:val="18"/>
                <w:color w:val="auto"/>
                <w:w w:val="99"/>
              </w:rPr>
              <w:t>512,045,145</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46,647,608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558,692,753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 repayments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94"/>
              </w:rPr>
              <w:t>(474,164,025)</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(12,084,867)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(486,248,892)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Transfers in or out of Level 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08"/>
              <w:spacing w:after="0"/>
              <w:rPr>
                <w:sz w:val="20"/>
                <w:szCs w:val="20"/>
                <w:color w:val="auto"/>
              </w:rPr>
            </w:pPr>
            <w:r>
              <w:rPr>
                <w:rFonts w:ascii="Arial" w:cs="Arial" w:eastAsia="Arial" w:hAnsi="Arial"/>
                <w:sz w:val="18"/>
                <w:szCs w:val="18"/>
                <w:color w:val="auto"/>
              </w:rPr>
              <w:t>(12,840,000)</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(12,840,000)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w w:val="99"/>
              </w:rPr>
              <w:t>915,414,415</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$ 110,923,751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1,026,338,166</w:t>
            </w:r>
          </w:p>
        </w:tc>
        <w:tc>
          <w:tcPr>
            <w:tcW w:w="0" w:type="dxa"/>
            <w:vAlign w:val="bottom"/>
          </w:tcPr>
          <w:p>
            <w:pPr>
              <w:spacing w:after="0"/>
              <w:rPr>
                <w:sz w:val="1"/>
                <w:szCs w:val="1"/>
                <w:color w:val="auto"/>
              </w:rPr>
            </w:pPr>
          </w:p>
        </w:tc>
      </w:tr>
      <w:tr>
        <w:trPr>
          <w:trHeight w:val="209"/>
        </w:trPr>
        <w:tc>
          <w:tcPr>
            <w:tcW w:w="6800" w:type="dxa"/>
            <w:vAlign w:val="bottom"/>
            <w:gridSpan w:val="3"/>
          </w:tcPr>
          <w:p>
            <w:pPr>
              <w:spacing w:after="0"/>
              <w:rPr>
                <w:sz w:val="20"/>
                <w:szCs w:val="20"/>
                <w:color w:val="auto"/>
              </w:rPr>
            </w:pPr>
            <w:r>
              <w:rPr>
                <w:rFonts w:ascii="Arial" w:cs="Arial" w:eastAsia="Arial" w:hAnsi="Arial"/>
                <w:sz w:val="18"/>
                <w:szCs w:val="18"/>
                <w:color w:val="auto"/>
                <w:w w:val="95"/>
              </w:rPr>
              <w:t>Net change in unrealized appreciation (depreciation) for the fiscal year reported within the</w:t>
            </w: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160"/>
              <w:spacing w:after="0"/>
              <w:rPr>
                <w:sz w:val="20"/>
                <w:szCs w:val="20"/>
                <w:color w:val="auto"/>
              </w:rPr>
            </w:pPr>
            <w:r>
              <w:rPr>
                <w:rFonts w:ascii="Arial" w:cs="Arial" w:eastAsia="Arial" w:hAnsi="Arial"/>
                <w:sz w:val="18"/>
                <w:szCs w:val="18"/>
                <w:color w:val="auto"/>
                <w:w w:val="94"/>
              </w:rPr>
              <w:t>net change in unrealized appreciation (depreciation) on investments in our Consolidated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gridSpan w:val="2"/>
          </w:tcPr>
          <w:p>
            <w:pPr>
              <w:ind w:left="160"/>
              <w:spacing w:after="0"/>
              <w:rPr>
                <w:sz w:val="20"/>
                <w:szCs w:val="20"/>
                <w:color w:val="auto"/>
              </w:rPr>
            </w:pPr>
            <w:r>
              <w:rPr>
                <w:rFonts w:ascii="Arial" w:cs="Arial" w:eastAsia="Arial" w:hAnsi="Arial"/>
                <w:sz w:val="18"/>
                <w:szCs w:val="18"/>
                <w:color w:val="auto"/>
                <w:w w:val="94"/>
              </w:rPr>
              <w:t>Statement of Operations attributable to our Level 3 assets still held at the reporting date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68"/>
              <w:spacing w:after="0"/>
              <w:rPr>
                <w:sz w:val="20"/>
                <w:szCs w:val="20"/>
                <w:color w:val="auto"/>
              </w:rPr>
            </w:pPr>
            <w:r>
              <w:rPr>
                <w:rFonts w:ascii="Arial" w:cs="Arial" w:eastAsia="Arial" w:hAnsi="Arial"/>
                <w:sz w:val="18"/>
                <w:szCs w:val="18"/>
                <w:color w:val="auto"/>
              </w:rPr>
              <w:t>33,158,082</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 (30,958,706)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2,199,376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80" w:type="dxa"/>
            <w:vAlign w:val="bottom"/>
          </w:tcPr>
          <w:p>
            <w:pPr>
              <w:ind w:left="4820"/>
              <w:spacing w:after="0"/>
              <w:rPr>
                <w:sz w:val="20"/>
                <w:szCs w:val="20"/>
                <w:color w:val="auto"/>
              </w:rPr>
            </w:pPr>
            <w:r>
              <w:rPr>
                <w:rFonts w:ascii="Arial" w:cs="Arial" w:eastAsia="Arial" w:hAnsi="Arial"/>
                <w:sz w:val="18"/>
                <w:szCs w:val="18"/>
                <w:color w:val="auto"/>
              </w:rPr>
              <w:t>F-28</w:t>
            </w: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 2012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0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Loan and debt</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1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investments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investments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6380" w:type="dxa"/>
            <w:vAlign w:val="bottom"/>
            <w:tcBorders>
              <w:top w:val="single" w:sz="8" w:color="CCEEFF"/>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September 30, 2011</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732,694,451</w:t>
            </w: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52,353,328</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785,047,779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Realized gains (losses)</w:t>
            </w:r>
          </w:p>
        </w:tc>
        <w:tc>
          <w:tcPr>
            <w:tcW w:w="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(1,893,297)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(865,772)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(2,759,069)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Unrealized appreciation</w:t>
            </w:r>
          </w:p>
        </w:tc>
        <w:tc>
          <w:tcPr>
            <w:tcW w:w="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23,034,558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(11,283,219)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Purchases, PIK, net discount accretion and non-cash exchanges</w:t>
            </w: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288,868,017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66,892,499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355,760,516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Sales / repayments</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(194,279,658)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(5,773,713)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(200,053,371)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Transfers in or out of Level 3</w:t>
            </w: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848,424,071</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101,323,123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949,747,194</w:t>
            </w:r>
          </w:p>
        </w:tc>
        <w:tc>
          <w:tcPr>
            <w:tcW w:w="0" w:type="dxa"/>
            <w:vAlign w:val="bottom"/>
          </w:tcPr>
          <w:p>
            <w:pPr>
              <w:spacing w:after="0"/>
              <w:rPr>
                <w:sz w:val="1"/>
                <w:szCs w:val="1"/>
                <w:color w:val="auto"/>
              </w:rPr>
            </w:pPr>
          </w:p>
        </w:tc>
      </w:tr>
      <w:tr>
        <w:trPr>
          <w:trHeight w:val="209"/>
        </w:trPr>
        <w:tc>
          <w:tcPr>
            <w:tcW w:w="7100" w:type="dxa"/>
            <w:vAlign w:val="bottom"/>
            <w:gridSpan w:val="3"/>
          </w:tcPr>
          <w:p>
            <w:pPr>
              <w:spacing w:after="0"/>
              <w:rPr>
                <w:sz w:val="20"/>
                <w:szCs w:val="20"/>
                <w:color w:val="auto"/>
              </w:rPr>
            </w:pPr>
            <w:r>
              <w:rPr>
                <w:rFonts w:ascii="Arial" w:cs="Arial" w:eastAsia="Arial" w:hAnsi="Arial"/>
                <w:sz w:val="18"/>
                <w:szCs w:val="18"/>
                <w:color w:val="auto"/>
                <w:w w:val="99"/>
              </w:rPr>
              <w:t>Net change in unrealized appreciation (depreciation) for the fiscal year reported within the</w:t>
            </w:r>
          </w:p>
        </w:tc>
        <w:tc>
          <w:tcPr>
            <w:tcW w:w="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160"/>
              <w:spacing w:after="0"/>
              <w:rPr>
                <w:sz w:val="20"/>
                <w:szCs w:val="20"/>
                <w:color w:val="auto"/>
              </w:rPr>
            </w:pPr>
            <w:r>
              <w:rPr>
                <w:rFonts w:ascii="Arial" w:cs="Arial" w:eastAsia="Arial" w:hAnsi="Arial"/>
                <w:sz w:val="18"/>
                <w:szCs w:val="18"/>
                <w:color w:val="auto"/>
                <w:w w:val="98"/>
              </w:rPr>
              <w:t>net change in unrealized appreciation (depreciation) on investments in our Consolidated</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gridSpan w:val="2"/>
          </w:tcPr>
          <w:p>
            <w:pPr>
              <w:ind w:left="160"/>
              <w:spacing w:after="0"/>
              <w:rPr>
                <w:sz w:val="20"/>
                <w:szCs w:val="20"/>
                <w:color w:val="auto"/>
              </w:rPr>
            </w:pPr>
            <w:r>
              <w:rPr>
                <w:rFonts w:ascii="Arial" w:cs="Arial" w:eastAsia="Arial" w:hAnsi="Arial"/>
                <w:sz w:val="18"/>
                <w:szCs w:val="18"/>
                <w:color w:val="auto"/>
                <w:w w:val="98"/>
              </w:rPr>
              <w:t>Statement of Operations attributable to our Level 3 assets still held at the reporting date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25,864,375</w:t>
            </w:r>
          </w:p>
        </w:tc>
        <w:tc>
          <w:tcPr>
            <w:tcW w:w="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(9,858,219)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16,006,156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Carrying / Fair Value</w:t>
            </w:r>
          </w:p>
        </w:tc>
        <w:tc>
          <w:tcPr>
            <w:tcW w:w="0" w:type="dxa"/>
            <w:vAlign w:val="bottom"/>
          </w:tcPr>
          <w:p>
            <w:pPr>
              <w:spacing w:after="0"/>
              <w:rPr>
                <w:sz w:val="1"/>
                <w:szCs w:val="1"/>
                <w:color w:val="auto"/>
              </w:rPr>
            </w:pPr>
          </w:p>
        </w:tc>
      </w:tr>
      <w:tr>
        <w:trPr>
          <w:trHeight w:val="119"/>
        </w:trPr>
        <w:tc>
          <w:tcPr>
            <w:tcW w:w="8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Credit Facility</w:t>
            </w:r>
          </w:p>
        </w:tc>
        <w:tc>
          <w:tcPr>
            <w:tcW w:w="160" w:type="dxa"/>
            <w:vAlign w:val="bottom"/>
            <w:tcBorders>
              <w:top w:val="single" w:sz="8" w:color="auto"/>
            </w:tcBorders>
          </w:tcPr>
          <w:p>
            <w:pPr>
              <w:spacing w:after="0"/>
              <w:rPr>
                <w:sz w:val="10"/>
                <w:szCs w:val="10"/>
                <w:color w:val="auto"/>
              </w:rPr>
            </w:pPr>
          </w:p>
        </w:tc>
        <w:tc>
          <w:tcPr>
            <w:tcW w:w="1800" w:type="dxa"/>
            <w:vAlign w:val="bottom"/>
            <w:tcBorders>
              <w:top w:val="single" w:sz="8" w:color="auto"/>
            </w:tcBorders>
            <w:gridSpan w:val="3"/>
          </w:tcPr>
          <w:p>
            <w:pPr>
              <w:jc w:val="right"/>
              <w:ind w:right="1000"/>
              <w:spacing w:after="0" w:line="119" w:lineRule="exact"/>
              <w:rPr>
                <w:sz w:val="20"/>
                <w:szCs w:val="20"/>
                <w:color w:val="auto"/>
              </w:rPr>
            </w:pPr>
            <w:r>
              <w:rPr>
                <w:rFonts w:ascii="Arial" w:cs="Arial" w:eastAsia="Arial" w:hAnsi="Arial"/>
                <w:sz w:val="13"/>
                <w:szCs w:val="13"/>
                <w:b w:val="1"/>
                <w:bCs w:val="1"/>
                <w:color w:val="auto"/>
              </w:rPr>
              <w:t>Year Ended</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140" w:type="dxa"/>
            <w:vAlign w:val="bottom"/>
            <w:gridSpan w:val="2"/>
            <w:vMerge w:val="continue"/>
          </w:tcPr>
          <w:p>
            <w:pPr>
              <w:spacing w:after="0"/>
              <w:rPr>
                <w:sz w:val="14"/>
                <w:szCs w:val="14"/>
                <w:color w:val="auto"/>
              </w:rPr>
            </w:pPr>
          </w:p>
        </w:tc>
        <w:tc>
          <w:tcPr>
            <w:tcW w:w="1960" w:type="dxa"/>
            <w:vAlign w:val="bottom"/>
            <w:gridSpan w:val="4"/>
          </w:tcPr>
          <w:p>
            <w:pPr>
              <w:spacing w:after="0"/>
              <w:rPr>
                <w:sz w:val="20"/>
                <w:szCs w:val="20"/>
                <w:color w:val="auto"/>
              </w:rPr>
            </w:pPr>
            <w:r>
              <w:rPr>
                <w:rFonts w:ascii="Arial" w:cs="Arial" w:eastAsia="Arial" w:hAnsi="Arial"/>
                <w:sz w:val="14"/>
                <w:szCs w:val="14"/>
                <w:b w:val="1"/>
                <w:bCs w:val="1"/>
                <w:color w:val="auto"/>
              </w:rPr>
              <w:t>September 30, 2013</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September 30, 2012</w:t>
            </w:r>
          </w:p>
        </w:tc>
        <w:tc>
          <w:tcPr>
            <w:tcW w:w="0" w:type="dxa"/>
            <w:vAlign w:val="bottom"/>
          </w:tcPr>
          <w:p>
            <w:pPr>
              <w:spacing w:after="0"/>
              <w:rPr>
                <w:sz w:val="1"/>
                <w:szCs w:val="1"/>
                <w:color w:val="auto"/>
              </w:rPr>
            </w:pPr>
          </w:p>
        </w:tc>
      </w:tr>
      <w:tr>
        <w:trPr>
          <w:trHeight w:val="210"/>
        </w:trPr>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w:t>
            </w:r>
          </w:p>
        </w:tc>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(Cost – $109,500,000 and $240,900,000, respectively)</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108,952,500</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238,792,125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Total unrealized depreciation (appreciation) included in earnings</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547,500</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1,560,375</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Borrowings</w:t>
            </w:r>
            <w:r>
              <w:rPr>
                <w:rFonts w:ascii="Arial" w:cs="Arial" w:eastAsia="Arial" w:hAnsi="Arial"/>
                <w:sz w:val="15"/>
                <w:szCs w:val="15"/>
                <w:color w:val="auto"/>
              </w:rPr>
              <w:t>(1)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660,800,000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556,800,000</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Repayments</w:t>
            </w:r>
            <w:r>
              <w:rPr>
                <w:rFonts w:ascii="Arial" w:cs="Arial" w:eastAsia="Arial" w:hAnsi="Arial"/>
                <w:sz w:val="15"/>
                <w:szCs w:val="15"/>
                <w:color w:val="auto"/>
              </w:rPr>
              <w:t>(1)</w:t>
            </w:r>
          </w:p>
        </w:tc>
        <w:tc>
          <w:tcPr>
            <w:tcW w:w="160" w:type="dxa"/>
            <w:vAlign w:val="bottom"/>
          </w:tcPr>
          <w:p>
            <w:pPr>
              <w:spacing w:after="0"/>
              <w:rPr>
                <w:sz w:val="18"/>
                <w:szCs w:val="18"/>
                <w:color w:val="auto"/>
              </w:rPr>
            </w:pPr>
          </w:p>
        </w:tc>
        <w:tc>
          <w:tcPr>
            <w:tcW w:w="1800" w:type="dxa"/>
            <w:vAlign w:val="bottom"/>
            <w:gridSpan w:val="3"/>
          </w:tcPr>
          <w:p>
            <w:pPr>
              <w:jc w:val="right"/>
              <w:ind w:right="700"/>
              <w:spacing w:after="0"/>
              <w:rPr>
                <w:sz w:val="20"/>
                <w:szCs w:val="20"/>
                <w:color w:val="auto"/>
              </w:rPr>
            </w:pPr>
            <w:r>
              <w:rPr>
                <w:rFonts w:ascii="Arial" w:cs="Arial" w:eastAsia="Arial" w:hAnsi="Arial"/>
                <w:sz w:val="18"/>
                <w:szCs w:val="18"/>
                <w:color w:val="auto"/>
                <w:w w:val="96"/>
              </w:rPr>
              <w:t>(652,800,000)</w:t>
            </w: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(688,200,000)</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Transfers in and/or out of Level 3</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140" w:type="dxa"/>
            <w:vAlign w:val="bottom"/>
            <w:gridSpan w:val="2"/>
          </w:tcPr>
          <w:p>
            <w:pPr>
              <w:spacing w:after="0"/>
              <w:rPr>
                <w:sz w:val="20"/>
                <w:szCs w:val="20"/>
                <w:color w:val="auto"/>
              </w:rPr>
            </w:pPr>
            <w:r>
              <w:rPr>
                <w:rFonts w:ascii="Arial" w:cs="Arial" w:eastAsia="Arial" w:hAnsi="Arial"/>
                <w:sz w:val="18"/>
                <w:szCs w:val="18"/>
                <w:color w:val="auto"/>
              </w:rPr>
              <w:t>Ending Balance (Cost – $117,500,000 and $109,500,000, respectively)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117,500,000</w:t>
            </w:r>
          </w:p>
        </w:tc>
        <w:tc>
          <w:tcPr>
            <w:tcW w:w="74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108,952,500</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Temporary draw outstanding, at cost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28,000,000</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140" w:type="dxa"/>
            <w:vAlign w:val="bottom"/>
            <w:gridSpan w:val="2"/>
          </w:tcPr>
          <w:p>
            <w:pPr>
              <w:spacing w:after="0"/>
              <w:rPr>
                <w:sz w:val="20"/>
                <w:szCs w:val="20"/>
                <w:color w:val="auto"/>
              </w:rPr>
            </w:pPr>
            <w:r>
              <w:rPr>
                <w:rFonts w:ascii="Arial" w:cs="Arial" w:eastAsia="Arial" w:hAnsi="Arial"/>
                <w:sz w:val="18"/>
                <w:szCs w:val="18"/>
                <w:color w:val="auto"/>
              </w:rPr>
              <w:t>Ending Balance (Cost – $145,500,000 and 145,000,000, respectively)</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145,500,000</w:t>
            </w:r>
          </w:p>
        </w:tc>
        <w:tc>
          <w:tcPr>
            <w:tcW w:w="740" w:type="dxa"/>
            <w:vAlign w:val="bottom"/>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144,452,500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134"/>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20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$2.8 million, $5.4 million and zero debt issuance costs during the year ended September 30, 2013, 2012 and 2011,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liabilities, including the SBA debentures. For the fiscal years ended September 30, 2013 and 2012, our Credit Facility and 2025 Notes had a net change in unrealized depreciation (appreciation) of $2.3 million and $(1.6) million, respectively. As of September 30, 2013 and 2012, net unrealized depreciation on our Credit Facility and 2025 Notes totaled $2.8 million and $0.5 million, respectively. We use a nationally recognized independent valuation service to fair value our Credit Facility in a manner consistent with the valuation process that the board of directors approves to value investments. Our 2025 Notes trade on the NYSE and we use the closing price on the exchange to determine their fair value.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AND INCOME ACCRUED FROM AFFILIATED COMPANIES</w:t>
      </w:r>
    </w:p>
    <w:p>
      <w:pPr>
        <w:spacing w:after="0" w:line="12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An affiliated company is a company in which we have ownership of 5% or more of its voting securities. A controlled affiliate is a company in which we own 25% or more of its voting securities. Transactions and accrued income related to our investments with both controlled and non-controlled affiliates for the year ended September 30, 2013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3"/>
              </w:rPr>
              <w:t>Purchases of /</w:t>
            </w:r>
          </w:p>
        </w:tc>
        <w:tc>
          <w:tcPr>
            <w:tcW w:w="100" w:type="dxa"/>
            <w:vAlign w:val="bottom"/>
          </w:tcPr>
          <w:p>
            <w:pPr>
              <w:spacing w:after="0"/>
              <w:rPr>
                <w:sz w:val="13"/>
                <w:szCs w:val="13"/>
                <w:color w:val="auto"/>
              </w:rPr>
            </w:pPr>
          </w:p>
        </w:tc>
        <w:tc>
          <w:tcPr>
            <w:tcW w:w="920" w:type="dxa"/>
            <w:vAlign w:val="bottom"/>
            <w:gridSpan w:val="2"/>
          </w:tcPr>
          <w:p>
            <w:pPr>
              <w:jc w:val="center"/>
              <w:ind w:right="239"/>
              <w:spacing w:after="0"/>
              <w:rPr>
                <w:sz w:val="20"/>
                <w:szCs w:val="20"/>
                <w:color w:val="auto"/>
              </w:rPr>
            </w:pPr>
            <w:r>
              <w:rPr>
                <w:rFonts w:ascii="Arial" w:cs="Arial" w:eastAsia="Arial" w:hAnsi="Arial"/>
                <w:sz w:val="13"/>
                <w:szCs w:val="13"/>
                <w:b w:val="1"/>
                <w:bCs w:val="1"/>
                <w:color w:val="auto"/>
                <w:w w:val="88"/>
              </w:rPr>
              <w:t>Sale of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Investment</w:t>
            </w:r>
          </w:p>
        </w:tc>
        <w:tc>
          <w:tcPr>
            <w:tcW w:w="140" w:type="dxa"/>
            <w:vAlign w:val="bottom"/>
          </w:tcPr>
          <w:p>
            <w:pPr>
              <w:spacing w:after="0"/>
              <w:rPr>
                <w:sz w:val="11"/>
                <w:szCs w:val="11"/>
                <w:color w:val="auto"/>
              </w:rPr>
            </w:pPr>
          </w:p>
        </w:tc>
        <w:tc>
          <w:tcPr>
            <w:tcW w:w="1000" w:type="dxa"/>
            <w:vAlign w:val="bottom"/>
          </w:tcPr>
          <w:p>
            <w:pPr>
              <w:jc w:val="right"/>
              <w:ind w:right="149"/>
              <w:spacing w:after="0" w:line="135" w:lineRule="exact"/>
              <w:rPr>
                <w:sz w:val="20"/>
                <w:szCs w:val="20"/>
                <w:color w:val="auto"/>
              </w:rPr>
            </w:pPr>
            <w:r>
              <w:rPr>
                <w:rFonts w:ascii="Arial" w:cs="Arial" w:eastAsia="Arial" w:hAnsi="Arial"/>
                <w:sz w:val="13"/>
                <w:szCs w:val="13"/>
                <w:b w:val="1"/>
                <w:bCs w:val="1"/>
                <w:color w:val="auto"/>
                <w:w w:val="98"/>
              </w:rPr>
              <w:t>Fair Value at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5"/>
              </w:rPr>
              <w:t>Advances to</w:t>
            </w:r>
          </w:p>
        </w:tc>
        <w:tc>
          <w:tcPr>
            <w:tcW w:w="1020" w:type="dxa"/>
            <w:vAlign w:val="bottom"/>
            <w:gridSpan w:val="3"/>
          </w:tcPr>
          <w:p>
            <w:pPr>
              <w:jc w:val="center"/>
              <w:ind w:right="139"/>
              <w:spacing w:after="0" w:line="135" w:lineRule="exact"/>
              <w:rPr>
                <w:sz w:val="20"/>
                <w:szCs w:val="20"/>
                <w:color w:val="auto"/>
              </w:rPr>
            </w:pPr>
            <w:r>
              <w:rPr>
                <w:rFonts w:ascii="Arial" w:cs="Arial" w:eastAsia="Arial" w:hAnsi="Arial"/>
                <w:sz w:val="13"/>
                <w:szCs w:val="13"/>
                <w:b w:val="1"/>
                <w:bCs w:val="1"/>
                <w:color w:val="auto"/>
                <w:w w:val="89"/>
              </w:rPr>
              <w:t>Distributions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7"/>
              </w:rPr>
              <w:t>Income</w:t>
            </w:r>
          </w:p>
        </w:tc>
        <w:tc>
          <w:tcPr>
            <w:tcW w:w="160" w:type="dxa"/>
            <w:vAlign w:val="bottom"/>
          </w:tcPr>
          <w:p>
            <w:pPr>
              <w:spacing w:after="0"/>
              <w:rPr>
                <w:sz w:val="11"/>
                <w:szCs w:val="11"/>
                <w:color w:val="auto"/>
              </w:rPr>
            </w:pPr>
          </w:p>
        </w:tc>
        <w:tc>
          <w:tcPr>
            <w:tcW w:w="130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1020" w:type="dxa"/>
            <w:vAlign w:val="bottom"/>
            <w:gridSpan w:val="3"/>
          </w:tcPr>
          <w:p>
            <w:pPr>
              <w:jc w:val="right"/>
              <w:ind w:right="119"/>
              <w:spacing w:after="0" w:line="135" w:lineRule="exact"/>
              <w:rPr>
                <w:sz w:val="20"/>
                <w:szCs w:val="20"/>
                <w:color w:val="auto"/>
              </w:rPr>
            </w:pPr>
            <w:r>
              <w:rPr>
                <w:rFonts w:ascii="Arial" w:cs="Arial" w:eastAsia="Arial" w:hAnsi="Arial"/>
                <w:sz w:val="13"/>
                <w:szCs w:val="13"/>
                <w:b w:val="1"/>
                <w:bCs w:val="1"/>
                <w:color w:val="auto"/>
                <w:w w:val="92"/>
              </w:rPr>
              <w:t>Capital Gains /</w:t>
            </w:r>
          </w:p>
        </w:tc>
        <w:tc>
          <w:tcPr>
            <w:tcW w:w="0" w:type="dxa"/>
            <w:vAlign w:val="bottom"/>
          </w:tcPr>
          <w:p>
            <w:pPr>
              <w:spacing w:after="0"/>
              <w:rPr>
                <w:sz w:val="1"/>
                <w:szCs w:val="1"/>
                <w:color w:val="auto"/>
              </w:rPr>
            </w:pPr>
          </w:p>
        </w:tc>
      </w:tr>
      <w:tr>
        <w:trPr>
          <w:trHeight w:val="153"/>
        </w:trPr>
        <w:tc>
          <w:tcPr>
            <w:tcW w:w="4200" w:type="dxa"/>
            <w:vAlign w:val="bottom"/>
            <w:gridSpan w:val="2"/>
            <w:vMerge w:val="continue"/>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September 30, 2012</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7"/>
              </w:rPr>
              <w:t>Affiliates</w:t>
            </w:r>
          </w:p>
        </w:tc>
        <w:tc>
          <w:tcPr>
            <w:tcW w:w="1020" w:type="dxa"/>
            <w:vAlign w:val="bottom"/>
            <w:gridSpan w:val="3"/>
          </w:tcPr>
          <w:p>
            <w:pPr>
              <w:jc w:val="center"/>
              <w:ind w:right="159"/>
              <w:spacing w:after="0"/>
              <w:rPr>
                <w:sz w:val="20"/>
                <w:szCs w:val="20"/>
                <w:color w:val="auto"/>
              </w:rPr>
            </w:pPr>
            <w:r>
              <w:rPr>
                <w:rFonts w:ascii="Arial" w:cs="Arial" w:eastAsia="Arial" w:hAnsi="Arial"/>
                <w:sz w:val="13"/>
                <w:szCs w:val="13"/>
                <w:b w:val="1"/>
                <w:bCs w:val="1"/>
                <w:color w:val="auto"/>
                <w:w w:val="89"/>
              </w:rPr>
              <w:t>from Affiliates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4"/>
              </w:rPr>
              <w:t>Accrued</w:t>
            </w:r>
          </w:p>
        </w:tc>
        <w:tc>
          <w:tcPr>
            <w:tcW w:w="14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5"/>
              </w:rPr>
              <w:t>September 30, 2013</w:t>
            </w:r>
          </w:p>
        </w:tc>
        <w:tc>
          <w:tcPr>
            <w:tcW w:w="160" w:type="dxa"/>
            <w:vAlign w:val="bottom"/>
          </w:tcPr>
          <w:p>
            <w:pPr>
              <w:spacing w:after="0"/>
              <w:rPr>
                <w:sz w:val="13"/>
                <w:szCs w:val="13"/>
                <w:color w:val="auto"/>
              </w:rPr>
            </w:pPr>
          </w:p>
        </w:tc>
        <w:tc>
          <w:tcPr>
            <w:tcW w:w="860" w:type="dxa"/>
            <w:vAlign w:val="bottom"/>
            <w:gridSpan w:val="2"/>
          </w:tcPr>
          <w:p>
            <w:pPr>
              <w:jc w:val="right"/>
              <w:ind w:right="319"/>
              <w:spacing w:after="0"/>
              <w:rPr>
                <w:sz w:val="20"/>
                <w:szCs w:val="20"/>
                <w:color w:val="auto"/>
              </w:rPr>
            </w:pPr>
            <w:r>
              <w:rPr>
                <w:rFonts w:ascii="Arial" w:cs="Arial" w:eastAsia="Arial" w:hAnsi="Arial"/>
                <w:sz w:val="13"/>
                <w:szCs w:val="13"/>
                <w:b w:val="1"/>
                <w:bCs w:val="1"/>
                <w:color w:val="auto"/>
                <w:w w:val="89"/>
              </w:rPr>
              <w:t>(Losses)</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Controlled Affiliates</w:t>
            </w:r>
          </w:p>
        </w:tc>
        <w:tc>
          <w:tcPr>
            <w:tcW w:w="140" w:type="dxa"/>
            <w:vAlign w:val="bottom"/>
            <w:shd w:val="clear" w:color="auto" w:fill="CCEEFF"/>
          </w:tcPr>
          <w:p>
            <w:pPr>
              <w:spacing w:after="0"/>
              <w:rPr>
                <w:sz w:val="11"/>
                <w:szCs w:val="11"/>
                <w:color w:val="auto"/>
              </w:rPr>
            </w:pPr>
          </w:p>
        </w:tc>
        <w:tc>
          <w:tcPr>
            <w:tcW w:w="100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13,175,000</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5,500,000</w:t>
            </w:r>
          </w:p>
        </w:tc>
        <w:tc>
          <w:tcPr>
            <w:tcW w:w="3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(7,500,000)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1,798,319</w:t>
            </w:r>
          </w:p>
        </w:tc>
        <w:tc>
          <w:tcPr>
            <w:tcW w:w="160" w:type="dxa"/>
            <w:vAlign w:val="bottom"/>
          </w:tcPr>
          <w:p>
            <w:pPr>
              <w:jc w:val="right"/>
              <w:ind w:right="11"/>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13,500,000</w:t>
            </w:r>
          </w:p>
        </w:tc>
        <w:tc>
          <w:tcPr>
            <w:tcW w:w="300" w:type="dxa"/>
            <w:vAlign w:val="bottom"/>
          </w:tcPr>
          <w:p>
            <w:pPr>
              <w:spacing w:after="0"/>
              <w:rPr>
                <w:sz w:val="12"/>
                <w:szCs w:val="12"/>
                <w:color w:val="auto"/>
              </w:rPr>
            </w:pPr>
          </w:p>
        </w:tc>
        <w:tc>
          <w:tcPr>
            <w:tcW w:w="160" w:type="dxa"/>
            <w:vAlign w:val="bottom"/>
          </w:tcPr>
          <w:p>
            <w:pPr>
              <w:jc w:val="right"/>
              <w:ind w:right="45"/>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Universal Pegasus International, LLC</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24,456,708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1,341,667</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(2,041,667)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3,008,010</w:t>
            </w:r>
          </w:p>
        </w:tc>
        <w:tc>
          <w:tcPr>
            <w:tcW w:w="1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19,468,711</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Non-Controlled Affiliates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 Buy Holdings, Inc.**</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10,880,000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956,224</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1,412,589</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17,805,936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(1,350,000)</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18,425,519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1,835,978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21,265,345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17,946,928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77,584</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1,694,296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(1,999,960)</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Performance Holdings, Inc.</w:t>
            </w: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18,028,080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w w:val="95"/>
              </w:rPr>
              <w:t>(15,851,005)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1,408,352</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2,500,165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107,804</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Service Champ, Inc.</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44,501,658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3,910,000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(1,478,400)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3,540,001</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33,470,058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Controlled and Non-Controlled Affiliates</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147,413,893</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16,543,869</w:t>
            </w: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(26,871,072</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11,244,855</w:t>
            </w: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109,704,511</w:t>
            </w:r>
          </w:p>
        </w:tc>
        <w:tc>
          <w:tcPr>
            <w:tcW w:w="3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(3,242,156</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right="6160" w:firstLine="8"/>
        <w:spacing w:after="0" w:line="291" w:lineRule="auto"/>
        <w:tabs>
          <w:tab w:leader="none" w:pos="338" w:val="left"/>
        </w:tabs>
        <w:numPr>
          <w:ilvl w:val="0"/>
          <w:numId w:val="135"/>
        </w:numPr>
        <w:rPr>
          <w:rFonts w:ascii="Arial" w:cs="Arial" w:eastAsia="Arial" w:hAnsi="Arial"/>
          <w:sz w:val="13"/>
          <w:szCs w:val="13"/>
          <w:color w:val="auto"/>
        </w:rPr>
      </w:pPr>
      <w:r>
        <w:rPr>
          <w:rFonts w:ascii="Arial" w:cs="Arial" w:eastAsia="Arial" w:hAnsi="Arial"/>
          <w:sz w:val="13"/>
          <w:szCs w:val="13"/>
          <w:color w:val="auto"/>
        </w:rPr>
        <w:t>Became a non-controlled affiliate during the three months ended March 31, 2013. ** Became a non-controlled affiliate during the three months ended December 31, 2012.</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426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7"/>
              </w:rPr>
              <w:t>Years ended September 30,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Borders>
              <w:bottom w:val="single" w:sz="8" w:color="auto"/>
            </w:tcBorders>
            <w:gridSpan w:val="2"/>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w w:val="98"/>
              </w:rPr>
              <w:t>Numerator for net increase in net assets resulting from operations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91,777,652</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86"/>
              </w:rPr>
              <w:t>63,353,100</w:t>
            </w: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10,263,474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Denominator for basic/diluted and weighted average shares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66,380,829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52,969,278*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42,196,076</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Basic/diluted net increase in net assets per share resulting from</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35"/>
        </w:trPr>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spacing w:after="0"/>
              <w:rPr>
                <w:sz w:val="11"/>
                <w:szCs w:val="11"/>
                <w:color w:val="auto"/>
              </w:rPr>
            </w:pPr>
          </w:p>
        </w:tc>
        <w:tc>
          <w:tcPr>
            <w:tcW w:w="496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900" w:type="dxa"/>
            <w:vAlign w:val="bottom"/>
            <w:gridSpan w:val="4"/>
          </w:tcPr>
          <w:p>
            <w:pPr>
              <w:ind w:left="120"/>
              <w:spacing w:after="0"/>
              <w:rPr>
                <w:sz w:val="20"/>
                <w:szCs w:val="20"/>
                <w:color w:val="auto"/>
              </w:rPr>
            </w:pPr>
            <w:r>
              <w:rPr>
                <w:rFonts w:ascii="Arial" w:cs="Arial" w:eastAsia="Arial" w:hAnsi="Arial"/>
                <w:sz w:val="14"/>
                <w:szCs w:val="14"/>
                <w:color w:val="auto"/>
              </w:rPr>
              <w:t>The denominator for diluted weighted average shares was 52,975,015 shares.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ind w:left="3680"/>
              <w:spacing w:after="0"/>
              <w:rPr>
                <w:sz w:val="20"/>
                <w:szCs w:val="20"/>
                <w:color w:val="auto"/>
              </w:rPr>
            </w:pPr>
            <w:r>
              <w:rPr>
                <w:rFonts w:ascii="Arial" w:cs="Arial" w:eastAsia="Arial" w:hAnsi="Arial"/>
                <w:sz w:val="18"/>
                <w:szCs w:val="18"/>
                <w:color w:val="auto"/>
              </w:rPr>
              <w:t>F-30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Dividends from net investment income and net realized capital gains are determined in accordance with U.S. federal tax regulations, which may differ materially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The following differences were reclassified for tax purposes for the years ended September 30, 2013, 2012 and 2011:</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paid-in capital</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903,627</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276,902</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$(228,824)</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Increase (Decrease) in accumulated net realized loss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(824,021)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2,176,918</w:t>
            </w:r>
          </w:p>
        </w:tc>
        <w:tc>
          <w:tcPr>
            <w:tcW w:w="68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undistributed net investment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(79,606)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(2,453,820)</w:t>
            </w: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$ 228,824</w:t>
            </w:r>
          </w:p>
        </w:tc>
      </w:tr>
    </w:tbl>
    <w:p>
      <w:pPr>
        <w:spacing w:after="0" w:line="202"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As of September 30, 2013 and 2012, the cost of investments for federal income tax purposes was $1,089.8 million and $1,006.8 million, respectively, resulting in a gross unrealized appreciation of $76.8 million and $59.9 million, respectively, and gross unrealized depreciation of $88.4 million and $76.3 million,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8"/>
              </w:rPr>
              <w:t>Years Ended September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460" w:type="dxa"/>
            <w:vAlign w:val="bottom"/>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2"/>
                <w:szCs w:val="12"/>
                <w:color w:val="auto"/>
              </w:rPr>
            </w:pPr>
          </w:p>
        </w:tc>
        <w:tc>
          <w:tcPr>
            <w:tcW w:w="98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8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$ 91,777,652</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$ 63,353,100</w:t>
            </w:r>
          </w:p>
        </w:tc>
        <w:tc>
          <w:tcPr>
            <w:tcW w:w="6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$ 10,263,474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realized (gain) loss on investments not taxable</w:t>
            </w:r>
          </w:p>
        </w:tc>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(17,687,211)</w:t>
            </w:r>
          </w:p>
        </w:tc>
        <w:tc>
          <w:tcPr>
            <w:tcW w:w="2140" w:type="dxa"/>
            <w:vAlign w:val="bottom"/>
            <w:gridSpan w:val="3"/>
          </w:tcPr>
          <w:p>
            <w:pPr>
              <w:jc w:val="right"/>
              <w:ind w:right="680"/>
              <w:spacing w:after="0"/>
              <w:rPr>
                <w:sz w:val="20"/>
                <w:szCs w:val="20"/>
                <w:color w:val="auto"/>
              </w:rPr>
            </w:pPr>
            <w:r>
              <w:rPr>
                <w:rFonts w:ascii="Arial" w:cs="Arial" w:eastAsia="Arial" w:hAnsi="Arial"/>
                <w:sz w:val="18"/>
                <w:szCs w:val="18"/>
                <w:color w:val="auto"/>
              </w:rPr>
              <w:t>12,798,035</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(16,259,622)</w:t>
            </w: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Net unrealized (appreciation) depreciation on investments,</w:t>
            </w:r>
          </w:p>
        </w:tc>
        <w:tc>
          <w:tcPr>
            <w:tcW w:w="8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 Facility and 2025 Notes</w:t>
            </w:r>
          </w:p>
        </w:tc>
        <w:tc>
          <w:tcPr>
            <w:tcW w:w="1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(7,092,320)</w:t>
            </w:r>
          </w:p>
        </w:tc>
        <w:tc>
          <w:tcPr>
            <w:tcW w:w="2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(19,081,794)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58,641,223</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temporary book-to-tax differences</w:t>
            </w:r>
          </w:p>
        </w:tc>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(3,035,861)</w:t>
            </w:r>
          </w:p>
        </w:tc>
        <w:tc>
          <w:tcPr>
            <w:tcW w:w="2140" w:type="dxa"/>
            <w:vAlign w:val="bottom"/>
            <w:gridSpan w:val="3"/>
          </w:tcPr>
          <w:p>
            <w:pPr>
              <w:jc w:val="right"/>
              <w:ind w:right="680"/>
              <w:spacing w:after="0"/>
              <w:rPr>
                <w:sz w:val="20"/>
                <w:szCs w:val="20"/>
                <w:color w:val="auto"/>
              </w:rPr>
            </w:pPr>
            <w:r>
              <w:rPr>
                <w:rFonts w:ascii="Arial" w:cs="Arial" w:eastAsia="Arial" w:hAnsi="Arial"/>
                <w:sz w:val="18"/>
                <w:szCs w:val="18"/>
                <w:color w:val="auto"/>
              </w:rPr>
              <w:t>2,444,817</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(3,178,194)</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2,715,980</w:t>
            </w:r>
          </w:p>
        </w:tc>
        <w:tc>
          <w:tcPr>
            <w:tcW w:w="18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307,990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228,824</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Taxable income before deductions for distributions</w:t>
            </w:r>
          </w:p>
        </w:tc>
        <w:tc>
          <w:tcPr>
            <w:tcW w:w="8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$ 66,678,240</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$ 59,822,148</w:t>
            </w:r>
          </w:p>
        </w:tc>
        <w:tc>
          <w:tcPr>
            <w:tcW w:w="6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$ 49,695,705</w:t>
            </w:r>
          </w:p>
        </w:tc>
        <w:tc>
          <w:tcPr>
            <w:tcW w:w="100" w:type="dxa"/>
            <w:vAlign w:val="bottom"/>
          </w:tcPr>
          <w:p>
            <w:pPr>
              <w:spacing w:after="0"/>
              <w:rPr>
                <w:sz w:val="19"/>
                <w:szCs w:val="19"/>
                <w:color w:val="auto"/>
              </w:rPr>
            </w:pPr>
          </w:p>
        </w:tc>
      </w:tr>
      <w:tr>
        <w:trPr>
          <w:trHeight w:val="372"/>
        </w:trPr>
        <w:tc>
          <w:tcPr>
            <w:tcW w:w="4420" w:type="dxa"/>
            <w:vAlign w:val="bottom"/>
          </w:tcPr>
          <w:p>
            <w:pPr>
              <w:spacing w:after="0"/>
              <w:rPr>
                <w:sz w:val="24"/>
                <w:szCs w:val="24"/>
                <w:color w:val="auto"/>
              </w:rPr>
            </w:pPr>
          </w:p>
        </w:tc>
        <w:tc>
          <w:tcPr>
            <w:tcW w:w="1940" w:type="dxa"/>
            <w:vAlign w:val="bottom"/>
            <w:gridSpan w:val="3"/>
          </w:tcPr>
          <w:p>
            <w:pPr>
              <w:jc w:val="right"/>
              <w:ind w:right="1400"/>
              <w:spacing w:after="0"/>
              <w:rPr>
                <w:sz w:val="20"/>
                <w:szCs w:val="20"/>
                <w:color w:val="auto"/>
              </w:rPr>
            </w:pPr>
            <w:r>
              <w:rPr>
                <w:rFonts w:ascii="Arial" w:cs="Arial" w:eastAsia="Arial" w:hAnsi="Arial"/>
                <w:sz w:val="18"/>
                <w:szCs w:val="18"/>
                <w:color w:val="auto"/>
              </w:rPr>
              <w:t>F-31</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surplus on tax basis and reconciliation to accumulated deficit on a book basis are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As of September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98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340" w:type="dxa"/>
            <w:vAlign w:val="bottom"/>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2"/>
                <w:szCs w:val="12"/>
                <w:color w:val="auto"/>
              </w:rPr>
            </w:pPr>
          </w:p>
        </w:tc>
        <w:tc>
          <w:tcPr>
            <w:tcW w:w="98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Undistributed ordinary income – tax basis</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$ 15,325,379</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$ 18,634,553</w:t>
            </w:r>
          </w:p>
        </w:tc>
        <w:tc>
          <w:tcPr>
            <w:tcW w:w="6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$ 17,639,482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Undistributed long-term net capital gains</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undistributed taxable income</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15,325,379</w:t>
            </w:r>
          </w:p>
        </w:tc>
        <w:tc>
          <w:tcPr>
            <w:tcW w:w="20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18,634,553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17,639,482</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Capital loss carry forwards</w:t>
            </w:r>
            <w:r>
              <w:rPr>
                <w:rFonts w:ascii="Arial" w:cs="Arial" w:eastAsia="Arial" w:hAnsi="Arial"/>
                <w:sz w:val="15"/>
                <w:szCs w:val="15"/>
                <w:color w:val="auto"/>
              </w:rPr>
              <w:t>(1) (2)</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(39,216,288)</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(56,786,282)</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(47,030,821)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 and other temporary differences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(26,021,069)</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(21,086,425)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(12,477,778)</w:t>
            </w:r>
          </w:p>
        </w:tc>
      </w:tr>
      <w:tr>
        <w:trPr>
          <w:trHeight w:val="202"/>
        </w:trPr>
        <w:tc>
          <w:tcPr>
            <w:tcW w:w="5200" w:type="dxa"/>
            <w:vAlign w:val="bottom"/>
          </w:tcPr>
          <w:p>
            <w:pPr>
              <w:spacing w:after="0" w:line="201" w:lineRule="exact"/>
              <w:rPr>
                <w:sz w:val="20"/>
                <w:szCs w:val="20"/>
                <w:color w:val="auto"/>
              </w:rPr>
            </w:pPr>
            <w:r>
              <w:rPr>
                <w:rFonts w:ascii="Arial" w:cs="Arial" w:eastAsia="Arial" w:hAnsi="Arial"/>
                <w:sz w:val="18"/>
                <w:szCs w:val="18"/>
                <w:color w:val="auto"/>
              </w:rPr>
              <w:t>Net unrealized appreciation (depreciation) of investments,</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Credit Facility and 2025 Notes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(8,727,689)</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(15,815,138)</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(36,122,397)</w:t>
            </w:r>
          </w:p>
        </w:tc>
      </w:tr>
      <w:tr>
        <w:trPr>
          <w:trHeight w:val="27"/>
        </w:trPr>
        <w:tc>
          <w:tcPr>
            <w:tcW w:w="5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deficit – book basis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(58,639,667)</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(75,053,292)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(77,991,514)</w:t>
            </w:r>
          </w:p>
        </w:tc>
      </w:tr>
      <w:tr>
        <w:trPr>
          <w:trHeight w:val="20"/>
        </w:trPr>
        <w:tc>
          <w:tcPr>
            <w:tcW w:w="5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As of September 30, 2013, the capital loss carry forward of $39.2 million expires, if not utilized against future capital gains, as follows: $39.2 million in 2018.</w:t>
      </w:r>
    </w:p>
    <w:p>
      <w:pPr>
        <w:ind w:left="340" w:right="220" w:hanging="332"/>
        <w:spacing w:after="0" w:line="237" w:lineRule="auto"/>
        <w:tabs>
          <w:tab w:leader="none" w:pos="3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Under the recently enacted Regulated Investment Company Modernization Act of 2010, capital losses incurred by us after September 30, 2011 will not be subject to expiration. In addition, those losses must be utilized prior to the losses incurred in pre-enactment taxable years.</w:t>
      </w:r>
    </w:p>
    <w:p>
      <w:pPr>
        <w:spacing w:after="0" w:line="188"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tax characteristics of dividends declared during the fiscal years ended September 30, 2013, 2012 and 2011 were solely from ordinary income and totaled $74.4 million, or $1.12 per share, $60.1 million, or $1.13 per share and $46.3 million, or $1.10 per share,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2013 and 2012, cash and cash equivalents consisted of $58.4 million and $7.6 million, respectively.</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59" w:right="27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the financial highlights for the years ended September 30: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year</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10.22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10.13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10.69</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11.85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adoption of fair value option</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56"/>
        </w:trPr>
        <w:tc>
          <w:tcPr>
            <w:tcW w:w="6120" w:type="dxa"/>
            <w:vAlign w:val="bottom"/>
            <w:gridSpan w:val="2"/>
          </w:tcPr>
          <w:p>
            <w:pPr>
              <w:spacing w:after="0" w:line="155" w:lineRule="exact"/>
              <w:rPr>
                <w:sz w:val="20"/>
                <w:szCs w:val="20"/>
                <w:color w:val="auto"/>
              </w:rPr>
            </w:pPr>
            <w:r>
              <w:rPr>
                <w:rFonts w:ascii="Arial" w:cs="Arial" w:eastAsia="Arial" w:hAnsi="Arial"/>
                <w:sz w:val="14"/>
                <w:szCs w:val="14"/>
                <w:color w:val="auto"/>
              </w:rPr>
              <w:t>Adjusted NAV, beginning of year</w:t>
            </w: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10.22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10.13</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10.69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11.85</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11.99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Net realized and unrealized gain (loss)</w:t>
            </w: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0.38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0.12</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(0.53)</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Distributions to stockholders</w:t>
            </w:r>
            <w:r>
              <w:rPr>
                <w:rFonts w:ascii="Arial" w:cs="Arial" w:eastAsia="Arial" w:hAnsi="Arial"/>
                <w:sz w:val="12"/>
                <w:szCs w:val="12"/>
                <w:color w:val="auto"/>
              </w:rPr>
              <w:t>(2),(3)</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Offering costs</w:t>
            </w: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(0.15)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(0.20)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Accretive (Dilutive) effect of common stock issuance</w:t>
            </w: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0.17</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(0.43)</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10.49</w:t>
            </w: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10.22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10.69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156"/>
        </w:trPr>
        <w:tc>
          <w:tcPr>
            <w:tcW w:w="6120" w:type="dxa"/>
            <w:vAlign w:val="bottom"/>
            <w:gridSpan w:val="2"/>
          </w:tcPr>
          <w:p>
            <w:pPr>
              <w:spacing w:after="0" w:line="155" w:lineRule="exact"/>
              <w:rPr>
                <w:sz w:val="20"/>
                <w:szCs w:val="20"/>
                <w:color w:val="auto"/>
              </w:rPr>
            </w:pPr>
            <w:r>
              <w:rPr>
                <w:rFonts w:ascii="Arial" w:cs="Arial" w:eastAsia="Arial" w:hAnsi="Arial"/>
                <w:sz w:val="14"/>
                <w:szCs w:val="14"/>
                <w:color w:val="auto"/>
              </w:rPr>
              <w:t>Per share market value, end of year</w:t>
            </w: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11.28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10.61</w:t>
            </w:r>
          </w:p>
        </w:tc>
        <w:tc>
          <w:tcPr>
            <w:tcW w:w="26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8.92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10.61</w:t>
            </w:r>
          </w:p>
        </w:tc>
        <w:tc>
          <w:tcPr>
            <w:tcW w:w="24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return</w:t>
            </w:r>
            <w:r>
              <w:rPr>
                <w:rFonts w:ascii="Arial" w:cs="Arial" w:eastAsia="Arial" w:hAnsi="Arial"/>
                <w:sz w:val="12"/>
                <w:szCs w:val="12"/>
                <w:color w:val="auto"/>
              </w:rPr>
              <w:t>(4)</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28.71%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44.79%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year</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66,499,327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65,514,503</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45,689,781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36,158,772</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25,368,772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Ratio / Supplemental Data:</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Ratio of operating expenses to average net assets</w:t>
            </w:r>
            <w:r>
              <w:rPr>
                <w:rFonts w:ascii="Arial" w:cs="Arial" w:eastAsia="Arial" w:hAnsi="Arial"/>
                <w:sz w:val="12"/>
                <w:szCs w:val="12"/>
                <w:color w:val="auto"/>
              </w:rPr>
              <w:t>(5),(6)</w:t>
            </w:r>
          </w:p>
        </w:tc>
        <w:tc>
          <w:tcPr>
            <w:tcW w:w="8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7.11%</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7.16%</w:t>
            </w:r>
          </w:p>
        </w:tc>
        <w:tc>
          <w:tcPr>
            <w:tcW w:w="8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Credit Facility related expenses to average net assets</w:t>
            </w:r>
            <w:r>
              <w:rPr>
                <w:rFonts w:ascii="Arial" w:cs="Arial" w:eastAsia="Arial" w:hAnsi="Arial"/>
                <w:sz w:val="12"/>
                <w:szCs w:val="12"/>
                <w:color w:val="auto"/>
              </w:rPr>
              <w:t>(8)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4"/>
                <w:szCs w:val="14"/>
                <w:color w:val="auto"/>
              </w:rPr>
              <w:t>Ratio of total expenses to average net assets</w:t>
            </w:r>
            <w:r>
              <w:rPr>
                <w:rFonts w:ascii="Arial" w:cs="Arial" w:eastAsia="Arial" w:hAnsi="Arial"/>
                <w:sz w:val="12"/>
                <w:szCs w:val="12"/>
                <w:color w:val="auto"/>
              </w:rPr>
              <w:t>(7),(8)</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8.91%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10.19%</w:t>
            </w:r>
          </w:p>
        </w:tc>
        <w:tc>
          <w:tcPr>
            <w:tcW w:w="80" w:type="dxa"/>
            <w:vAlign w:val="bottom"/>
          </w:tcPr>
          <w:p>
            <w:pPr>
              <w:spacing w:after="0"/>
              <w:rPr>
                <w:sz w:val="13"/>
                <w:szCs w:val="13"/>
                <w:color w:val="auto"/>
              </w:rPr>
            </w:pPr>
          </w:p>
        </w:tc>
        <w:tc>
          <w:tcPr>
            <w:tcW w:w="9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8.43%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8.24%</w:t>
            </w:r>
          </w:p>
        </w:tc>
        <w:tc>
          <w:tcPr>
            <w:tcW w:w="80" w:type="dxa"/>
            <w:vAlign w:val="bottom"/>
          </w:tcPr>
          <w:p>
            <w:pPr>
              <w:spacing w:after="0"/>
              <w:rPr>
                <w:sz w:val="13"/>
                <w:szCs w:val="13"/>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10.32%</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Net assets at end of year</w:t>
            </w:r>
            <w:r>
              <w:rPr>
                <w:rFonts w:ascii="Arial" w:cs="Arial" w:eastAsia="Arial" w:hAnsi="Arial"/>
                <w:sz w:val="12"/>
                <w:szCs w:val="12"/>
                <w:color w:val="auto"/>
              </w:rPr>
              <w:t>(8)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697,506,199</w:t>
            </w:r>
          </w:p>
        </w:tc>
        <w:tc>
          <w:tcPr>
            <w:tcW w:w="1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669,717,047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462,657,196</w:t>
            </w:r>
          </w:p>
        </w:tc>
        <w:tc>
          <w:tcPr>
            <w:tcW w:w="2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386,575,223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2"/>
              </w:rPr>
              <w:t>300,580,268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debt outstanding</w:t>
            </w:r>
            <w:r>
              <w:rPr>
                <w:rFonts w:ascii="Arial" w:cs="Arial" w:eastAsia="Arial" w:hAnsi="Arial"/>
                <w:sz w:val="12"/>
                <w:szCs w:val="12"/>
                <w:color w:val="auto"/>
              </w:rPr>
              <w:t>(8)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363,246,849</w:t>
            </w: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340,868,033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278,294,433</w:t>
            </w:r>
          </w:p>
        </w:tc>
        <w:tc>
          <w:tcPr>
            <w:tcW w:w="2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2"/>
              </w:rPr>
              <w:t>246,216,548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2"/>
              </w:rPr>
              <w:t>182,490,685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Weighted average debt per share</w:t>
            </w:r>
            <w:r>
              <w:rPr>
                <w:rFonts w:ascii="Arial" w:cs="Arial" w:eastAsia="Arial" w:hAnsi="Arial"/>
                <w:sz w:val="12"/>
                <w:szCs w:val="12"/>
                <w:color w:val="auto"/>
              </w:rPr>
              <w:t>(8)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5.47</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6.44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coverage per unit</w:t>
            </w:r>
            <w:r>
              <w:rPr>
                <w:rFonts w:ascii="Arial" w:cs="Arial" w:eastAsia="Arial" w:hAnsi="Arial"/>
                <w:sz w:val="12"/>
                <w:szCs w:val="12"/>
                <w:color w:val="auto"/>
              </w:rPr>
              <w:t>(9)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4,261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5,636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2,937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2,655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Average market value per unit</w:t>
            </w:r>
            <w:r>
              <w:rPr>
                <w:rFonts w:ascii="Arial" w:cs="Arial" w:eastAsia="Arial" w:hAnsi="Arial"/>
                <w:sz w:val="12"/>
                <w:szCs w:val="12"/>
                <w:color w:val="auto"/>
              </w:rPr>
              <w:t>(10)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22.81%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25.97%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40" w:hanging="332"/>
        <w:spacing w:after="0" w:line="230" w:lineRule="auto"/>
        <w:tabs>
          <w:tab w:leader="none" w:pos="34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On October 1, 2008, PennantPark Investment adopted ASC 825 and made an irrevocable election to apply the fair value option to our long-term Credit Facility. Upon adoption, NAV increased $41.8 million, or $1.99 per share, due to the fair value adjustment related to our Credit Facility.</w:t>
      </w:r>
    </w:p>
    <w:p>
      <w:pPr>
        <w:ind w:left="340" w:hanging="332"/>
        <w:spacing w:after="0" w:line="221" w:lineRule="auto"/>
        <w:tabs>
          <w:tab w:leader="none" w:pos="34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Calculated based on the weighted average shares outstanding for the respective periods.</w:t>
      </w:r>
    </w:p>
    <w:p>
      <w:pPr>
        <w:ind w:left="340" w:hanging="332"/>
        <w:spacing w:after="0" w:line="221" w:lineRule="auto"/>
        <w:tabs>
          <w:tab w:leader="none" w:pos="34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Based on taxable income calculated in accordance with income tax regulations and may differ from amounts determined under GAAP.</w:t>
      </w:r>
    </w:p>
    <w:p>
      <w:pPr>
        <w:ind w:left="340" w:hanging="332"/>
        <w:spacing w:after="0" w:line="221" w:lineRule="auto"/>
        <w:tabs>
          <w:tab w:leader="none" w:pos="34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340" w:hanging="332"/>
        <w:spacing w:after="0" w:line="221" w:lineRule="auto"/>
        <w:tabs>
          <w:tab w:leader="none" w:pos="34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Excludes Credit Facility interest and amendment costs.</w:t>
      </w:r>
    </w:p>
    <w:p>
      <w:pPr>
        <w:ind w:left="340" w:hanging="332"/>
        <w:spacing w:after="0" w:line="221" w:lineRule="auto"/>
        <w:tabs>
          <w:tab w:leader="none" w:pos="34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Before adoption of ASC 825 for the fiscal years ended September 30, 2013, 2012, 2011, 2010 and 2009, the ratios were 6.32%, 7.11%, 7.38%, 7.95% and 9.32%, respectively.</w:t>
      </w:r>
    </w:p>
    <w:p>
      <w:pPr>
        <w:ind w:left="340" w:hanging="332"/>
        <w:spacing w:after="0" w:line="221" w:lineRule="auto"/>
        <w:tabs>
          <w:tab w:leader="none" w:pos="34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Before adoption of ASC 825 for the fiscal years ended September 30, 2013, 2012, 2011, 2010 and 2009, the ratios were 8.92%, 10.20%, 8.55%, 9.15% and (1.75%), respectively.</w:t>
      </w:r>
    </w:p>
    <w:p>
      <w:pPr>
        <w:ind w:left="340" w:hanging="332"/>
        <w:spacing w:after="0" w:line="221" w:lineRule="auto"/>
        <w:tabs>
          <w:tab w:leader="none" w:pos="34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Includes SBA debentures outstanding.</w:t>
      </w:r>
    </w:p>
    <w:p>
      <w:pPr>
        <w:ind w:left="340" w:right="180" w:hanging="332"/>
        <w:spacing w:after="0" w:line="238" w:lineRule="auto"/>
        <w:tabs>
          <w:tab w:leader="none" w:pos="34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ind w:left="340" w:right="180" w:hanging="332"/>
        <w:spacing w:after="0" w:line="237" w:lineRule="auto"/>
        <w:tabs>
          <w:tab w:leader="none" w:pos="34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since issuance, which were issued in increments of $25 per unit.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We have a $430 million multi-currency Credit Facility with certain lenders and SunTrust Bank, acting as administrative agent, and JPMorgan Chase Bank, N.A., acting as syndication agent for the lenders. As of September 30, 2013 and 2012, there was $145.5 million (including a temporary draw of $28.0 million) and $145.0 million (including a temporary draw of $35.5 million), respectively, in outstanding borrowings under the Credit Facility, with a weighted average interest rate at the time of 3.33% and 3.49%, exclusive of the fee on undrawn commitments of 0.50%. The Credit Facility is a four-year revolving facility, with a stated maturity date of February 21, 2016, with a one-year term-out period following its third year and pricing is set at 275 basis points over LIBOR. The Credit Facility is secured by substantially all of the assets of the Company excluding assets held by our SBIC Funds.</w:t>
      </w:r>
    </w:p>
    <w:p>
      <w:pPr>
        <w:spacing w:after="0" w:line="16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accordance with the 1940 Act, with certain limited exceptions, we are only allowed to borrow amounts such that we are in compliance with our asset coverage requirement, excluding SBA debentures, pursuant to exemptive relief from the SEC received in June 2011.</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 regulatory requirements including an examination by the SBA. We have funded SBIC LP with $75.0 million of equity capital and had SBA debentures outstanding of $150.0 million as of September 30, 2013. In January 2013, our wholly-owned subsidiary, SBIC II, received a license from the SBA to operate as an SBIC under the 1958 Act. We have funded SBIC II with $2.5 million of seed capital. Our SBIC Funds are subject to a variety of regulations and oversight by the SBA concerning, among other things, the size and nature of the companies in which they may invest as well as the structure of those investments. SBA debentures are non-recourse to us, have a 10-year maturity, and may be prepaid at any time without penalty. The interest rate of SBA debentures is fixed at the time of issuance, often referred to as pooling, at a market-driven spread over 10-year U.S. Treasury Notes. Under current SBA regulations SBIC LP may borrow to a maximum of $150.0 million, which is up to twice its potential regulatory capital, and as part of a group of SBICs under common control may borrow a maximum of $225 million. SBIC LP has accessed the maximum borrowing with its $75.0 million in regulatory capital.</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September 30, 2013, $150.0 million in debt commitments were fully drawn with a weighted average interest rate of 3.70%, exclusive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3.43% in upfront fees which are amortized over the life of the loan (4.04% after upfront fees). Our fixed rate SBA debentures as of September 30, 2013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Fixed All-in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4"/>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8"/>
              </w:rPr>
              <w:t>Issuance Dates</w:t>
            </w:r>
          </w:p>
        </w:tc>
        <w:tc>
          <w:tcPr>
            <w:tcW w:w="250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13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720" w:type="dxa"/>
            <w:vAlign w:val="bottom"/>
            <w:vMerge w:val="restart"/>
          </w:tcPr>
          <w:p>
            <w:pPr>
              <w:spacing w:after="0"/>
              <w:rPr>
                <w:sz w:val="12"/>
                <w:szCs w:val="12"/>
                <w:color w:val="auto"/>
              </w:rPr>
            </w:pPr>
          </w:p>
        </w:tc>
        <w:tc>
          <w:tcPr>
            <w:tcW w:w="134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94"/>
              </w:rPr>
              <w:t>Coupon Rate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vMerge w:val="continue"/>
          </w:tcPr>
          <w:p>
            <w:pPr>
              <w:spacing w:after="0"/>
              <w:rPr>
                <w:sz w:val="14"/>
                <w:szCs w:val="14"/>
                <w:color w:val="auto"/>
              </w:rPr>
            </w:pPr>
          </w:p>
        </w:tc>
        <w:tc>
          <w:tcPr>
            <w:tcW w:w="250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(1)</w:t>
            </w:r>
          </w:p>
        </w:tc>
        <w:tc>
          <w:tcPr>
            <w:tcW w:w="4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1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88"/>
              </w:rPr>
              <w:t>September 1, 2020</w:t>
            </w:r>
          </w:p>
        </w:tc>
        <w:tc>
          <w:tcPr>
            <w:tcW w:w="7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3380" w:type="dxa"/>
            <w:vAlign w:val="bottom"/>
            <w:gridSpan w:val="3"/>
          </w:tcPr>
          <w:p>
            <w:pPr>
              <w:ind w:left="1280"/>
              <w:spacing w:after="0"/>
              <w:rPr>
                <w:sz w:val="20"/>
                <w:szCs w:val="20"/>
                <w:color w:val="auto"/>
              </w:rPr>
            </w:pPr>
            <w:r>
              <w:rPr>
                <w:rFonts w:ascii="Arial" w:cs="Arial" w:eastAsia="Arial" w:hAnsi="Arial"/>
                <w:sz w:val="18"/>
                <w:szCs w:val="18"/>
                <w:color w:val="auto"/>
              </w:rPr>
              <w:t>March 1, 2021</w:t>
            </w: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4.46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44,500,000</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338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September 1, 2021</w:t>
            </w:r>
          </w:p>
        </w:tc>
        <w:tc>
          <w:tcPr>
            <w:tcW w:w="8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5"/>
              </w:rPr>
              <w:t>3.38</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Weighted average rate / Total</w:t>
            </w:r>
          </w:p>
        </w:tc>
        <w:tc>
          <w:tcPr>
            <w:tcW w:w="1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3.70%</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138"/>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208"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Under SBA regulations, our SBIC Funds are subject to regulatory requirements, including making investments in SBA-eligible businesses, investing at least 25% of regulatory capital in eligible smaller businesses, as defined under the 1958 Act, placing certain limitations on the financing terms of investments,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59" w:right="2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prohibiting investing in certain industries, requiring capitalization thresholds and being subject to periodic audits and examinations of their financial statements that are prepared on a basis of accounting other than GAAP (for example, fair value, as defined under ASC 820, is not required to be used for assets or liabilities for such compliance reporting). If our SBIC Funds fail to comply with applicable SBA regulations, the SBA could, depending on the severity of the violation, limit or prohibit their use of debentures, declare outstanding debentures immediately due and payable and/or limit them from making new investments. These actions by the SBA would, in turn, negatively affect us because our SBIC Funds are wholly-owned by us.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2025 Notes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January 2013, we issued $71.3 million in aggregate principal amount of 2025 Notes, including the exercise of the over-allotment option, for net proceeds of $68.8 million after underwriting discounts and offering costs.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GUARANTEES AND CONTINGENCIES</w:t>
      </w:r>
    </w:p>
    <w:p>
      <w:pPr>
        <w:spacing w:after="0" w:line="121" w:lineRule="exact"/>
        <w:rPr>
          <w:sz w:val="20"/>
          <w:szCs w:val="20"/>
          <w:color w:val="auto"/>
        </w:rPr>
      </w:pPr>
    </w:p>
    <w:p>
      <w:pPr>
        <w:jc w:val="both"/>
        <w:ind w:right="200" w:firstLine="456"/>
        <w:spacing w:after="0" w:line="302"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4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 the ordinary course of business, have guaranteed certain obligations of SPH. The guaranties are only triggered if there were administrative errors in acquiring assets which SPH subsequently sold or securitized. As of September 30, 2013 our maximum guaranty is $13.0 million. Based on SPH’s and industry historical loss rates we believe the risk of loss is remote, thus, we have not recorded a liability associated with the guaranties. The current guaranties will decline over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60" w:right="259" w:bottom="1440" w:gutter="0" w:footer="0" w:header="0"/>
        </w:sectPr>
      </w:pPr>
    </w:p>
    <w:bookmarkStart w:id="268" w:name="page269"/>
    <w:bookmarkEnd w:id="2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648970</wp:posOffset>
            </wp:positionV>
            <wp:extent cx="1766570" cy="3771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766570" cy="37719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20"/>
        <w:spacing w:after="0"/>
        <w:rPr>
          <w:sz w:val="20"/>
          <w:szCs w:val="20"/>
          <w:color w:val="auto"/>
        </w:rPr>
      </w:pPr>
      <w:r>
        <w:rPr>
          <w:rFonts w:ascii="Arial" w:cs="Arial" w:eastAsia="Arial" w:hAnsi="Arial"/>
          <w:sz w:val="29"/>
          <w:szCs w:val="29"/>
          <w:b w:val="1"/>
          <w:bCs w:val="1"/>
          <w:color w:val="auto"/>
        </w:rPr>
        <w:t>$250,000,000</w:t>
      </w:r>
    </w:p>
    <w:p>
      <w:pPr>
        <w:spacing w:after="0" w:line="200" w:lineRule="exact"/>
        <w:rPr>
          <w:sz w:val="20"/>
          <w:szCs w:val="20"/>
          <w:color w:val="auto"/>
        </w:rPr>
      </w:pPr>
    </w:p>
    <w:p>
      <w:pPr>
        <w:spacing w:after="0" w:line="241"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4.50% Notes due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1134745</wp:posOffset>
            </wp:positionV>
            <wp:extent cx="40563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241300</wp:posOffset>
            </wp:positionV>
            <wp:extent cx="40563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i w:val="1"/>
          <w:iCs w:val="1"/>
          <w:color w:val="auto"/>
        </w:rPr>
        <w:t>Joint Bookrunners</w:t>
      </w:r>
    </w:p>
    <w:p>
      <w:pPr>
        <w:spacing w:after="0" w:line="104"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J.P. Morgan</w:t>
      </w:r>
    </w:p>
    <w:p>
      <w:pPr>
        <w:spacing w:after="0" w:line="98"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Goldman, Sachs &amp; Co.</w:t>
      </w:r>
    </w:p>
    <w:p>
      <w:pPr>
        <w:spacing w:after="0" w:line="98"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Morgan Stanley</w:t>
      </w:r>
    </w:p>
    <w:p>
      <w:pPr>
        <w:spacing w:after="0" w:line="98" w:lineRule="exact"/>
        <w:rPr>
          <w:sz w:val="20"/>
          <w:szCs w:val="20"/>
          <w:color w:val="auto"/>
        </w:rPr>
      </w:pPr>
    </w:p>
    <w:p>
      <w:pPr>
        <w:ind w:left="4280"/>
        <w:spacing w:after="0"/>
        <w:rPr>
          <w:sz w:val="20"/>
          <w:szCs w:val="20"/>
          <w:color w:val="auto"/>
        </w:rPr>
      </w:pPr>
      <w:r>
        <w:rPr>
          <w:rFonts w:ascii="Arial" w:cs="Arial" w:eastAsia="Arial" w:hAnsi="Arial"/>
          <w:sz w:val="19"/>
          <w:szCs w:val="19"/>
          <w:b w:val="1"/>
          <w:bCs w:val="1"/>
          <w:color w:val="auto"/>
        </w:rPr>
        <w:t>SunTrust Robinson Humphrey</w:t>
      </w:r>
    </w:p>
    <w:p>
      <w:pPr>
        <w:spacing w:after="0" w:line="35"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Keefe, Bruyette &amp; Woods</w:t>
      </w:r>
    </w:p>
    <w:p>
      <w:pPr>
        <w:ind w:left="5880"/>
        <w:spacing w:after="0" w:line="226" w:lineRule="auto"/>
        <w:rPr>
          <w:sz w:val="20"/>
          <w:szCs w:val="20"/>
          <w:color w:val="auto"/>
        </w:rPr>
      </w:pPr>
      <w:r>
        <w:rPr>
          <w:rFonts w:ascii="Arial" w:cs="Arial" w:eastAsia="Arial" w:hAnsi="Arial"/>
          <w:sz w:val="14"/>
          <w:szCs w:val="14"/>
          <w:b w:val="1"/>
          <w:bCs w:val="1"/>
          <w:i w:val="1"/>
          <w:iCs w:val="1"/>
          <w:color w:val="auto"/>
        </w:rPr>
        <w:t>A Stifel Company</w:t>
      </w:r>
    </w:p>
    <w:p>
      <w:pPr>
        <w:jc w:val="center"/>
        <w:ind w:right="-1220"/>
        <w:spacing w:after="0" w:line="230" w:lineRule="auto"/>
        <w:rPr>
          <w:sz w:val="20"/>
          <w:szCs w:val="20"/>
          <w:color w:val="auto"/>
        </w:rPr>
      </w:pPr>
      <w:r>
        <w:rPr>
          <w:rFonts w:ascii="Arial" w:cs="Arial" w:eastAsia="Arial" w:hAnsi="Arial"/>
          <w:sz w:val="22"/>
          <w:szCs w:val="22"/>
          <w:b w:val="1"/>
          <w:bCs w:val="1"/>
          <w:color w:val="auto"/>
        </w:rPr>
        <w:t>RBC Capital Markets</w:t>
      </w:r>
    </w:p>
    <w:p>
      <w:pPr>
        <w:jc w:val="center"/>
        <w:ind w:right="-1220"/>
        <w:spacing w:after="0" w:line="231" w:lineRule="auto"/>
        <w:rPr>
          <w:sz w:val="20"/>
          <w:szCs w:val="20"/>
          <w:color w:val="auto"/>
        </w:rPr>
      </w:pPr>
      <w:r>
        <w:rPr>
          <w:rFonts w:ascii="Arial" w:cs="Arial" w:eastAsia="Arial" w:hAnsi="Arial"/>
          <w:sz w:val="22"/>
          <w:szCs w:val="22"/>
          <w:b w:val="1"/>
          <w:bCs w:val="1"/>
          <w:color w:val="auto"/>
        </w:rPr>
        <w:t>Comerica Securities</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September 16,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6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1"/>
      <w:numFmt w:val="lowerLetter"/>
      <w:start w:val="1"/>
    </w:lvl>
    <w:lvl w:ilvl="1">
      <w:lvlJc w:val="left"/>
      <w:lvlText w:val="•"/>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1)"/>
      <w:numFmt w:val="decimal"/>
      <w:start w:val="1"/>
    </w:lvl>
  </w:abstractNum>
  <w:abstractNum w:abstractNumId="7">
    <w:nsid w:val="1EBA5D23"/>
    <w:multiLevelType w:val="hybridMultilevel"/>
    <w:lvl w:ilvl="0">
      <w:lvlJc w:val="left"/>
      <w:lvlText w:val="(%1)"/>
      <w:numFmt w:val="decimal"/>
      <w:start w:val="1"/>
    </w:lvl>
  </w:abstractNum>
  <w:abstractNum w:abstractNumId="8">
    <w:nsid w:val="661E3F1E"/>
    <w:multiLevelType w:val="hybridMultilevel"/>
    <w:lvl w:ilvl="0">
      <w:lvlJc w:val="left"/>
      <w:lvlText w:val="(%1)"/>
      <w:numFmt w:val="decimal"/>
      <w:start w:val="1"/>
    </w:lvl>
  </w:abstractNum>
  <w:abstractNum w:abstractNumId="9">
    <w:nsid w:val="5DC79EA8"/>
    <w:multiLevelType w:val="hybridMultilevel"/>
    <w:lvl w:ilvl="0">
      <w:lvlJc w:val="left"/>
      <w:lvlText w:val="•"/>
      <w:numFmt w:val="bullet"/>
      <w:start w:val="1"/>
    </w:lvl>
  </w:abstractNum>
  <w:abstractNum w:abstractNumId="10">
    <w:nsid w:val="540A471C"/>
    <w:multiLevelType w:val="hybridMultilevel"/>
    <w:lvl w:ilvl="0">
      <w:lvlJc w:val="left"/>
      <w:lvlText w:val="•"/>
      <w:numFmt w:val="bullet"/>
      <w:start w:val="1"/>
    </w:lvl>
  </w:abstractNum>
  <w:abstractNum w:abstractNumId="11">
    <w:nsid w:val="7BD3EE7B"/>
    <w:multiLevelType w:val="hybridMultilevel"/>
    <w:lvl w:ilvl="0">
      <w:lvlJc w:val="left"/>
      <w:lvlText w:val="(%1)"/>
      <w:numFmt w:val="decimal"/>
      <w:start w:val="1"/>
    </w:lvl>
  </w:abstractNum>
  <w:abstractNum w:abstractNumId="12">
    <w:nsid w:val="51D9C564"/>
    <w:multiLevelType w:val="hybridMultilevel"/>
    <w:lvl w:ilvl="0">
      <w:lvlJc w:val="left"/>
      <w:lvlText w:val="%1."/>
      <w:numFmt w:val="decimal"/>
      <w:start w:val="1"/>
    </w:lvl>
  </w:abstractNum>
  <w:abstractNum w:abstractNumId="13">
    <w:nsid w:val="613EFDC5"/>
    <w:multiLevelType w:val="hybridMultilevel"/>
    <w:lvl w:ilvl="0">
      <w:lvlJc w:val="left"/>
      <w:lvlText w:val="(%1)"/>
      <w:numFmt w:val="lowerLetter"/>
      <w:start w:val="2"/>
    </w:lvl>
  </w:abstractNum>
  <w:abstractNum w:abstractNumId="14">
    <w:nsid w:val="BF72B14"/>
    <w:multiLevelType w:val="hybridMultilevel"/>
    <w:lvl w:ilvl="0">
      <w:lvlJc w:val="left"/>
      <w:lvlText w:val="(%1)"/>
      <w:numFmt w:val="decimal"/>
      <w:start w:val="1"/>
    </w:lvl>
  </w:abstractNum>
  <w:abstractNum w:abstractNumId="15">
    <w:nsid w:val="11447B73"/>
    <w:multiLevelType w:val="hybridMultilevel"/>
    <w:lvl w:ilvl="0">
      <w:lvlJc w:val="left"/>
      <w:lvlText w:val="(%1)"/>
      <w:numFmt w:val="decimal"/>
      <w:start w:val="3"/>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
      <w:numFmt w:val="bullet"/>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
      <w:numFmt w:val="bullet"/>
      <w:start w:val="1"/>
    </w:lvl>
  </w:abstractNum>
  <w:abstractNum w:abstractNumId="22">
    <w:nsid w:val="4962813B"/>
    <w:multiLevelType w:val="hybridMultilevel"/>
    <w:lvl w:ilvl="0">
      <w:lvlJc w:val="left"/>
      <w:lvlText w:val="•"/>
      <w:numFmt w:val="bullet"/>
      <w:start w:val="1"/>
    </w:lvl>
  </w:abstractNum>
  <w:abstractNum w:abstractNumId="23">
    <w:nsid w:val="60B6DF70"/>
    <w:multiLevelType w:val="hybridMultilevel"/>
    <w:lvl w:ilvl="0">
      <w:lvlJc w:val="left"/>
      <w:lvlText w:val="•"/>
      <w:numFmt w:val="bullet"/>
      <w:start w:val="1"/>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
      <w:numFmt w:val="bullet"/>
      <w:start w:val="1"/>
    </w:lvl>
  </w:abstractNum>
  <w:abstractNum w:abstractNumId="26">
    <w:nsid w:val="7FFFCA11"/>
    <w:multiLevelType w:val="hybridMultilevel"/>
    <w:lvl w:ilvl="0">
      <w:lvlJc w:val="left"/>
      <w:lvlText w:val="•"/>
      <w:numFmt w:val="bullet"/>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
      <w:numFmt w:val="bullet"/>
      <w:start w:val="1"/>
    </w:lvl>
  </w:abstractNum>
  <w:abstractNum w:abstractNumId="29">
    <w:nsid w:val="100F59DC"/>
    <w:multiLevelType w:val="hybridMultilevel"/>
    <w:lvl w:ilvl="0">
      <w:lvlJc w:val="left"/>
      <w:lvlText w:val="•"/>
      <w:numFmt w:val="bullet"/>
      <w:start w:val="1"/>
    </w:lvl>
  </w:abstractNum>
  <w:abstractNum w:abstractNumId="30">
    <w:nsid w:val="7FB7E0AA"/>
    <w:multiLevelType w:val="hybridMultilevel"/>
    <w:lvl w:ilvl="0">
      <w:lvlJc w:val="left"/>
      <w:lvlText w:val="•"/>
      <w:numFmt w:val="bullet"/>
      <w:start w:val="1"/>
    </w:lvl>
  </w:abstractNum>
  <w:abstractNum w:abstractNumId="31">
    <w:nsid w:val="6EB5BD4"/>
    <w:multiLevelType w:val="hybridMultilevel"/>
    <w:lvl w:ilvl="0">
      <w:lvlJc w:val="left"/>
      <w:lvlText w:val="(%1)"/>
      <w:numFmt w:val="decimal"/>
      <w:start w:val="1"/>
    </w:lvl>
  </w:abstractNum>
  <w:abstractNum w:abstractNumId="32">
    <w:nsid w:val="6F6DD9AC"/>
    <w:multiLevelType w:val="hybridMultilevel"/>
    <w:lvl w:ilvl="0">
      <w:lvlJc w:val="left"/>
      <w:lvlText w:val="(%1)"/>
      <w:numFmt w:val="decimal"/>
      <w:start w:val="1"/>
    </w:lvl>
  </w:abstractNum>
  <w:abstractNum w:abstractNumId="33">
    <w:nsid w:val="94211F2"/>
    <w:multiLevelType w:val="hybridMultilevel"/>
    <w:lvl w:ilvl="0">
      <w:lvlJc w:val="left"/>
      <w:lvlText w:val="(%1)"/>
      <w:numFmt w:val="decimal"/>
      <w:start w:val="1"/>
    </w:lvl>
  </w:abstractNum>
  <w:abstractNum w:abstractNumId="34">
    <w:nsid w:val="885E1B"/>
    <w:multiLevelType w:val="hybridMultilevel"/>
    <w:lvl w:ilvl="0">
      <w:lvlJc w:val="left"/>
      <w:lvlText w:val="(%1)"/>
      <w:numFmt w:val="decimal"/>
      <w:start w:val="1"/>
    </w:lvl>
  </w:abstractNum>
  <w:abstractNum w:abstractNumId="35">
    <w:nsid w:val="76272110"/>
    <w:multiLevelType w:val="hybridMultilevel"/>
    <w:lvl w:ilvl="0">
      <w:lvlJc w:val="left"/>
      <w:lvlText w:val="(%1)"/>
      <w:numFmt w:val="lowerLetter"/>
      <w:start w:val="5"/>
    </w:lvl>
    <w:lvl w:ilvl="1">
      <w:lvlJc w:val="left"/>
      <w:lvlText w:val="%2."/>
      <w:numFmt w:val="decimal"/>
      <w:start w:val="1"/>
    </w:lvl>
  </w:abstractNum>
  <w:abstractNum w:abstractNumId="36">
    <w:nsid w:val="4C04A8AF"/>
    <w:multiLevelType w:val="hybridMultilevel"/>
    <w:lvl w:ilvl="0">
      <w:lvlJc w:val="left"/>
      <w:lvlText w:val="%1."/>
      <w:numFmt w:val="decimal"/>
      <w:start w:val="9"/>
    </w:lvl>
  </w:abstractNum>
  <w:abstractNum w:abstractNumId="37">
    <w:nsid w:val="1716703B"/>
    <w:multiLevelType w:val="hybridMultilevel"/>
    <w:lvl w:ilvl="0">
      <w:lvlJc w:val="left"/>
      <w:lvlText w:val="*"/>
      <w:numFmt w:val="bullet"/>
      <w:start w:val="1"/>
    </w:lvl>
  </w:abstractNum>
  <w:abstractNum w:abstractNumId="38">
    <w:nsid w:val="14E17E33"/>
    <w:multiLevelType w:val="hybridMultilevel"/>
    <w:lvl w:ilvl="0">
      <w:lvlJc w:val="left"/>
      <w:lvlText w:val="(%1)"/>
      <w:numFmt w:val="decimal"/>
      <w:start w:val="1"/>
    </w:lvl>
  </w:abstractNum>
  <w:abstractNum w:abstractNumId="39">
    <w:nsid w:val="3222E7CD"/>
    <w:multiLevelType w:val="hybridMultilevel"/>
    <w:lvl w:ilvl="0">
      <w:lvlJc w:val="left"/>
      <w:lvlText w:val="(%1)"/>
      <w:numFmt w:val="decimal"/>
      <w:start w:val="1"/>
    </w:lvl>
  </w:abstractNum>
  <w:abstractNum w:abstractNumId="40">
    <w:nsid w:val="74DE0EE3"/>
    <w:multiLevelType w:val="hybridMultilevel"/>
    <w:lvl w:ilvl="0">
      <w:lvlJc w:val="left"/>
      <w:lvlText w:val="(%1)"/>
      <w:numFmt w:val="decimal"/>
      <w:start w:val="7"/>
    </w:lvl>
  </w:abstractNum>
  <w:abstractNum w:abstractNumId="41">
    <w:nsid w:val="68EBC550"/>
    <w:multiLevelType w:val="hybridMultilevel"/>
    <w:lvl w:ilvl="0">
      <w:lvlJc w:val="left"/>
      <w:lvlText w:val="•"/>
      <w:numFmt w:val="bullet"/>
      <w:start w:val="1"/>
    </w:lvl>
  </w:abstractNum>
  <w:abstractNum w:abstractNumId="42">
    <w:nsid w:val="2DF6D648"/>
    <w:multiLevelType w:val="hybridMultilevel"/>
    <w:lvl w:ilvl="0">
      <w:lvlJc w:val="left"/>
      <w:lvlText w:val="•"/>
      <w:numFmt w:val="bullet"/>
      <w:start w:val="1"/>
    </w:lvl>
  </w:abstractNum>
  <w:abstractNum w:abstractNumId="43">
    <w:nsid w:val="46B7D447"/>
    <w:multiLevelType w:val="hybridMultilevel"/>
    <w:lvl w:ilvl="0">
      <w:lvlJc w:val="left"/>
      <w:lvlText w:val="•"/>
      <w:numFmt w:val="bullet"/>
      <w:start w:val="1"/>
    </w:lvl>
  </w:abstractNum>
  <w:abstractNum w:abstractNumId="44">
    <w:nsid w:val="4A2AC315"/>
    <w:multiLevelType w:val="hybridMultilevel"/>
    <w:lvl w:ilvl="0">
      <w:lvlJc w:val="left"/>
      <w:lvlText w:val="(%1)"/>
      <w:numFmt w:val="decimal"/>
      <w:start w:val="1"/>
    </w:lvl>
  </w:abstractNum>
  <w:abstractNum w:abstractNumId="45">
    <w:nsid w:val="39EE015C"/>
    <w:multiLevelType w:val="hybridMultilevel"/>
    <w:lvl w:ilvl="0">
      <w:lvlJc w:val="left"/>
      <w:lvlText w:val="•"/>
      <w:numFmt w:val="bullet"/>
      <w:start w:val="1"/>
    </w:lvl>
  </w:abstractNum>
  <w:abstractNum w:abstractNumId="46">
    <w:nsid w:val="57FC4FBB"/>
    <w:multiLevelType w:val="hybridMultilevel"/>
    <w:lvl w:ilvl="0">
      <w:lvlJc w:val="left"/>
      <w:lvlText w:val="•"/>
      <w:numFmt w:val="bullet"/>
      <w:start w:val="1"/>
    </w:lvl>
  </w:abstractNum>
  <w:abstractNum w:abstractNumId="47">
    <w:nsid w:val="CC1016F"/>
    <w:multiLevelType w:val="hybridMultilevel"/>
    <w:lvl w:ilvl="0">
      <w:lvlJc w:val="left"/>
      <w:lvlText w:val="•"/>
      <w:numFmt w:val="bullet"/>
      <w:start w:val="1"/>
    </w:lvl>
  </w:abstractNum>
  <w:abstractNum w:abstractNumId="48">
    <w:nsid w:val="43F18422"/>
    <w:multiLevelType w:val="hybridMultilevel"/>
    <w:lvl w:ilvl="0">
      <w:lvlJc w:val="left"/>
      <w:lvlText w:val="•"/>
      <w:numFmt w:val="bullet"/>
      <w:start w:val="1"/>
    </w:lvl>
  </w:abstractNum>
  <w:abstractNum w:abstractNumId="49">
    <w:nsid w:val="60EF0119"/>
    <w:multiLevelType w:val="hybridMultilevel"/>
    <w:lvl w:ilvl="0">
      <w:lvlJc w:val="left"/>
      <w:lvlText w:val="•"/>
      <w:numFmt w:val="bullet"/>
      <w:start w:val="1"/>
    </w:lvl>
  </w:abstractNum>
  <w:abstractNum w:abstractNumId="50">
    <w:nsid w:val="26F324BA"/>
    <w:multiLevelType w:val="hybridMultilevel"/>
    <w:lvl w:ilvl="0">
      <w:lvlJc w:val="left"/>
      <w:lvlText w:val="•"/>
      <w:numFmt w:val="bullet"/>
      <w:start w:val="1"/>
    </w:lvl>
  </w:abstractNum>
  <w:abstractNum w:abstractNumId="51">
    <w:nsid w:val="7F01579B"/>
    <w:multiLevelType w:val="hybridMultilevel"/>
    <w:lvl w:ilvl="0">
      <w:lvlJc w:val="left"/>
      <w:lvlText w:val="•"/>
      <w:numFmt w:val="bullet"/>
      <w:start w:val="1"/>
    </w:lvl>
  </w:abstractNum>
  <w:abstractNum w:abstractNumId="52">
    <w:nsid w:val="49DA307D"/>
    <w:multiLevelType w:val="hybridMultilevel"/>
    <w:lvl w:ilvl="0">
      <w:lvlJc w:val="left"/>
      <w:lvlText w:val="(%1)"/>
      <w:numFmt w:val="decimal"/>
      <w:start w:val="1"/>
    </w:lvl>
  </w:abstractNum>
  <w:abstractNum w:abstractNumId="53">
    <w:nsid w:val="7055A5F5"/>
    <w:multiLevelType w:val="hybridMultilevel"/>
    <w:lvl w:ilvl="0">
      <w:lvlJc w:val="left"/>
      <w:lvlText w:val="•"/>
      <w:numFmt w:val="bullet"/>
      <w:start w:val="1"/>
    </w:lvl>
  </w:abstractNum>
  <w:abstractNum w:abstractNumId="54">
    <w:nsid w:val="5FB8370B"/>
    <w:multiLevelType w:val="hybridMultilevel"/>
    <w:lvl w:ilvl="0">
      <w:lvlJc w:val="left"/>
      <w:lvlText w:val="•"/>
      <w:numFmt w:val="bullet"/>
      <w:start w:val="1"/>
    </w:lvl>
  </w:abstractNum>
  <w:abstractNum w:abstractNumId="55">
    <w:nsid w:val="50801EE1"/>
    <w:multiLevelType w:val="hybridMultilevel"/>
    <w:lvl w:ilvl="0">
      <w:lvlJc w:val="left"/>
      <w:lvlText w:val="(%1)"/>
      <w:numFmt w:val="decimal"/>
      <w:start w:val="1"/>
    </w:lvl>
  </w:abstractNum>
  <w:abstractNum w:abstractNumId="56">
    <w:nsid w:val="488AC1A"/>
    <w:multiLevelType w:val="hybridMultilevel"/>
    <w:lvl w:ilvl="0">
      <w:lvlJc w:val="left"/>
      <w:lvlText w:val="(%1)"/>
      <w:numFmt w:val="decimal"/>
      <w:start w:val="5"/>
    </w:lvl>
  </w:abstractNum>
  <w:abstractNum w:abstractNumId="57">
    <w:nsid w:val="5FB8011C"/>
    <w:multiLevelType w:val="hybridMultilevel"/>
    <w:lvl w:ilvl="0">
      <w:lvlJc w:val="left"/>
      <w:lvlText w:val="(%1)"/>
      <w:numFmt w:val="decimal"/>
      <w:start w:val="1"/>
    </w:lvl>
  </w:abstractNum>
  <w:abstractNum w:abstractNumId="58">
    <w:nsid w:val="6AA78F7F"/>
    <w:multiLevelType w:val="hybridMultilevel"/>
    <w:lvl w:ilvl="0">
      <w:lvlJc w:val="left"/>
      <w:lvlText w:val="(%1)"/>
      <w:numFmt w:val="decimal"/>
      <w:start w:val="5"/>
    </w:lvl>
  </w:abstractNum>
  <w:abstractNum w:abstractNumId="59">
    <w:nsid w:val="7672BD23"/>
    <w:multiLevelType w:val="hybridMultilevel"/>
    <w:lvl w:ilvl="0">
      <w:lvlJc w:val="left"/>
      <w:lvlText w:val="(%1)"/>
      <w:numFmt w:val="decimal"/>
      <w:start w:val="1"/>
    </w:lvl>
  </w:abstractNum>
  <w:abstractNum w:abstractNumId="60">
    <w:nsid w:val="6FC75AF8"/>
    <w:multiLevelType w:val="hybridMultilevel"/>
    <w:lvl w:ilvl="0">
      <w:lvlJc w:val="left"/>
      <w:lvlText w:val="(%1)"/>
      <w:numFmt w:val="lowerLetter"/>
      <w:start w:val="1"/>
    </w:lvl>
  </w:abstractNum>
  <w:abstractNum w:abstractNumId="61">
    <w:nsid w:val="6A5F7029"/>
    <w:multiLevelType w:val="hybridMultilevel"/>
    <w:lvl w:ilvl="0">
      <w:lvlJc w:val="left"/>
      <w:lvlText w:val="(%1)"/>
      <w:numFmt w:val="decimal"/>
      <w:start w:val="1"/>
    </w:lvl>
  </w:abstractNum>
  <w:abstractNum w:abstractNumId="62">
    <w:nsid w:val="7D5E18F8"/>
    <w:multiLevelType w:val="hybridMultilevel"/>
    <w:lvl w:ilvl="0">
      <w:lvlJc w:val="left"/>
      <w:lvlText w:val="(%1)"/>
      <w:numFmt w:val="decimal"/>
      <w:start w:val="3"/>
    </w:lvl>
  </w:abstractNum>
  <w:abstractNum w:abstractNumId="63">
    <w:nsid w:val="5F3534A4"/>
    <w:multiLevelType w:val="hybridMultilevel"/>
    <w:lvl w:ilvl="0">
      <w:lvlJc w:val="left"/>
      <w:lvlText w:val="(%1)"/>
      <w:numFmt w:val="decimal"/>
      <w:start w:val="1"/>
    </w:lvl>
  </w:abstractNum>
  <w:abstractNum w:abstractNumId="64">
    <w:nsid w:val="73A1821B"/>
    <w:multiLevelType w:val="hybridMultilevel"/>
    <w:lvl w:ilvl="0">
      <w:lvlJc w:val="left"/>
      <w:lvlText w:val="(%1)"/>
      <w:numFmt w:val="decimal"/>
      <w:start w:val="1"/>
    </w:lvl>
  </w:abstractNum>
  <w:abstractNum w:abstractNumId="65">
    <w:nsid w:val="7DE67713"/>
    <w:multiLevelType w:val="hybridMultilevel"/>
    <w:lvl w:ilvl="0">
      <w:lvlJc w:val="left"/>
      <w:lvlText w:val="(%1)"/>
      <w:numFmt w:val="decimal"/>
      <w:start w:val="1"/>
    </w:lvl>
  </w:abstractNum>
  <w:abstractNum w:abstractNumId="66">
    <w:nsid w:val="555C55B5"/>
    <w:multiLevelType w:val="hybridMultilevel"/>
    <w:lvl w:ilvl="0">
      <w:lvlJc w:val="left"/>
      <w:lvlText w:val="•"/>
      <w:numFmt w:val="bullet"/>
      <w:start w:val="1"/>
    </w:lvl>
  </w:abstractNum>
  <w:abstractNum w:abstractNumId="67">
    <w:nsid w:val="3FA62ACA"/>
    <w:multiLevelType w:val="hybridMultilevel"/>
    <w:lvl w:ilvl="0">
      <w:lvlJc w:val="left"/>
      <w:lvlText w:val="•"/>
      <w:numFmt w:val="bullet"/>
      <w:start w:val="1"/>
    </w:lvl>
  </w:abstractNum>
  <w:abstractNum w:abstractNumId="68">
    <w:nsid w:val="14FCE74E"/>
    <w:multiLevelType w:val="hybridMultilevel"/>
    <w:lvl w:ilvl="0">
      <w:lvlJc w:val="left"/>
      <w:lvlText w:val="•"/>
      <w:numFmt w:val="bullet"/>
      <w:start w:val="1"/>
    </w:lvl>
  </w:abstractNum>
  <w:abstractNum w:abstractNumId="69">
    <w:nsid w:val="6A3DD3E8"/>
    <w:multiLevelType w:val="hybridMultilevel"/>
    <w:lvl w:ilvl="0">
      <w:lvlJc w:val="left"/>
      <w:lvlText w:val="%1)"/>
      <w:numFmt w:val="lowerLetter"/>
      <w:start w:val="1"/>
    </w:lvl>
  </w:abstractNum>
  <w:abstractNum w:abstractNumId="70">
    <w:nsid w:val="71C91298"/>
    <w:multiLevelType w:val="hybridMultilevel"/>
    <w:lvl w:ilvl="0">
      <w:lvlJc w:val="left"/>
      <w:lvlText w:val="%1)"/>
      <w:numFmt w:val="lowerLetter"/>
      <w:start w:val="2"/>
    </w:lvl>
  </w:abstractNum>
  <w:abstractNum w:abstractNumId="71">
    <w:nsid w:val="9DAF632"/>
    <w:multiLevelType w:val="hybridMultilevel"/>
    <w:lvl w:ilvl="0">
      <w:lvlJc w:val="left"/>
      <w:lvlText w:val="%1)"/>
      <w:numFmt w:val="lowerLetter"/>
      <w:start w:val="2"/>
    </w:lvl>
    <w:lvl w:ilvl="1">
      <w:lvlJc w:val="left"/>
      <w:lvlText w:val="•"/>
      <w:numFmt w:val="bullet"/>
      <w:start w:val="1"/>
    </w:lvl>
  </w:abstractNum>
  <w:abstractNum w:abstractNumId="72">
    <w:nsid w:val="53299938"/>
    <w:multiLevelType w:val="hybridMultilevel"/>
    <w:lvl w:ilvl="0">
      <w:lvlJc w:val="left"/>
      <w:lvlText w:val="%1)"/>
      <w:numFmt w:val="lowerLetter"/>
      <w:start w:val="4"/>
    </w:lvl>
  </w:abstractNum>
  <w:abstractNum w:abstractNumId="73">
    <w:nsid w:val="1FBFE8E0"/>
    <w:multiLevelType w:val="hybridMultilevel"/>
    <w:lvl w:ilvl="0">
      <w:lvlJc w:val="left"/>
      <w:lvlText w:val="%1)"/>
      <w:numFmt w:val="lowerLetter"/>
      <w:start w:val="1"/>
    </w:lvl>
  </w:abstractNum>
  <w:abstractNum w:abstractNumId="74">
    <w:nsid w:val="5092CA79"/>
    <w:multiLevelType w:val="hybridMultilevel"/>
    <w:lvl w:ilvl="0">
      <w:lvlJc w:val="left"/>
      <w:lvlText w:val="%1)"/>
      <w:numFmt w:val="lowerLetter"/>
      <w:start w:val="2"/>
    </w:lvl>
  </w:abstractNum>
  <w:abstractNum w:abstractNumId="75">
    <w:nsid w:val="1D545C4D"/>
    <w:multiLevelType w:val="hybridMultilevel"/>
    <w:lvl w:ilvl="0">
      <w:lvlJc w:val="left"/>
      <w:lvlText w:val="%1)"/>
      <w:numFmt w:val="lowerLetter"/>
      <w:start w:val="3"/>
    </w:lvl>
  </w:abstractNum>
  <w:abstractNum w:abstractNumId="76">
    <w:nsid w:val="59ADEA3D"/>
    <w:multiLevelType w:val="hybridMultilevel"/>
    <w:lvl w:ilvl="0">
      <w:lvlJc w:val="left"/>
      <w:lvlText w:val="%1)"/>
      <w:numFmt w:val="lowerLetter"/>
      <w:start w:val="4"/>
    </w:lvl>
  </w:abstractNum>
  <w:abstractNum w:abstractNumId="77">
    <w:nsid w:val="288F1A34"/>
    <w:multiLevelType w:val="hybridMultilevel"/>
    <w:lvl w:ilvl="0">
      <w:lvlJc w:val="left"/>
      <w:lvlText w:val="%1)"/>
      <w:numFmt w:val="lowerLetter"/>
      <w:start w:val="5"/>
    </w:lvl>
  </w:abstractNum>
  <w:abstractNum w:abstractNumId="78">
    <w:nsid w:val="2A155DBC"/>
    <w:multiLevelType w:val="hybridMultilevel"/>
    <w:lvl w:ilvl="0">
      <w:lvlJc w:val="left"/>
      <w:lvlText w:val="%1)"/>
      <w:numFmt w:val="lowerLetter"/>
      <w:start w:val="6"/>
    </w:lvl>
  </w:abstractNum>
  <w:abstractNum w:abstractNumId="79">
    <w:nsid w:val="1D9F6E5F"/>
    <w:multiLevelType w:val="hybridMultilevel"/>
    <w:lvl w:ilvl="0">
      <w:lvlJc w:val="left"/>
      <w:lvlText w:val="•"/>
      <w:numFmt w:val="bullet"/>
      <w:start w:val="1"/>
    </w:lvl>
  </w:abstractNum>
  <w:abstractNum w:abstractNumId="80">
    <w:nsid w:val="97E1B4E"/>
    <w:multiLevelType w:val="hybridMultilevel"/>
    <w:lvl w:ilvl="0">
      <w:lvlJc w:val="left"/>
      <w:lvlText w:val="•"/>
      <w:numFmt w:val="bullet"/>
      <w:start w:val="1"/>
    </w:lvl>
  </w:abstractNum>
  <w:abstractNum w:abstractNumId="81">
    <w:nsid w:val="51088277"/>
    <w:multiLevelType w:val="hybridMultilevel"/>
    <w:lvl w:ilvl="0">
      <w:lvlJc w:val="left"/>
      <w:lvlText w:val="•"/>
      <w:numFmt w:val="bullet"/>
      <w:start w:val="1"/>
    </w:lvl>
  </w:abstractNum>
  <w:abstractNum w:abstractNumId="82">
    <w:nsid w:val="1CA0C5FA"/>
    <w:multiLevelType w:val="hybridMultilevel"/>
    <w:lvl w:ilvl="0">
      <w:lvlJc w:val="left"/>
      <w:lvlText w:val="(%1)"/>
      <w:numFmt w:val="decimal"/>
      <w:start w:val="1"/>
    </w:lvl>
  </w:abstractNum>
  <w:abstractNum w:abstractNumId="83">
    <w:nsid w:val="53584BCB"/>
    <w:multiLevelType w:val="hybridMultilevel"/>
    <w:lvl w:ilvl="0">
      <w:lvlJc w:val="left"/>
      <w:lvlText w:val="(%1)"/>
      <w:numFmt w:val="decimal"/>
      <w:start w:val="4"/>
    </w:lvl>
  </w:abstractNum>
  <w:abstractNum w:abstractNumId="84">
    <w:nsid w:val="415E286C"/>
    <w:multiLevelType w:val="hybridMultilevel"/>
    <w:lvl w:ilvl="0">
      <w:lvlJc w:val="left"/>
      <w:lvlText w:val="(%1)"/>
      <w:numFmt w:val="decimal"/>
      <w:start w:val="1"/>
    </w:lvl>
  </w:abstractNum>
  <w:abstractNum w:abstractNumId="85">
    <w:nsid w:val="7C58FD05"/>
    <w:multiLevelType w:val="hybridMultilevel"/>
    <w:lvl w:ilvl="0">
      <w:lvlJc w:val="left"/>
      <w:lvlText w:val="(%1)"/>
      <w:numFmt w:val="decimal"/>
      <w:start w:val="1"/>
    </w:lvl>
  </w:abstractNum>
  <w:abstractNum w:abstractNumId="86">
    <w:nsid w:val="23D86AAC"/>
    <w:multiLevelType w:val="hybridMultilevel"/>
    <w:lvl w:ilvl="0">
      <w:lvlJc w:val="left"/>
      <w:lvlText w:val="*"/>
      <w:numFmt w:val="bullet"/>
      <w:start w:val="1"/>
    </w:lvl>
  </w:abstractNum>
  <w:abstractNum w:abstractNumId="87">
    <w:nsid w:val="45E6D486"/>
    <w:multiLevelType w:val="hybridMultilevel"/>
    <w:lvl w:ilvl="0">
      <w:lvlJc w:val="left"/>
      <w:lvlText w:val="(%1)"/>
      <w:numFmt w:val="decimal"/>
      <w:start w:val="1"/>
    </w:lvl>
  </w:abstractNum>
  <w:abstractNum w:abstractNumId="88">
    <w:nsid w:val="5C10FE21"/>
    <w:multiLevelType w:val="hybridMultilevel"/>
    <w:lvl w:ilvl="0">
      <w:lvlJc w:val="left"/>
      <w:lvlText w:val="•"/>
      <w:numFmt w:val="bullet"/>
      <w:start w:val="1"/>
    </w:lvl>
  </w:abstractNum>
  <w:abstractNum w:abstractNumId="89">
    <w:nsid w:val="E7FFA2B"/>
    <w:multiLevelType w:val="hybridMultilevel"/>
    <w:lvl w:ilvl="0">
      <w:lvlJc w:val="left"/>
      <w:lvlText w:val="(%1)"/>
      <w:numFmt w:val="decimal"/>
      <w:start w:val="2"/>
    </w:lvl>
  </w:abstractNum>
  <w:abstractNum w:abstractNumId="90">
    <w:nsid w:val="3C5991AA"/>
    <w:multiLevelType w:val="hybridMultilevel"/>
    <w:lvl w:ilvl="0">
      <w:lvlJc w:val="left"/>
      <w:lvlText w:val="="/>
      <w:numFmt w:val="bullet"/>
      <w:start w:val="1"/>
    </w:lvl>
  </w:abstractNum>
  <w:abstractNum w:abstractNumId="91">
    <w:nsid w:val="4BD8591A"/>
    <w:multiLevelType w:val="hybridMultilevel"/>
    <w:lvl w:ilvl="0">
      <w:lvlJc w:val="left"/>
      <w:lvlText w:val="(*)"/>
      <w:numFmt w:val="bullet"/>
      <w:start w:val="1"/>
    </w:lvl>
    <w:lvl w:ilvl="1">
      <w:lvlJc w:val="left"/>
      <w:lvlText w:val="="/>
      <w:numFmt w:val="bullet"/>
      <w:start w:val="1"/>
    </w:lvl>
  </w:abstractNum>
  <w:abstractNum w:abstractNumId="92">
    <w:nsid w:val="78DF6A55"/>
    <w:multiLevelType w:val="hybridMultilevel"/>
    <w:lvl w:ilvl="0">
      <w:lvlJc w:val="left"/>
      <w:lvlText w:val="(%1)"/>
      <w:numFmt w:val="decimal"/>
      <w:start w:val="1"/>
    </w:lvl>
  </w:abstractNum>
  <w:abstractNum w:abstractNumId="93">
    <w:nsid w:val="39B7AAA2"/>
    <w:multiLevelType w:val="hybridMultilevel"/>
    <w:lvl w:ilvl="0">
      <w:lvlJc w:val="left"/>
      <w:lvlText w:val="(%1)"/>
      <w:numFmt w:val="decimal"/>
      <w:start w:val="1"/>
    </w:lvl>
  </w:abstractNum>
  <w:abstractNum w:abstractNumId="94">
    <w:nsid w:val="2B0D8DBE"/>
    <w:multiLevelType w:val="hybridMultilevel"/>
    <w:lvl w:ilvl="0">
      <w:lvlJc w:val="left"/>
      <w:lvlText w:val="•"/>
      <w:numFmt w:val="bullet"/>
      <w:start w:val="1"/>
    </w:lvl>
  </w:abstractNum>
  <w:abstractNum w:abstractNumId="95">
    <w:nsid w:val="6C80EC70"/>
    <w:multiLevelType w:val="hybridMultilevel"/>
    <w:lvl w:ilvl="0">
      <w:lvlJc w:val="left"/>
      <w:lvlText w:val="•"/>
      <w:numFmt w:val="bullet"/>
      <w:start w:val="1"/>
    </w:lvl>
  </w:abstractNum>
  <w:abstractNum w:abstractNumId="96">
    <w:nsid w:val="379E21B5"/>
    <w:multiLevelType w:val="hybridMultilevel"/>
    <w:lvl w:ilvl="0">
      <w:lvlJc w:val="left"/>
      <w:lvlText w:val="•"/>
      <w:numFmt w:val="bullet"/>
      <w:start w:val="1"/>
    </w:lvl>
  </w:abstractNum>
  <w:abstractNum w:abstractNumId="97">
    <w:nsid w:val="69E373"/>
    <w:multiLevelType w:val="hybridMultilevel"/>
    <w:lvl w:ilvl="0">
      <w:lvlJc w:val="left"/>
      <w:lvlText w:val="•"/>
      <w:numFmt w:val="bullet"/>
      <w:start w:val="1"/>
    </w:lvl>
  </w:abstractNum>
  <w:abstractNum w:abstractNumId="98">
    <w:nsid w:val="2C27173B"/>
    <w:multiLevelType w:val="hybridMultilevel"/>
    <w:lvl w:ilvl="0">
      <w:lvlJc w:val="left"/>
      <w:lvlText w:val="•"/>
      <w:numFmt w:val="bullet"/>
      <w:start w:val="1"/>
    </w:lvl>
  </w:abstractNum>
  <w:abstractNum w:abstractNumId="99">
    <w:nsid w:val="4C9B0904"/>
    <w:multiLevelType w:val="hybridMultilevel"/>
    <w:lvl w:ilvl="0">
      <w:lvlJc w:val="left"/>
      <w:lvlText w:val="•"/>
      <w:numFmt w:val="bullet"/>
      <w:start w:val="1"/>
    </w:lvl>
  </w:abstractNum>
  <w:abstractNum w:abstractNumId="100">
    <w:nsid w:val="6AA7B75C"/>
    <w:multiLevelType w:val="hybridMultilevel"/>
    <w:lvl w:ilvl="0">
      <w:lvlJc w:val="left"/>
      <w:lvlText w:val="•"/>
      <w:numFmt w:val="bullet"/>
      <w:start w:val="1"/>
    </w:lvl>
  </w:abstractNum>
  <w:abstractNum w:abstractNumId="101">
    <w:nsid w:val="1DF029D3"/>
    <w:multiLevelType w:val="hybridMultilevel"/>
    <w:lvl w:ilvl="0">
      <w:lvlJc w:val="left"/>
      <w:lvlText w:val="•"/>
      <w:numFmt w:val="bullet"/>
      <w:start w:val="1"/>
    </w:lvl>
  </w:abstractNum>
  <w:abstractNum w:abstractNumId="102">
    <w:nsid w:val="5675FF36"/>
    <w:multiLevelType w:val="hybridMultilevel"/>
    <w:lvl w:ilvl="0">
      <w:lvlJc w:val="left"/>
      <w:lvlText w:val="•"/>
      <w:numFmt w:val="bullet"/>
      <w:start w:val="1"/>
    </w:lvl>
  </w:abstractNum>
  <w:abstractNum w:abstractNumId="103">
    <w:nsid w:val="3DD15094"/>
    <w:multiLevelType w:val="hybridMultilevel"/>
    <w:lvl w:ilvl="0">
      <w:lvlJc w:val="left"/>
      <w:lvlText w:val="•"/>
      <w:numFmt w:val="bullet"/>
      <w:start w:val="1"/>
    </w:lvl>
  </w:abstractNum>
  <w:abstractNum w:abstractNumId="104">
    <w:nsid w:val="3DB012B3"/>
    <w:multiLevelType w:val="hybridMultilevel"/>
    <w:lvl w:ilvl="0">
      <w:lvlJc w:val="left"/>
      <w:lvlText w:val="•"/>
      <w:numFmt w:val="bullet"/>
      <w:start w:val="1"/>
    </w:lvl>
  </w:abstractNum>
  <w:abstractNum w:abstractNumId="105">
    <w:nsid w:val="2708C9AF"/>
    <w:multiLevelType w:val="hybridMultilevel"/>
    <w:lvl w:ilvl="0">
      <w:lvlJc w:val="left"/>
      <w:lvlText w:val="•"/>
      <w:numFmt w:val="bullet"/>
      <w:start w:val="1"/>
    </w:lvl>
  </w:abstractNum>
  <w:abstractNum w:abstractNumId="106">
    <w:nsid w:val="5B25ACE2"/>
    <w:multiLevelType w:val="hybridMultilevel"/>
    <w:lvl w:ilvl="0">
      <w:lvlJc w:val="left"/>
      <w:lvlText w:val="•"/>
      <w:numFmt w:val="bullet"/>
      <w:start w:val="1"/>
    </w:lvl>
  </w:abstractNum>
  <w:abstractNum w:abstractNumId="107">
    <w:nsid w:val="175DFCF0"/>
    <w:multiLevelType w:val="hybridMultilevel"/>
    <w:lvl w:ilvl="0">
      <w:lvlJc w:val="left"/>
      <w:lvlText w:val="•"/>
      <w:numFmt w:val="bullet"/>
      <w:start w:val="1"/>
    </w:lvl>
  </w:abstractNum>
  <w:abstractNum w:abstractNumId="108">
    <w:nsid w:val="4F97E3E4"/>
    <w:multiLevelType w:val="hybridMultilevel"/>
    <w:lvl w:ilvl="0">
      <w:lvlJc w:val="left"/>
      <w:lvlText w:val="•"/>
      <w:numFmt w:val="bullet"/>
      <w:start w:val="1"/>
    </w:lvl>
  </w:abstractNum>
  <w:abstractNum w:abstractNumId="109">
    <w:nsid w:val="53B0A9E"/>
    <w:multiLevelType w:val="hybridMultilevel"/>
    <w:lvl w:ilvl="0">
      <w:lvlJc w:val="left"/>
      <w:lvlText w:val="•"/>
      <w:numFmt w:val="bullet"/>
      <w:start w:val="1"/>
    </w:lvl>
  </w:abstractNum>
  <w:abstractNum w:abstractNumId="110">
    <w:nsid w:val="34FD6B4F"/>
    <w:multiLevelType w:val="hybridMultilevel"/>
    <w:lvl w:ilvl="0">
      <w:lvlJc w:val="left"/>
      <w:lvlText w:val="•"/>
      <w:numFmt w:val="bullet"/>
      <w:start w:val="1"/>
    </w:lvl>
  </w:abstractNum>
  <w:abstractNum w:abstractNumId="111">
    <w:nsid w:val="5915FF32"/>
    <w:multiLevelType w:val="hybridMultilevel"/>
    <w:lvl w:ilvl="0">
      <w:lvlJc w:val="left"/>
      <w:lvlText w:val="•"/>
      <w:numFmt w:val="bullet"/>
      <w:start w:val="1"/>
    </w:lvl>
  </w:abstractNum>
  <w:abstractNum w:abstractNumId="112">
    <w:nsid w:val="56438D15"/>
    <w:multiLevelType w:val="hybridMultilevel"/>
    <w:lvl w:ilvl="0">
      <w:lvlJc w:val="left"/>
      <w:lvlText w:val="•"/>
      <w:numFmt w:val="bullet"/>
      <w:start w:val="1"/>
    </w:lvl>
  </w:abstractNum>
  <w:abstractNum w:abstractNumId="113">
    <w:nsid w:val="519E3149"/>
    <w:multiLevelType w:val="hybridMultilevel"/>
    <w:lvl w:ilvl="0">
      <w:lvlJc w:val="left"/>
      <w:lvlText w:val="•"/>
      <w:numFmt w:val="bullet"/>
      <w:start w:val="1"/>
    </w:lvl>
  </w:abstractNum>
  <w:abstractNum w:abstractNumId="114">
    <w:nsid w:val="2C6E4AFD"/>
    <w:multiLevelType w:val="hybridMultilevel"/>
    <w:lvl w:ilvl="0">
      <w:lvlJc w:val="left"/>
      <w:lvlText w:val="•"/>
      <w:numFmt w:val="bullet"/>
      <w:start w:val="1"/>
    </w:lvl>
  </w:abstractNum>
  <w:abstractNum w:abstractNumId="115">
    <w:nsid w:val="17A1B582"/>
    <w:multiLevelType w:val="hybridMultilevel"/>
    <w:lvl w:ilvl="0">
      <w:lvlJc w:val="left"/>
      <w:lvlText w:val="•"/>
      <w:numFmt w:val="bullet"/>
      <w:start w:val="1"/>
    </w:lvl>
  </w:abstractNum>
  <w:abstractNum w:abstractNumId="116">
    <w:nsid w:val="4DF72E4E"/>
    <w:multiLevelType w:val="hybridMultilevel"/>
    <w:lvl w:ilvl="0">
      <w:lvlJc w:val="left"/>
      <w:lvlText w:val="•"/>
      <w:numFmt w:val="bullet"/>
      <w:start w:val="1"/>
    </w:lvl>
  </w:abstractNum>
  <w:abstractNum w:abstractNumId="117">
    <w:nsid w:val="5046B5A9"/>
    <w:multiLevelType w:val="hybridMultilevel"/>
    <w:lvl w:ilvl="0">
      <w:lvlJc w:val="left"/>
      <w:lvlText w:val="•"/>
      <w:numFmt w:val="bullet"/>
      <w:start w:val="1"/>
    </w:lvl>
  </w:abstractNum>
  <w:abstractNum w:abstractNumId="118">
    <w:nsid w:val="5D888A08"/>
    <w:multiLevelType w:val="hybridMultilevel"/>
    <w:lvl w:ilvl="0">
      <w:lvlJc w:val="left"/>
      <w:lvlText w:val="•"/>
      <w:numFmt w:val="bullet"/>
      <w:start w:val="1"/>
    </w:lvl>
  </w:abstractNum>
  <w:abstractNum w:abstractNumId="119">
    <w:nsid w:val="2A082C70"/>
    <w:multiLevelType w:val="hybridMultilevel"/>
    <w:lvl w:ilvl="0">
      <w:lvlJc w:val="left"/>
      <w:lvlText w:val="•"/>
      <w:numFmt w:val="bullet"/>
      <w:start w:val="1"/>
    </w:lvl>
  </w:abstractNum>
  <w:abstractNum w:abstractNumId="120">
    <w:nsid w:val="5EC6AFD4"/>
    <w:multiLevelType w:val="hybridMultilevel"/>
    <w:lvl w:ilvl="0">
      <w:lvlJc w:val="left"/>
      <w:lvlText w:val="•"/>
      <w:numFmt w:val="bullet"/>
      <w:start w:val="1"/>
    </w:lvl>
  </w:abstractNum>
  <w:abstractNum w:abstractNumId="121">
    <w:nsid w:val="19E21B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2">
    <w:nsid w:val="75E0858A"/>
    <w:multiLevelType w:val="hybridMultilevel"/>
    <w:lvl w:ilvl="0">
      <w:lvlJc w:val="left"/>
      <w:lvlText w:val="(%1)"/>
      <w:numFmt w:val="decimal"/>
      <w:start w:val="3"/>
    </w:lvl>
  </w:abstractNum>
  <w:abstractNum w:abstractNumId="123">
    <w:nsid w:val="57A61A29"/>
    <w:multiLevelType w:val="hybridMultilevel"/>
    <w:lvl w:ilvl="0">
      <w:lvlJc w:val="left"/>
      <w:lvlText w:val="•"/>
      <w:numFmt w:val="bullet"/>
      <w:start w:val="1"/>
    </w:lvl>
  </w:abstractNum>
  <w:abstractNum w:abstractNumId="124">
    <w:nsid w:val="5399C654"/>
    <w:multiLevelType w:val="hybridMultilevel"/>
    <w:lvl w:ilvl="0">
      <w:lvlJc w:val="left"/>
      <w:lvlText w:val="•"/>
      <w:numFmt w:val="bullet"/>
      <w:start w:val="1"/>
    </w:lvl>
  </w:abstractNum>
  <w:abstractNum w:abstractNumId="125">
    <w:nsid w:val="20EE1348"/>
    <w:multiLevelType w:val="hybridMultilevel"/>
    <w:lvl w:ilvl="0">
      <w:lvlJc w:val="left"/>
      <w:lvlText w:val="•"/>
      <w:numFmt w:val="bullet"/>
      <w:start w:val="1"/>
    </w:lvl>
  </w:abstractNum>
  <w:abstractNum w:abstractNumId="126">
    <w:nsid w:val="4427069A"/>
    <w:multiLevelType w:val="hybridMultilevel"/>
    <w:lvl w:ilvl="0">
      <w:lvlJc w:val="left"/>
      <w:lvlText w:val="•"/>
      <w:numFmt w:val="bullet"/>
      <w:start w:val="1"/>
    </w:lvl>
    <w:lvl w:ilvl="1">
      <w:lvlJc w:val="left"/>
      <w:lvlText w:val="%2)"/>
      <w:numFmt w:val="decimal"/>
      <w:start w:val="1"/>
    </w:lvl>
  </w:abstractNum>
  <w:abstractNum w:abstractNumId="127">
    <w:nsid w:val="B37E80A"/>
    <w:multiLevelType w:val="hybridMultilevel"/>
    <w:lvl w:ilvl="0">
      <w:lvlJc w:val="left"/>
      <w:lvlText w:val="•"/>
      <w:numFmt w:val="bullet"/>
      <w:start w:val="1"/>
    </w:lvl>
  </w:abstractNum>
  <w:abstractNum w:abstractNumId="128">
    <w:nsid w:val="2157F6BC"/>
    <w:multiLevelType w:val="hybridMultilevel"/>
    <w:lvl w:ilvl="0">
      <w:lvlJc w:val="left"/>
      <w:lvlText w:val="(%1)"/>
      <w:numFmt w:val="decimal"/>
      <w:start w:val="1"/>
    </w:lvl>
  </w:abstractNum>
  <w:abstractNum w:abstractNumId="129">
    <w:nsid w:val="704E1DD5"/>
    <w:multiLevelType w:val="hybridMultilevel"/>
    <w:lvl w:ilvl="0">
      <w:lvlJc w:val="left"/>
      <w:lvlText w:val="(%1)"/>
      <w:numFmt w:val="decimal"/>
      <w:start w:val="1"/>
    </w:lvl>
  </w:abstractNum>
  <w:abstractNum w:abstractNumId="130">
    <w:nsid w:val="57D2F10E"/>
    <w:multiLevelType w:val="hybridMultilevel"/>
    <w:lvl w:ilvl="0">
      <w:lvlJc w:val="left"/>
      <w:lvlText w:val="(%1)"/>
      <w:numFmt w:val="decimal"/>
      <w:start w:val="1"/>
    </w:lvl>
  </w:abstractNum>
  <w:abstractNum w:abstractNumId="131">
    <w:nsid w:val="BFFAE18"/>
    <w:multiLevelType w:val="hybridMultilevel"/>
    <w:lvl w:ilvl="0">
      <w:lvlJc w:val="left"/>
      <w:lvlText w:val="%1"/>
      <w:numFmt w:val="lowerLetter"/>
      <w:start w:val="1"/>
    </w:lvl>
    <w:lvl w:ilvl="1">
      <w:lvlJc w:val="left"/>
      <w:lvlText w:val="(%2)"/>
      <w:numFmt w:val="decimal"/>
      <w:start w:val="4"/>
    </w:lvl>
  </w:abstractNum>
  <w:abstractNum w:abstractNumId="132">
    <w:nsid w:val="E3E47A8"/>
    <w:multiLevelType w:val="hybridMultilevel"/>
    <w:lvl w:ilvl="0">
      <w:lvlJc w:val="left"/>
      <w:lvlText w:val="(%1)"/>
      <w:numFmt w:val="lowerLetter"/>
      <w:start w:val="2"/>
    </w:lvl>
    <w:lvl w:ilvl="1">
      <w:lvlJc w:val="left"/>
      <w:lvlText w:val="%2"/>
      <w:numFmt w:val="decimal"/>
      <w:start w:val="1"/>
    </w:lvl>
  </w:abstractNum>
  <w:abstractNum w:abstractNumId="133">
    <w:nsid w:val="2E48F044"/>
    <w:multiLevelType w:val="hybridMultilevel"/>
    <w:lvl w:ilvl="0">
      <w:lvlJc w:val="left"/>
      <w:lvlText w:val="(%1)"/>
      <w:numFmt w:val="decimal"/>
      <w:start w:val="1"/>
    </w:lvl>
  </w:abstractNum>
  <w:abstractNum w:abstractNumId="134">
    <w:nsid w:val="49D0FEAC"/>
    <w:multiLevelType w:val="hybridMultilevel"/>
    <w:lvl w:ilvl="0">
      <w:lvlJc w:val="left"/>
      <w:lvlText w:val="*"/>
      <w:numFmt w:val="bullet"/>
      <w:start w:val="1"/>
    </w:lvl>
  </w:abstractNum>
  <w:abstractNum w:abstractNumId="135">
    <w:nsid w:val="4BEE5A5B"/>
    <w:multiLevelType w:val="hybridMultilevel"/>
    <w:lvl w:ilvl="0">
      <w:lvlJc w:val="left"/>
      <w:lvlText w:val="(%1)"/>
      <w:numFmt w:val="decimal"/>
      <w:start w:val="1"/>
    </w:lvl>
  </w:abstractNum>
  <w:abstractNum w:abstractNumId="136">
    <w:nsid w:val="5551B9F3"/>
    <w:multiLevelType w:val="hybridMultilevel"/>
    <w:lvl w:ilvl="0">
      <w:lvlJc w:val="left"/>
      <w:lvlText w:val="(%1)"/>
      <w:numFmt w:val="decimal"/>
      <w:start w:val="1"/>
    </w:lvl>
  </w:abstractNum>
  <w:abstractNum w:abstractNumId="137">
    <w:nsid w:val="24F6A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2019-12-07T15:10:39Z</dcterms:created>
  <dcterms:modified xsi:type="dcterms:W3CDTF">2019-12-07T15:10:39Z</dcterms:modified>
</cp:coreProperties>
</file>