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44"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Credit Suisse</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[x]</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Switzerland</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80" w:type="dxa"/>
            <w:vAlign w:val="bottom"/>
          </w:tcPr>
          <w:p>
            <w:pPr>
              <w:spacing w:after="0"/>
              <w:rPr>
                <w:sz w:val="23"/>
                <w:szCs w:val="23"/>
                <w:color w:val="auto"/>
              </w:rPr>
            </w:pPr>
          </w:p>
        </w:tc>
        <w:tc>
          <w:tcPr>
            <w:tcW w:w="6280" w:type="dxa"/>
            <w:vAlign w:val="bottom"/>
          </w:tcPr>
          <w:p>
            <w:pPr>
              <w:ind w:left="60"/>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62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80" w:type="dxa"/>
            <w:vAlign w:val="bottom"/>
          </w:tcPr>
          <w:p>
            <w:pPr>
              <w:spacing w:after="0"/>
              <w:rPr>
                <w:sz w:val="21"/>
                <w:szCs w:val="21"/>
                <w:color w:val="auto"/>
              </w:rPr>
            </w:pPr>
          </w:p>
        </w:tc>
        <w:tc>
          <w:tcPr>
            <w:tcW w:w="6280" w:type="dxa"/>
            <w:vAlign w:val="bottom"/>
            <w:vMerge w:val="restart"/>
          </w:tcPr>
          <w:p>
            <w:pPr>
              <w:ind w:left="60"/>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1,493,287</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80" w:type="dxa"/>
            <w:vAlign w:val="bottom"/>
          </w:tcPr>
          <w:p>
            <w:pPr>
              <w:spacing w:after="0"/>
              <w:rPr>
                <w:sz w:val="14"/>
                <w:szCs w:val="14"/>
                <w:color w:val="auto"/>
              </w:rPr>
            </w:pPr>
          </w:p>
        </w:tc>
        <w:tc>
          <w:tcPr>
            <w:tcW w:w="628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62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80" w:type="dxa"/>
            <w:vAlign w:val="bottom"/>
            <w:vMerge w:val="restart"/>
          </w:tcPr>
          <w:p>
            <w:pPr>
              <w:ind w:left="60"/>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80" w:type="dxa"/>
            <w:vAlign w:val="bottom"/>
          </w:tcPr>
          <w:p>
            <w:pPr>
              <w:spacing w:after="0"/>
              <w:rPr>
                <w:sz w:val="12"/>
                <w:szCs w:val="12"/>
                <w:color w:val="auto"/>
              </w:rPr>
            </w:pPr>
          </w:p>
        </w:tc>
        <w:tc>
          <w:tcPr>
            <w:tcW w:w="62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80" w:type="dxa"/>
            <w:vAlign w:val="bottom"/>
          </w:tcPr>
          <w:p>
            <w:pPr>
              <w:spacing w:after="0"/>
              <w:rPr>
                <w:sz w:val="23"/>
                <w:szCs w:val="23"/>
                <w:color w:val="auto"/>
              </w:rPr>
            </w:pPr>
          </w:p>
        </w:tc>
        <w:tc>
          <w:tcPr>
            <w:tcW w:w="6280" w:type="dxa"/>
            <w:vAlign w:val="bottom"/>
            <w:vMerge w:val="restart"/>
          </w:tcPr>
          <w:p>
            <w:pPr>
              <w:ind w:left="60"/>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1,493,287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8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1,493,287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22"/>
                <w:szCs w:val="22"/>
                <w:color w:val="auto"/>
              </w:rPr>
              <w:t>[ ]</w:t>
            </w:r>
          </w:p>
        </w:tc>
        <w:tc>
          <w:tcPr>
            <w:tcW w:w="6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22"/>
                <w:szCs w:val="22"/>
                <w:color w:val="auto"/>
                <w:w w:val="95"/>
              </w:rPr>
              <w:t>7.1%</w:t>
            </w:r>
          </w:p>
        </w:tc>
        <w:tc>
          <w:tcPr>
            <w:tcW w:w="6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BK, HC</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8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line="182" w:lineRule="auto"/>
        <w:framePr w:w="680" w:h="193" w:wrap="auto" w:vAnchor="page" w:hAnchor="page" w:x="1660" w:y="9550"/>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49"/>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16"/>
        <w:rPr>
          <w:rFonts w:ascii="Arial" w:cs="Arial" w:eastAsia="Arial" w:hAnsi="Arial"/>
          <w:sz w:val="22"/>
          <w:szCs w:val="22"/>
          <w:color w:val="auto"/>
        </w:rPr>
      </w:pPr>
      <w:r>
        <w:rPr>
          <w:rFonts w:ascii="Arial" w:cs="Arial" w:eastAsia="Arial" w:hAnsi="Arial"/>
          <w:sz w:val="22"/>
          <w:szCs w:val="22"/>
          <w:color w:val="auto"/>
        </w:rPr>
        <w:t>(d)  [ ]</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590 Madison Avenue, 15th Floor, New York, New York 10022 , USA</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8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Credit Suisse. See Schedule I.</w:t>
      </w:r>
    </w:p>
    <w:p>
      <w:pPr>
        <w:spacing w:after="0" w:line="11" w:lineRule="exact"/>
        <w:rPr>
          <w:rFonts w:ascii="Arial" w:cs="Arial" w:eastAsia="Arial" w:hAnsi="Arial"/>
          <w:sz w:val="19"/>
          <w:szCs w:val="19"/>
          <w:b w:val="1"/>
          <w:bCs w:val="1"/>
          <w:color w:val="auto"/>
        </w:rPr>
      </w:pPr>
    </w:p>
    <w:p>
      <w:pPr>
        <w:ind w:left="1780" w:right="370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Uetlibergstrasse 231, P.O. Box 900, CH 8070 Zurich , Switzerland</w:t>
      </w:r>
    </w:p>
    <w:p>
      <w:pPr>
        <w:spacing w:after="0" w:line="11" w:lineRule="exact"/>
        <w:rPr>
          <w:rFonts w:ascii="Arial" w:cs="Arial" w:eastAsia="Arial" w:hAnsi="Arial"/>
          <w:sz w:val="19"/>
          <w:szCs w:val="19"/>
          <w:b w:val="1"/>
          <w:bCs w:val="1"/>
          <w:color w:val="auto"/>
        </w:rPr>
      </w:pPr>
    </w:p>
    <w:p>
      <w:pPr>
        <w:jc w:val="both"/>
        <w:ind w:left="1780" w:right="840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Switzerland</w:t>
      </w:r>
    </w:p>
    <w:p>
      <w:pPr>
        <w:spacing w:after="0" w:line="11" w:lineRule="exact"/>
        <w:rPr>
          <w:rFonts w:ascii="Arial" w:cs="Arial" w:eastAsia="Arial" w:hAnsi="Arial"/>
          <w:sz w:val="19"/>
          <w:szCs w:val="19"/>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Title of Class of Securities</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Common Stock, par value $0.001 per share</w:t>
      </w:r>
    </w:p>
    <w:p>
      <w:pPr>
        <w:spacing w:after="0" w:line="101" w:lineRule="exact"/>
        <w:rPr>
          <w:rFonts w:ascii="Arial" w:cs="Arial" w:eastAsia="Arial" w:hAnsi="Arial"/>
          <w:sz w:val="22"/>
          <w:szCs w:val="22"/>
          <w:b w:val="1"/>
          <w:bCs w:val="1"/>
          <w:color w:val="auto"/>
        </w:rPr>
      </w:pPr>
    </w:p>
    <w:p>
      <w:pPr>
        <w:ind w:left="1780" w:right="79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rFonts w:ascii="Arial" w:cs="Arial" w:eastAsia="Arial" w:hAnsi="Arial"/>
          <w:sz w:val="22"/>
          <w:szCs w:val="22"/>
          <w:color w:val="auto"/>
        </w:rPr>
      </w:pPr>
    </w:p>
    <w:p>
      <w:pPr>
        <w:ind w:left="1380" w:right="16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8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ind w:left="1380" w:right="40"/>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right="6880" w:hanging="407"/>
        <w:spacing w:after="0" w:line="358" w:lineRule="auto"/>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1,493,287</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7.1%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20" w:type="dxa"/>
            <w:vAlign w:val="bottom"/>
          </w:tcPr>
          <w:p>
            <w:pPr>
              <w:ind w:left="144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20" w:type="dxa"/>
            <w:vAlign w:val="bottom"/>
          </w:tcPr>
          <w:p>
            <w:pPr>
              <w:ind w:left="1440"/>
              <w:spacing w:after="0"/>
              <w:rPr>
                <w:sz w:val="20"/>
                <w:szCs w:val="20"/>
                <w:color w:val="auto"/>
              </w:rPr>
            </w:pPr>
            <w:r>
              <w:rPr>
                <w:rFonts w:ascii="Arial" w:cs="Arial" w:eastAsia="Arial" w:hAnsi="Arial"/>
                <w:sz w:val="22"/>
                <w:szCs w:val="22"/>
                <w:color w:val="auto"/>
                <w:w w:val="87"/>
              </w:rPr>
              <w:t>1,493,287</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20" w:type="dxa"/>
            <w:vAlign w:val="bottom"/>
          </w:tcPr>
          <w:p>
            <w:pPr>
              <w:ind w:left="144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20" w:type="dxa"/>
            <w:vAlign w:val="bottom"/>
          </w:tcPr>
          <w:p>
            <w:pPr>
              <w:ind w:left="1440"/>
              <w:spacing w:after="0"/>
              <w:rPr>
                <w:sz w:val="20"/>
                <w:szCs w:val="20"/>
                <w:color w:val="auto"/>
              </w:rPr>
            </w:pPr>
            <w:r>
              <w:rPr>
                <w:rFonts w:ascii="Arial" w:cs="Arial" w:eastAsia="Arial" w:hAnsi="Arial"/>
                <w:sz w:val="22"/>
                <w:szCs w:val="22"/>
                <w:color w:val="auto"/>
                <w:w w:val="87"/>
              </w:rPr>
              <w:t>1,493,287</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4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20"/>
          </w:cols>
          <w:pgMar w:left="320" w:top="409" w:right="359" w:bottom="0" w:gutter="0" w:footer="0" w:header="0"/>
        </w:sectPr>
      </w:pPr>
    </w:p>
    <w:bookmarkStart w:id="3" w:name="page4"/>
    <w:bookmarkEnd w:id="3"/>
    <w:p>
      <w:pPr>
        <w:ind w:left="1380" w:right="100" w:hanging="1363"/>
        <w:spacing w:after="0" w:line="257"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86"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See Schedule I.</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jc w:val="center"/>
        <w:ind w:right="70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2"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875665</wp:posOffset>
            </wp:positionH>
            <wp:positionV relativeFrom="page">
              <wp:posOffset>88900</wp:posOffset>
            </wp:positionV>
            <wp:extent cx="581850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8505" cy="2794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Date: February 14, 2008</w:t>
      </w:r>
    </w:p>
    <w:p>
      <w:pPr>
        <w:spacing w:after="0" w:line="287"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Credit Suisse</w:t>
      </w:r>
    </w:p>
    <w:p>
      <w:pPr>
        <w:spacing w:after="0" w:line="287"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By: /s/ Keith Lurie</w:t>
      </w:r>
    </w:p>
    <w:p>
      <w:pPr>
        <w:spacing w:after="0" w:line="44" w:lineRule="exact"/>
        <w:rPr>
          <w:sz w:val="20"/>
          <w:szCs w:val="20"/>
          <w:color w:val="auto"/>
        </w:rPr>
      </w:pPr>
    </w:p>
    <w:p>
      <w:pPr>
        <w:ind w:left="3340" w:hanging="129"/>
        <w:spacing w:after="0"/>
        <w:tabs>
          <w:tab w:leader="none" w:pos="3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p>
    <w:p>
      <w:pPr>
        <w:spacing w:after="0" w:line="44" w:lineRule="exact"/>
        <w:rPr>
          <w:rFonts w:ascii="Arial" w:cs="Arial" w:eastAsia="Arial" w:hAnsi="Arial"/>
          <w:sz w:val="22"/>
          <w:szCs w:val="22"/>
          <w:color w:val="auto"/>
        </w:rPr>
      </w:pPr>
    </w:p>
    <w:p>
      <w:pPr>
        <w:ind w:left="3220"/>
        <w:spacing w:after="0"/>
        <w:rPr>
          <w:rFonts w:ascii="Arial" w:cs="Arial" w:eastAsia="Arial" w:hAnsi="Arial"/>
          <w:sz w:val="22"/>
          <w:szCs w:val="22"/>
          <w:color w:val="auto"/>
        </w:rPr>
      </w:pPr>
      <w:r>
        <w:rPr>
          <w:rFonts w:ascii="Arial" w:cs="Arial" w:eastAsia="Arial" w:hAnsi="Arial"/>
          <w:sz w:val="22"/>
          <w:szCs w:val="22"/>
          <w:color w:val="auto"/>
        </w:rPr>
        <w:t>Name: Keith Lurie</w:t>
      </w:r>
    </w:p>
    <w:p>
      <w:pPr>
        <w:spacing w:after="0" w:line="44" w:lineRule="exact"/>
        <w:rPr>
          <w:rFonts w:ascii="Arial" w:cs="Arial" w:eastAsia="Arial" w:hAnsi="Arial"/>
          <w:sz w:val="22"/>
          <w:szCs w:val="22"/>
          <w:color w:val="auto"/>
        </w:rPr>
      </w:pPr>
    </w:p>
    <w:p>
      <w:pPr>
        <w:ind w:left="3220"/>
        <w:spacing w:after="0"/>
        <w:rPr>
          <w:rFonts w:ascii="Arial" w:cs="Arial" w:eastAsia="Arial" w:hAnsi="Arial"/>
          <w:sz w:val="22"/>
          <w:szCs w:val="22"/>
          <w:color w:val="auto"/>
        </w:rPr>
      </w:pPr>
      <w:r>
        <w:rPr>
          <w:rFonts w:ascii="Arial" w:cs="Arial" w:eastAsia="Arial" w:hAnsi="Arial"/>
          <w:sz w:val="22"/>
          <w:szCs w:val="22"/>
          <w:color w:val="auto"/>
        </w:rPr>
        <w:t>Title: Director</w:t>
      </w:r>
    </w:p>
    <w:p>
      <w:pPr>
        <w:sectPr>
          <w:pgSz w:w="11900" w:h="16838" w:orient="portrait"/>
          <w:cols w:equalWidth="0" w:num="1">
            <w:col w:w="9019"/>
          </w:cols>
          <w:pgMar w:left="1440" w:top="436"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875665</wp:posOffset>
            </wp:positionH>
            <wp:positionV relativeFrom="page">
              <wp:posOffset>88900</wp:posOffset>
            </wp:positionV>
            <wp:extent cx="581850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8505" cy="27940"/>
                    </a:xfrm>
                    <a:prstGeom prst="rect">
                      <a:avLst/>
                    </a:prstGeom>
                    <a:noFill/>
                  </pic:spPr>
                </pic:pic>
              </a:graphicData>
            </a:graphic>
          </wp:anchor>
        </w:drawing>
        <w:t>Schedule I</w:t>
      </w:r>
    </w:p>
    <w:p>
      <w:pPr>
        <w:spacing w:after="0" w:line="334"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In accordance with Securities and Exchange Commission Release No. 34-39538 (January 12, 1998), this Statement is being filed by Credit Suisse (the "Bank"), a Swiss bank, on behalf of its subsidiaries to the extent that they constitute the Investment Banking division (the "Investment Banking division"), the Alternative Investments business (the "AI Business") within the Asset Management division (the "Asset Management division") and the U.S. private client services business (the "U.S. PCS Business") within the Private Banking division (the "Private Banking division") (the "Reporting Person"). The address of the principal business and office of the Bank is Uetlibergstrasse 231, P.O. Box 900, CH 8070 Zurich , Switzerland . The address of the principal business and office of the Reporting Person in the United States is Eleven Madison Avenue, New York, New York 10010.</w:t>
      </w:r>
    </w:p>
    <w:p>
      <w:pPr>
        <w:spacing w:after="0" w:line="159"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The ultimate parent company of the Bank is Credit Suisse Group ("CSG"), a corporation formed under the laws of Switzerland. CSG is a global financial services company, active in all major financial centers and providing a comprehensive range of banking products. The Bank is comprised of the Investment Banking division, the Asset Management division and the Private Banking division. The Investment Banking division provides financial advisory and capital raising services and sales and trading to institutional, corporate and government clients worldwide. The Asset Management division provides asset management and investment advisory services to institutional, mutual fund and private investors worldwide and offers products across a broad range of investment classes, including alternative investments. The Private Banking division offers global private banking and corporate and retail banking services in Switzerland. The business address of CSG is Paradeplatz 8, P.O. Box 1, CH 8070 Zurich, Switzerland.</w:t>
      </w:r>
    </w:p>
    <w:p>
      <w:pPr>
        <w:spacing w:after="0" w:line="15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CSG, for purposes of the federal securities laws, may be deemed ultimately to control the Bank and the Reporting Person. CSG, its executive officers and directors, and its direct and indirect subsidiaries (including those subsidiaries that constitute the Asset Management division (other than the AI Business) (the "Traditional AM Business") and the Private Banking division (other than the U.S. PCS Business (the "Non-U.S. PB Business")) may beneficially own Shares to which this Statement relates (the "Shares") and such Shares are not reported in this Statement. CSG disclaims beneficial ownership of Shares beneficially owned by its direct and indirect subsidiaries, including the Reporting Person. Each of the Traditional AM Business and the Non-U.S. PB Business disclaims beneficial ownership of Shares beneficially owned by the Reporting Person. The Reporting Person disclaims beneficial ownership of Shares beneficially owned by CSG, the Traditional AM Business and the Non-U.S. PB Business.</w:t>
      </w:r>
    </w:p>
    <w:sectPr>
      <w:pgSz w:w="11900" w:h="16838" w:orient="portrait"/>
      <w:cols w:equalWidth="0" w:num="1">
        <w:col w:w="9020"/>
      </w:cols>
      <w:pgMar w:left="1440" w:top="436"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5"/>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2019-12-15T15:16:12Z</dcterms:created>
  <dcterms:modified xsi:type="dcterms:W3CDTF">2019-12-15T15:16:12Z</dcterms:modified>
</cp:coreProperties>
</file>