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12,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620"/>
        <w:spacing w:after="0" w:line="445" w:lineRule="auto"/>
        <w:rPr>
          <w:sz w:val="20"/>
          <w:szCs w:val="20"/>
          <w:color w:val="auto"/>
        </w:rPr>
      </w:pPr>
      <w:r>
        <w:rPr>
          <w:rFonts w:ascii="Arial" w:cs="Arial" w:eastAsia="Arial" w:hAnsi="Arial"/>
          <w:sz w:val="22"/>
          <w:szCs w:val="22"/>
          <w:color w:val="auto"/>
        </w:rPr>
        <w:t xml:space="preserve">PennantPark Investment Corporation Announces Financial Results for the Quarter Ended December 31, 2007. </w:t>
      </w:r>
      <w:r>
        <w:rPr>
          <w:rFonts w:ascii="Arial" w:cs="Arial" w:eastAsia="Arial" w:hAnsi="Arial"/>
          <w:sz w:val="22"/>
          <w:szCs w:val="22"/>
          <w:b w:val="1"/>
          <w:bCs w:val="1"/>
          <w:color w:val="auto"/>
        </w:rPr>
        <w:t>Item 9.01. Financial Statements and Exhibits</w:t>
      </w:r>
    </w:p>
    <w:p>
      <w:pPr>
        <w:spacing w:after="0" w:line="1"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12,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February 12, 2008</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940" w:type="dxa"/>
            <w:vAlign w:val="bottom"/>
            <w:gridSpan w:val="4"/>
            <w:vMerge w:val="restart"/>
          </w:tcPr>
          <w:p>
            <w:pPr>
              <w:jc w:val="center"/>
              <w:ind w:left="212"/>
              <w:spacing w:after="0"/>
              <w:rPr>
                <w:sz w:val="20"/>
                <w:szCs w:val="20"/>
                <w:color w:val="auto"/>
              </w:rPr>
            </w:pPr>
            <w:r>
              <w:rPr>
                <w:rFonts w:ascii="Arial" w:cs="Arial" w:eastAsia="Arial" w:hAnsi="Arial"/>
                <w:sz w:val="22"/>
                <w:szCs w:val="22"/>
                <w:color w:val="auto"/>
                <w:w w:val="87"/>
              </w:rPr>
              <w:t>February 12, 2008</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line="142"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PennantPark Investment Corporation Announces Financial Results for the Quarter Ended December 31, 2007</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NEW YORK, NY -- 02/12/2008 -- PennantPark Investment Corporation (the "Company") (NASDAQ: PNNT) today announces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financial results for its first fiscal quarter ended December 31, 2007.</w:t>
      </w:r>
    </w:p>
    <w:p>
      <w:pPr>
        <w:spacing w:after="0" w:line="206" w:lineRule="exact"/>
        <w:rPr>
          <w:sz w:val="20"/>
          <w:szCs w:val="20"/>
          <w:color w:val="auto"/>
        </w:rPr>
      </w:pPr>
    </w:p>
    <w:tbl>
      <w:tblPr>
        <w:tblLayout w:type="fixed"/>
        <w:tblInd w:w="1680" w:type="dxa"/>
        <w:tblCellMar>
          <w:top w:w="0" w:type="dxa"/>
          <w:left w:w="0" w:type="dxa"/>
          <w:bottom w:w="0" w:type="dxa"/>
          <w:right w:w="0" w:type="dxa"/>
        </w:tblCellMar>
      </w:tblPr>
      <w:tr>
        <w:trPr>
          <w:trHeight w:val="204"/>
        </w:trPr>
        <w:tc>
          <w:tcPr>
            <w:tcW w:w="646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8"/>
              </w:rPr>
              <w:t>HIGHLIGHTS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646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7"/>
              </w:rPr>
              <w:t>Quarter Ended December 31, 2007</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460" w:type="dxa"/>
            <w:vAlign w:val="bottom"/>
          </w:tcPr>
          <w:p>
            <w:pPr>
              <w:jc w:val="center"/>
              <w:ind w:left="1252"/>
              <w:spacing w:after="0" w:line="203" w:lineRule="exact"/>
              <w:rPr>
                <w:sz w:val="20"/>
                <w:szCs w:val="20"/>
                <w:color w:val="auto"/>
              </w:rPr>
            </w:pPr>
            <w:r>
              <w:rPr>
                <w:rFonts w:ascii="Courier New" w:cs="Courier New" w:eastAsia="Courier New" w:hAnsi="Courier New"/>
                <w:sz w:val="18"/>
                <w:szCs w:val="18"/>
                <w:color w:val="auto"/>
                <w:w w:val="97"/>
              </w:rPr>
              <w:t>($ in millions, except per share amounts)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6460" w:type="dxa"/>
            <w:vAlign w:val="bottom"/>
          </w:tcPr>
          <w:p>
            <w:pPr>
              <w:spacing w:after="0"/>
              <w:rPr>
                <w:sz w:val="20"/>
                <w:szCs w:val="20"/>
                <w:color w:val="auto"/>
              </w:rPr>
            </w:pPr>
            <w:r>
              <w:rPr>
                <w:rFonts w:ascii="Courier New" w:cs="Courier New" w:eastAsia="Courier New" w:hAnsi="Courier New"/>
                <w:sz w:val="18"/>
                <w:szCs w:val="18"/>
                <w:color w:val="auto"/>
              </w:rPr>
              <w:t>Investment portfolio:</w:t>
            </w:r>
          </w:p>
        </w:tc>
        <w:tc>
          <w:tcPr>
            <w:tcW w:w="6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342.2</w:t>
            </w:r>
          </w:p>
        </w:tc>
      </w:tr>
      <w:tr>
        <w:trPr>
          <w:trHeight w:val="203"/>
        </w:trPr>
        <w:tc>
          <w:tcPr>
            <w:tcW w:w="64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w:t>
            </w:r>
          </w:p>
        </w:tc>
      </w:tr>
      <w:tr>
        <w:trPr>
          <w:trHeight w:val="203"/>
        </w:trPr>
        <w:tc>
          <w:tcPr>
            <w:tcW w:w="64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12.07</w:t>
            </w:r>
          </w:p>
        </w:tc>
      </w:tr>
      <w:tr>
        <w:trPr>
          <w:trHeight w:val="405"/>
        </w:trPr>
        <w:tc>
          <w:tcPr>
            <w:tcW w:w="6460" w:type="dxa"/>
            <w:vAlign w:val="bottom"/>
          </w:tcPr>
          <w:p>
            <w:pPr>
              <w:spacing w:after="0"/>
              <w:rPr>
                <w:sz w:val="20"/>
                <w:szCs w:val="20"/>
                <w:color w:val="auto"/>
              </w:rPr>
            </w:pPr>
            <w:r>
              <w:rPr>
                <w:rFonts w:ascii="Courier New" w:cs="Courier New" w:eastAsia="Courier New" w:hAnsi="Courier New"/>
                <w:sz w:val="18"/>
                <w:szCs w:val="18"/>
                <w:color w:val="auto"/>
              </w:rPr>
              <w:t>Amount drawn under credit facility:</w:t>
            </w:r>
          </w:p>
        </w:tc>
        <w:tc>
          <w:tcPr>
            <w:tcW w:w="6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91.5</w:t>
            </w:r>
          </w:p>
        </w:tc>
      </w:tr>
      <w:tr>
        <w:trPr>
          <w:trHeight w:val="405"/>
        </w:trPr>
        <w:tc>
          <w:tcPr>
            <w:tcW w:w="646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Investment portfolio composition and yield:</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714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w w:val="99"/>
              </w:rPr>
              <w:t>Subordinated debt, second lien secured debt, and common</w:t>
            </w:r>
          </w:p>
        </w:tc>
        <w:tc>
          <w:tcPr>
            <w:tcW w:w="720" w:type="dxa"/>
            <w:vAlign w:val="bottom"/>
          </w:tcPr>
          <w:p>
            <w:pPr>
              <w:spacing w:after="0"/>
              <w:rPr>
                <w:sz w:val="17"/>
                <w:szCs w:val="17"/>
                <w:color w:val="auto"/>
              </w:rPr>
            </w:pPr>
          </w:p>
        </w:tc>
      </w:tr>
      <w:tr>
        <w:trPr>
          <w:trHeight w:val="203"/>
        </w:trPr>
        <w:tc>
          <w:tcPr>
            <w:tcW w:w="64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193.4</w:t>
            </w: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First lien secured debt:</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w:t>
            </w:r>
          </w:p>
        </w:tc>
      </w:tr>
      <w:tr>
        <w:trPr>
          <w:trHeight w:val="203"/>
        </w:trPr>
        <w:tc>
          <w:tcPr>
            <w:tcW w:w="64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debt:</w:t>
            </w:r>
          </w:p>
        </w:tc>
        <w:tc>
          <w:tcPr>
            <w:tcW w:w="6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714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Weighted average yield on subordinated and second lien</w:t>
            </w:r>
          </w:p>
        </w:tc>
        <w:tc>
          <w:tcPr>
            <w:tcW w:w="720" w:type="dxa"/>
            <w:vAlign w:val="bottom"/>
          </w:tcPr>
          <w:p>
            <w:pPr>
              <w:spacing w:after="0"/>
              <w:rPr>
                <w:sz w:val="17"/>
                <w:szCs w:val="17"/>
                <w:color w:val="auto"/>
              </w:rPr>
            </w:pPr>
          </w:p>
        </w:tc>
      </w:tr>
      <w:tr>
        <w:trPr>
          <w:trHeight w:val="203"/>
        </w:trPr>
        <w:tc>
          <w:tcPr>
            <w:tcW w:w="64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secured debt:</w:t>
            </w:r>
          </w:p>
        </w:tc>
        <w:tc>
          <w:tcPr>
            <w:tcW w:w="6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w:t>
            </w:r>
          </w:p>
        </w:tc>
      </w:tr>
      <w:tr>
        <w:trPr>
          <w:trHeight w:val="203"/>
        </w:trPr>
        <w:tc>
          <w:tcPr>
            <w:tcW w:w="64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first lien secured debt:</w:t>
            </w:r>
          </w:p>
        </w:tc>
        <w:tc>
          <w:tcPr>
            <w:tcW w:w="6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608"/>
        </w:trPr>
        <w:tc>
          <w:tcPr>
            <w:tcW w:w="646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7"/>
              </w:rPr>
              <w:t>Operating Results:</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to stockholders per share:</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r>
        <w:trPr>
          <w:trHeight w:val="405"/>
        </w:trPr>
        <w:tc>
          <w:tcPr>
            <w:tcW w:w="646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Portfolio Activity:</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long term investments:</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w:t>
            </w: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repayments of long term investments:</w:t>
            </w:r>
          </w:p>
        </w:tc>
        <w:tc>
          <w:tcPr>
            <w:tcW w:w="6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405"/>
        </w:trPr>
        <w:tc>
          <w:tcPr>
            <w:tcW w:w="6460" w:type="dxa"/>
            <w:vAlign w:val="bottom"/>
          </w:tcPr>
          <w:p>
            <w:pPr>
              <w:ind w:left="4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6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6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 portfolio companies at end of period:</w:t>
            </w:r>
          </w:p>
        </w:tc>
        <w:tc>
          <w:tcPr>
            <w:tcW w:w="6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CONFERENCE CALL AT 10:00 A.M. ET ON FEBRAURY 13, 2008</w:t>
      </w:r>
    </w:p>
    <w:p>
      <w:pPr>
        <w:spacing w:after="0" w:line="206" w:lineRule="exact"/>
        <w:rPr>
          <w:sz w:val="20"/>
          <w:szCs w:val="20"/>
          <w:color w:val="auto"/>
        </w:rPr>
      </w:pPr>
    </w:p>
    <w:p>
      <w:pPr>
        <w:jc w:val="center"/>
        <w:spacing w:after="0" w:line="248" w:lineRule="auto"/>
        <w:rPr>
          <w:sz w:val="20"/>
          <w:szCs w:val="20"/>
          <w:color w:val="auto"/>
        </w:rPr>
      </w:pPr>
      <w:r>
        <w:rPr>
          <w:rFonts w:ascii="Arial" w:cs="Arial" w:eastAsia="Arial" w:hAnsi="Arial"/>
          <w:sz w:val="21"/>
          <w:szCs w:val="21"/>
          <w:color w:val="auto"/>
        </w:rPr>
        <w:t>PennantPark Investment Corporation (the "Company") will host a conference call at 10:00 a.m. (Eastern Time) on Wednesday, February 13, 2008 to discuss its first quarter 2008 results. All interested parties are welcome to participate. You can access the conference call by dialing (866) 225-6564 approximately 5-10 minutes prior to the call. International callers should dial (416) 641-6136. All callers should reference "PennantPark Investment Corporation." An archived replay of the call will be available through February 27, 2008 by calling (800) 408-3053. International callers please dial (416) 695-5800. For all replays, please reference conference ID #3250458.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jc w:val="center"/>
        <w:spacing w:after="0" w:line="273" w:lineRule="auto"/>
        <w:rPr>
          <w:sz w:val="20"/>
          <w:szCs w:val="20"/>
          <w:color w:val="auto"/>
        </w:rPr>
      </w:pPr>
      <w:r>
        <w:rPr>
          <w:rFonts w:ascii="Arial" w:cs="Arial" w:eastAsia="Arial" w:hAnsi="Arial"/>
          <w:sz w:val="19"/>
          <w:szCs w:val="19"/>
          <w:color w:val="auto"/>
        </w:rPr>
        <w:t>As of December 31, 2007, our portfolio consisted of $73.3 million of subordinated debt, $113.5 million of second lien secured debt, $6.6 million of equity investments and $148.8 million of senior secured loans. Our core assets, which include subordinated debt, second lien secured debt and equity investments, totaled $193.4 million and consisted of investments in twelve different companies with an average investment size of $16.1 million per company and a weighted average yield of 12.8% on the debt investments. Our senior secured loan portfolio, on December 31, 2007, totaled $148.8 million and consisted of 28 different companies (including two companies also in our core portfolio) with an average investment size of $5.3 million, and a weighted average yield of 7.2%. The overall portfolio had a weighted average yield on debt investments of 10.4%. For the three months ended December 31, 2007, we invested 71.0 million across three new and two existing portfolio companies with an average yield of 12.9% on debt investments. Sales and repayments of long term investments, for the three months ended December 31, 2007, totaled $4.4 million. On December 31, 2007, our portfolio consisted of thirty-eight companies and was invested 21% in subordinated debt, 33% in second lien secured debt, 2% in equity investments and 44% in senior secured loans.</w:t>
      </w:r>
    </w:p>
    <w:p>
      <w:pPr>
        <w:spacing w:after="0" w:line="155" w:lineRule="exact"/>
        <w:rPr>
          <w:sz w:val="20"/>
          <w:szCs w:val="20"/>
          <w:color w:val="auto"/>
        </w:rPr>
      </w:pPr>
    </w:p>
    <w:p>
      <w:pPr>
        <w:jc w:val="center"/>
        <w:spacing w:after="0" w:line="257" w:lineRule="auto"/>
        <w:rPr>
          <w:sz w:val="20"/>
          <w:szCs w:val="20"/>
          <w:color w:val="auto"/>
        </w:rPr>
      </w:pPr>
      <w:r>
        <w:rPr>
          <w:rFonts w:ascii="Arial" w:cs="Arial" w:eastAsia="Arial" w:hAnsi="Arial"/>
          <w:sz w:val="21"/>
          <w:szCs w:val="21"/>
          <w:color w:val="auto"/>
        </w:rPr>
        <w:t>"We have continued to selectively deploy capital on attractive terms in increasingly diversified industries," said Arthur Penn, Chairman and Chief Executive Officer. "Because we have the capital resources to make long term investment decisions based on fundamental value, PennantPark is uniquely positioned to take advantage of the market correction."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Set forth below are the results of operations for the three months ended December 31, 2007.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left="60" w:right="60" w:hanging="20"/>
        <w:spacing w:after="0" w:line="328" w:lineRule="auto"/>
        <w:rPr>
          <w:sz w:val="20"/>
          <w:szCs w:val="20"/>
          <w:color w:val="auto"/>
        </w:rPr>
      </w:pPr>
      <w:r>
        <w:rPr>
          <w:rFonts w:ascii="Arial" w:cs="Arial" w:eastAsia="Arial" w:hAnsi="Arial"/>
          <w:sz w:val="19"/>
          <w:szCs w:val="19"/>
          <w:color w:val="auto"/>
        </w:rPr>
        <w:t>Investment income of $9.0 million, for the three months ended December 31, 2007, was primarily attributable to $4.2 million of interest income from senior secured loan investments, $2.8 million from second lien secured debt investments, and $1.7 million</w:t>
      </w:r>
    </w:p>
    <w:p>
      <w:pPr>
        <w:sectPr>
          <w:pgSz w:w="11900" w:h="16981" w:orient="portrait"/>
          <w:cols w:equalWidth="0" w:num="1">
            <w:col w:w="11180"/>
          </w:cols>
          <w:pgMar w:left="360" w:top="111" w:right="359" w:bottom="0" w:gutter="0" w:footer="0" w:header="0"/>
        </w:sectPr>
      </w:pPr>
    </w:p>
    <w:bookmarkStart w:id="3" w:name="page4"/>
    <w:bookmarkEnd w:id="3"/>
    <w:p>
      <w:pPr>
        <w:jc w:val="center"/>
        <w:spacing w:after="0" w:line="251" w:lineRule="auto"/>
        <w:rPr>
          <w:sz w:val="20"/>
          <w:szCs w:val="20"/>
          <w:color w:val="auto"/>
        </w:rPr>
      </w:pPr>
      <w:r>
        <w:rPr>
          <w:rFonts w:ascii="Arial" w:cs="Arial" w:eastAsia="Arial" w:hAnsi="Arial"/>
          <w:sz w:val="22"/>
          <w:szCs w:val="22"/>
          <w:color w:val="auto"/>
        </w:rPr>
        <w:t>from subordinated debt investments. The remaining income was primarily attributable to interest income from short-term investments and to accretion of discount and amortization of premium.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Net expenses totaled $4.3 million for the three months ended December 31, 2007. Of these totals, approximately $1.1 million was attributable to credit facility related expenses, and $1.3 million to general and administrative expenses. Net base management fee totaled $1.4 million, and performance-based incentive fee totaled approximately $447,000 for the three months ended December 31, 2007.</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9"/>
          <w:szCs w:val="19"/>
          <w:color w:val="auto"/>
        </w:rPr>
        <w:t>Our net investment income totaled $4.7 million or $0.23 cents per share, for the three months ended December 31, 2007.</w:t>
      </w:r>
    </w:p>
    <w:p>
      <w:pPr>
        <w:spacing w:after="0" w:line="24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Sales and paydowns of long-term investments totaled $4.4 million, and net realized losses totaled approximately $211,000 for the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three months ended December 31, 2007.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Unrealized Depreciation on Investments and cash equivalents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 the three months ended December 31, 2007, the Company's investments and cash equivalents had a net increase in</w:t>
      </w:r>
    </w:p>
    <w:p>
      <w:pPr>
        <w:spacing w:after="0" w:line="20" w:lineRule="exact"/>
        <w:rPr>
          <w:sz w:val="20"/>
          <w:szCs w:val="20"/>
          <w:color w:val="auto"/>
        </w:rPr>
      </w:pPr>
    </w:p>
    <w:p>
      <w:pPr>
        <w:jc w:val="both"/>
        <w:ind w:left="200" w:right="160" w:hanging="41"/>
        <w:spacing w:after="0" w:line="308" w:lineRule="auto"/>
        <w:rPr>
          <w:sz w:val="20"/>
          <w:szCs w:val="20"/>
          <w:color w:val="auto"/>
        </w:rPr>
      </w:pPr>
      <w:r>
        <w:rPr>
          <w:rFonts w:ascii="Arial" w:cs="Arial" w:eastAsia="Arial" w:hAnsi="Arial"/>
          <w:sz w:val="19"/>
          <w:szCs w:val="19"/>
          <w:color w:val="auto"/>
        </w:rPr>
        <w:t>depreciation of $16.1 million. On December 31, 2007, net unrealized depreciation on investments and cash equivalents totaled $40.0 million, primarily due to the continued downturn in the leveraged finance credit market during the second half of 2007.</w:t>
      </w:r>
    </w:p>
    <w:p>
      <w:pPr>
        <w:spacing w:after="0" w:line="123"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Net Decrease in Net Assets From Operations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Net decrease in net assets resulting from operations totaled $11.5 million or $0.54 per share for the three months ended December</w:t>
      </w:r>
    </w:p>
    <w:p>
      <w:pPr>
        <w:spacing w:after="0" w:line="43"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31, 2007.</w:t>
      </w:r>
    </w:p>
    <w:p>
      <w:pPr>
        <w:spacing w:after="0" w:line="18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Company's liquidity and capital resources are generated primarily through its senior secured, multi-currency, $300 million,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five-year revolving credit facility maturing in June 2012 as well as from cash flows from operations, investment sales and</w:t>
      </w:r>
    </w:p>
    <w:p>
      <w:pPr>
        <w:spacing w:after="0" w:line="2" w:lineRule="exact"/>
        <w:rPr>
          <w:sz w:val="20"/>
          <w:szCs w:val="20"/>
          <w:color w:val="auto"/>
        </w:rPr>
      </w:pPr>
    </w:p>
    <w:p>
      <w:pPr>
        <w:jc w:val="center"/>
        <w:ind w:left="340"/>
        <w:spacing w:after="0" w:line="243" w:lineRule="auto"/>
        <w:rPr>
          <w:sz w:val="20"/>
          <w:szCs w:val="20"/>
          <w:color w:val="auto"/>
        </w:rPr>
      </w:pPr>
      <w:r>
        <w:rPr>
          <w:rFonts w:ascii="Arial" w:cs="Arial" w:eastAsia="Arial" w:hAnsi="Arial"/>
          <w:sz w:val="21"/>
          <w:szCs w:val="21"/>
          <w:color w:val="auto"/>
        </w:rPr>
        <w:t>prepayments, and income earned from investments and cash equivalents. At December 31, 2007, the Company had $91.5 million in borrowings outstanding. At December 31, 2007, we had $81.8 million in cash equivalents. During the three months ended December 31, 2007, we generated operating cash flows primarily from interest earned on debt investments, and our primary use of funds for operations consisted of investments in portfolio companies, payments of fees and other operating expenses incurred by the Company. Our operating activities resulted in a net use of cash of $253.0 million for the three months ended December 31, 2007, and our financing activities resulted in a net inflow of cash of $76.9 million for the same period, primarily from borrowings under our credit facility.</w:t>
      </w:r>
    </w:p>
    <w:p>
      <w:pPr>
        <w:spacing w:after="0" w:line="18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DIVIDENDS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Dividends paid to stockholders for the three months ended December 31, 2007 totaled $4.6 million, or $0.22 per share. Tax</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characteristics of all dividends will be reported to stockholders on form 1099-DIV after the end of the calendar year.</w:t>
      </w: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Courier New" w:cs="Courier New" w:eastAsia="Courier New" w:hAnsi="Courier New"/>
          <w:sz w:val="18"/>
          <w:szCs w:val="18"/>
          <w:color w:val="auto"/>
        </w:rPr>
        <w:t>PENNANTPARK INVESTMENT CORPORATION</w:t>
      </w:r>
    </w:p>
    <w:p>
      <w:pPr>
        <w:ind w:left="484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4660" w:type="dxa"/>
            <w:vAlign w:val="bottom"/>
          </w:tcPr>
          <w:p>
            <w:pPr>
              <w:spacing w:after="0"/>
              <w:rPr>
                <w:sz w:val="17"/>
                <w:szCs w:val="17"/>
                <w:color w:val="auto"/>
              </w:rPr>
            </w:pPr>
          </w:p>
        </w:tc>
        <w:tc>
          <w:tcPr>
            <w:tcW w:w="314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66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2007</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46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14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2"/>
        </w:trPr>
        <w:tc>
          <w:tcPr>
            <w:tcW w:w="4660" w:type="dxa"/>
            <w:vAlign w:val="bottom"/>
          </w:tcPr>
          <w:p>
            <w:pPr>
              <w:spacing w:after="0"/>
              <w:rPr>
                <w:sz w:val="17"/>
                <w:szCs w:val="17"/>
                <w:color w:val="auto"/>
              </w:rPr>
            </w:pP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660" w:type="dxa"/>
            <w:vAlign w:val="bottom"/>
          </w:tcPr>
          <w:p>
            <w:pPr>
              <w:jc w:val="center"/>
              <w:ind w:left="3052"/>
              <w:spacing w:after="0" w:line="203" w:lineRule="exact"/>
              <w:rPr>
                <w:sz w:val="20"/>
                <w:szCs w:val="20"/>
                <w:color w:val="auto"/>
              </w:rPr>
            </w:pPr>
            <w:r>
              <w:rPr>
                <w:rFonts w:ascii="Courier New" w:cs="Courier New" w:eastAsia="Courier New" w:hAnsi="Courier New"/>
                <w:sz w:val="18"/>
                <w:szCs w:val="18"/>
                <w:color w:val="auto"/>
                <w:w w:val="98"/>
              </w:rPr>
              <w:t>Assets</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400" w:type="dxa"/>
            <w:vAlign w:val="bottom"/>
            <w:gridSpan w:val="2"/>
          </w:tcPr>
          <w:p>
            <w:pPr>
              <w:jc w:val="center"/>
              <w:ind w:left="1332"/>
              <w:spacing w:after="0" w:line="203" w:lineRule="exact"/>
              <w:rPr>
                <w:sz w:val="20"/>
                <w:szCs w:val="20"/>
                <w:color w:val="auto"/>
              </w:rPr>
            </w:pPr>
            <w:r>
              <w:rPr>
                <w:rFonts w:ascii="Courier New" w:cs="Courier New" w:eastAsia="Courier New" w:hAnsi="Courier New"/>
                <w:sz w:val="18"/>
                <w:szCs w:val="18"/>
                <w:color w:val="auto"/>
                <w:w w:val="97"/>
              </w:rPr>
              <w:t>Investments, at fair value</w:t>
            </w:r>
          </w:p>
        </w:tc>
        <w:tc>
          <w:tcPr>
            <w:tcW w:w="1400" w:type="dxa"/>
            <w:vAlign w:val="bottom"/>
          </w:tcPr>
          <w:p>
            <w:pPr>
              <w:spacing w:after="0"/>
              <w:rPr>
                <w:sz w:val="17"/>
                <w:szCs w:val="17"/>
                <w:color w:val="auto"/>
              </w:rPr>
            </w:pPr>
          </w:p>
        </w:tc>
      </w:tr>
      <w:tr>
        <w:trPr>
          <w:trHeight w:val="203"/>
        </w:trPr>
        <w:tc>
          <w:tcPr>
            <w:tcW w:w="64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(cost--$382,162,705 and $314,881,870</w:t>
            </w:r>
          </w:p>
        </w:tc>
        <w:tc>
          <w:tcPr>
            <w:tcW w:w="1400" w:type="dxa"/>
            <w:vAlign w:val="bottom"/>
          </w:tcPr>
          <w:p>
            <w:pPr>
              <w:spacing w:after="0"/>
              <w:rPr>
                <w:sz w:val="17"/>
                <w:szCs w:val="17"/>
                <w:color w:val="auto"/>
              </w:rPr>
            </w:pPr>
          </w:p>
        </w:tc>
      </w:tr>
      <w:tr>
        <w:trPr>
          <w:trHeight w:val="203"/>
        </w:trPr>
        <w:tc>
          <w:tcPr>
            <w:tcW w:w="46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respectively)(1)</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$ 342,190,612</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$ 291,016,608</w:t>
            </w:r>
          </w:p>
        </w:tc>
      </w:tr>
      <w:tr>
        <w:trPr>
          <w:trHeight w:val="203"/>
        </w:trPr>
        <w:tc>
          <w:tcPr>
            <w:tcW w:w="6400" w:type="dxa"/>
            <w:vAlign w:val="bottom"/>
            <w:gridSpan w:val="2"/>
          </w:tcPr>
          <w:p>
            <w:pPr>
              <w:jc w:val="center"/>
              <w:ind w:left="1332"/>
              <w:spacing w:after="0" w:line="203" w:lineRule="exact"/>
              <w:rPr>
                <w:sz w:val="20"/>
                <w:szCs w:val="20"/>
                <w:color w:val="auto"/>
              </w:rPr>
            </w:pPr>
            <w:r>
              <w:rPr>
                <w:rFonts w:ascii="Courier New" w:cs="Courier New" w:eastAsia="Courier New" w:hAnsi="Courier New"/>
                <w:sz w:val="18"/>
                <w:szCs w:val="18"/>
                <w:color w:val="auto"/>
                <w:w w:val="97"/>
              </w:rPr>
              <w:t>Cash equivalents (cost--$81,788,219 and</w:t>
            </w:r>
          </w:p>
        </w:tc>
        <w:tc>
          <w:tcPr>
            <w:tcW w:w="1400" w:type="dxa"/>
            <w:vAlign w:val="bottom"/>
          </w:tcPr>
          <w:p>
            <w:pPr>
              <w:spacing w:after="0"/>
              <w:rPr>
                <w:sz w:val="17"/>
                <w:szCs w:val="17"/>
                <w:color w:val="auto"/>
              </w:rPr>
            </w:pPr>
          </w:p>
        </w:tc>
      </w:tr>
      <w:tr>
        <w:trPr>
          <w:trHeight w:val="203"/>
        </w:trPr>
        <w:tc>
          <w:tcPr>
            <w:tcW w:w="46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$258,016,351 respectively)</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81,780,690</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257,959,635</w:t>
            </w:r>
          </w:p>
        </w:tc>
      </w:tr>
      <w:tr>
        <w:trPr>
          <w:trHeight w:val="202"/>
        </w:trPr>
        <w:tc>
          <w:tcPr>
            <w:tcW w:w="46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4,263,953</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4,517,850</w:t>
            </w:r>
          </w:p>
        </w:tc>
      </w:tr>
      <w:tr>
        <w:trPr>
          <w:trHeight w:val="203"/>
        </w:trPr>
        <w:tc>
          <w:tcPr>
            <w:tcW w:w="46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1,443,726</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1,513,583</w:t>
            </w:r>
          </w:p>
        </w:tc>
      </w:tr>
      <w:tr>
        <w:trPr>
          <w:trHeight w:val="203"/>
        </w:trPr>
        <w:tc>
          <w:tcPr>
            <w:tcW w:w="4660" w:type="dxa"/>
            <w:vAlign w:val="bottom"/>
          </w:tcPr>
          <w:p>
            <w:pPr>
              <w:spacing w:after="0"/>
              <w:rPr>
                <w:sz w:val="17"/>
                <w:szCs w:val="17"/>
                <w:color w:val="auto"/>
              </w:rPr>
            </w:pP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660" w:type="dxa"/>
            <w:vAlign w:val="bottom"/>
          </w:tcPr>
          <w:p>
            <w:pPr>
              <w:ind w:left="320"/>
              <w:spacing w:after="0"/>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92"/>
              <w:spacing w:after="0"/>
              <w:rPr>
                <w:sz w:val="20"/>
                <w:szCs w:val="20"/>
                <w:color w:val="auto"/>
              </w:rPr>
            </w:pPr>
            <w:r>
              <w:rPr>
                <w:rFonts w:ascii="Courier New" w:cs="Courier New" w:eastAsia="Courier New" w:hAnsi="Courier New"/>
                <w:sz w:val="18"/>
                <w:szCs w:val="18"/>
                <w:color w:val="auto"/>
              </w:rPr>
              <w:t>429,678,981</w:t>
            </w:r>
          </w:p>
        </w:tc>
        <w:tc>
          <w:tcPr>
            <w:tcW w:w="1400" w:type="dxa"/>
            <w:vAlign w:val="bottom"/>
          </w:tcPr>
          <w:p>
            <w:pPr>
              <w:jc w:val="right"/>
              <w:spacing w:after="0"/>
              <w:rPr>
                <w:sz w:val="20"/>
                <w:szCs w:val="20"/>
                <w:color w:val="auto"/>
              </w:rPr>
            </w:pPr>
            <w:r>
              <w:rPr>
                <w:rFonts w:ascii="Courier New" w:cs="Courier New" w:eastAsia="Courier New" w:hAnsi="Courier New"/>
                <w:sz w:val="18"/>
                <w:szCs w:val="18"/>
                <w:color w:val="auto"/>
              </w:rPr>
              <w:t>555,007,676</w:t>
            </w:r>
          </w:p>
        </w:tc>
      </w:tr>
      <w:tr>
        <w:trPr>
          <w:trHeight w:val="203"/>
        </w:trPr>
        <w:tc>
          <w:tcPr>
            <w:tcW w:w="4660" w:type="dxa"/>
            <w:vAlign w:val="bottom"/>
          </w:tcPr>
          <w:p>
            <w:pPr>
              <w:spacing w:after="0"/>
              <w:rPr>
                <w:sz w:val="17"/>
                <w:szCs w:val="17"/>
                <w:color w:val="auto"/>
              </w:rPr>
            </w:pP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660" w:type="dxa"/>
            <w:vAlign w:val="bottom"/>
          </w:tcPr>
          <w:p>
            <w:pPr>
              <w:jc w:val="center"/>
              <w:ind w:left="3052"/>
              <w:spacing w:after="0"/>
              <w:rPr>
                <w:sz w:val="20"/>
                <w:szCs w:val="20"/>
                <w:color w:val="auto"/>
              </w:rPr>
            </w:pPr>
            <w:r>
              <w:rPr>
                <w:rFonts w:ascii="Courier New" w:cs="Courier New" w:eastAsia="Courier New" w:hAnsi="Courier New"/>
                <w:sz w:val="18"/>
                <w:szCs w:val="18"/>
                <w:color w:val="auto"/>
                <w:w w:val="97"/>
              </w:rPr>
              <w:t>Liabilities</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2"/>
        </w:trPr>
        <w:tc>
          <w:tcPr>
            <w:tcW w:w="46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cash equivalents purchased</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79,406,889</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252,759,931</w:t>
            </w:r>
          </w:p>
        </w:tc>
      </w:tr>
      <w:tr>
        <w:trPr>
          <w:trHeight w:val="203"/>
        </w:trPr>
        <w:tc>
          <w:tcPr>
            <w:tcW w:w="46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16,583,921</w:t>
            </w:r>
          </w:p>
        </w:tc>
      </w:tr>
      <w:tr>
        <w:trPr>
          <w:trHeight w:val="202"/>
        </w:trPr>
        <w:tc>
          <w:tcPr>
            <w:tcW w:w="466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3,091,264</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3,989,948</w:t>
            </w:r>
          </w:p>
        </w:tc>
      </w:tr>
      <w:tr>
        <w:trPr>
          <w:trHeight w:val="202"/>
        </w:trPr>
        <w:tc>
          <w:tcPr>
            <w:tcW w:w="46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w:t>
            </w:r>
          </w:p>
        </w:tc>
        <w:tc>
          <w:tcPr>
            <w:tcW w:w="174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91,500,000</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bl>
    <w:p>
      <w:pPr>
        <w:sectPr>
          <w:pgSz w:w="11900" w:h="16838" w:orient="portrait"/>
          <w:cols w:equalWidth="0" w:num="1">
            <w:col w:w="11240"/>
          </w:cols>
          <w:pgMar w:left="320" w:top="118" w:right="339" w:bottom="0" w:gutter="0" w:footer="0" w:header="0"/>
        </w:sectPr>
      </w:pPr>
    </w:p>
    <w:bookmarkStart w:id="4" w:name="page5"/>
    <w:bookmarkEnd w:id="4"/>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Interest payable</w:t>
            </w:r>
          </w:p>
        </w:tc>
        <w:tc>
          <w:tcPr>
            <w:tcW w:w="340" w:type="dxa"/>
            <w:vAlign w:val="bottom"/>
          </w:tcPr>
          <w:p>
            <w:pPr>
              <w:spacing w:after="0"/>
              <w:rPr>
                <w:sz w:val="17"/>
                <w:szCs w:val="17"/>
                <w:color w:val="auto"/>
              </w:rPr>
            </w:pP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769,889</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170,989</w:t>
            </w:r>
          </w:p>
        </w:tc>
      </w:tr>
      <w:tr>
        <w:trPr>
          <w:trHeight w:val="203"/>
        </w:trPr>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4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689,631</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1,109,793</w:t>
            </w:r>
          </w:p>
        </w:tc>
      </w:tr>
      <w:tr>
        <w:trPr>
          <w:trHeight w:val="203"/>
        </w:trPr>
        <w:tc>
          <w:tcPr>
            <w:tcW w:w="4680" w:type="dxa"/>
            <w:vAlign w:val="bottom"/>
          </w:tcPr>
          <w:p>
            <w:pPr>
              <w:spacing w:after="0"/>
              <w:rPr>
                <w:sz w:val="17"/>
                <w:szCs w:val="17"/>
                <w:color w:val="auto"/>
              </w:rPr>
            </w:pPr>
          </w:p>
        </w:tc>
        <w:tc>
          <w:tcPr>
            <w:tcW w:w="17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80" w:type="dxa"/>
            <w:vAlign w:val="bottom"/>
          </w:tcPr>
          <w:p>
            <w:pPr>
              <w:ind w:left="360"/>
              <w:spacing w:after="0"/>
              <w:rPr>
                <w:sz w:val="20"/>
                <w:szCs w:val="20"/>
                <w:color w:val="auto"/>
              </w:rPr>
            </w:pPr>
            <w:r>
              <w:rPr>
                <w:rFonts w:ascii="Courier New" w:cs="Courier New" w:eastAsia="Courier New" w:hAnsi="Courier New"/>
                <w:sz w:val="18"/>
                <w:szCs w:val="18"/>
                <w:color w:val="auto"/>
              </w:rPr>
              <w:t>Total liabilities</w:t>
            </w:r>
          </w:p>
        </w:tc>
        <w:tc>
          <w:tcPr>
            <w:tcW w:w="34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175,457,673</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284,614,582</w:t>
            </w:r>
          </w:p>
        </w:tc>
      </w:tr>
      <w:tr>
        <w:trPr>
          <w:trHeight w:val="203"/>
        </w:trPr>
        <w:tc>
          <w:tcPr>
            <w:tcW w:w="4680" w:type="dxa"/>
            <w:vAlign w:val="bottom"/>
          </w:tcPr>
          <w:p>
            <w:pPr>
              <w:spacing w:after="0"/>
              <w:rPr>
                <w:sz w:val="17"/>
                <w:szCs w:val="17"/>
                <w:color w:val="auto"/>
              </w:rPr>
            </w:pPr>
          </w:p>
        </w:tc>
        <w:tc>
          <w:tcPr>
            <w:tcW w:w="17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80" w:type="dxa"/>
            <w:vAlign w:val="bottom"/>
          </w:tcPr>
          <w:p>
            <w:pPr>
              <w:jc w:val="center"/>
              <w:ind w:left="3132"/>
              <w:spacing w:after="0"/>
              <w:rPr>
                <w:sz w:val="20"/>
                <w:szCs w:val="20"/>
                <w:color w:val="auto"/>
              </w:rPr>
            </w:pPr>
            <w:r>
              <w:rPr>
                <w:rFonts w:ascii="Courier New" w:cs="Courier New" w:eastAsia="Courier New" w:hAnsi="Courier New"/>
                <w:sz w:val="18"/>
                <w:szCs w:val="18"/>
                <w:color w:val="auto"/>
                <w:w w:val="98"/>
              </w:rPr>
              <w:t>Net Assets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Common stock, par value $.001 per share,</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4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100,000,000 shares authorized and 21,068,772</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34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21,069</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34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294,586,604</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294,586,604</w:t>
            </w: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Distributions in excess of net investment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(100,020)</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(196,769)</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(306,723)</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(95,832)</w:t>
            </w:r>
          </w:p>
        </w:tc>
      </w:tr>
      <w:tr>
        <w:trPr>
          <w:trHeight w:val="203"/>
        </w:trPr>
        <w:tc>
          <w:tcPr>
            <w:tcW w:w="6400" w:type="dxa"/>
            <w:vAlign w:val="bottom"/>
            <w:gridSpan w:val="3"/>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Net unrealized depreciation on investments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(39,979,622)</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(23,921,978)</w:t>
            </w:r>
          </w:p>
        </w:tc>
      </w:tr>
      <w:tr>
        <w:trPr>
          <w:trHeight w:val="203"/>
        </w:trPr>
        <w:tc>
          <w:tcPr>
            <w:tcW w:w="4680" w:type="dxa"/>
            <w:vAlign w:val="bottom"/>
          </w:tcPr>
          <w:p>
            <w:pPr>
              <w:spacing w:after="0"/>
              <w:rPr>
                <w:sz w:val="17"/>
                <w:szCs w:val="17"/>
                <w:color w:val="auto"/>
              </w:rPr>
            </w:pPr>
          </w:p>
        </w:tc>
        <w:tc>
          <w:tcPr>
            <w:tcW w:w="17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80" w:type="dxa"/>
            <w:vAlign w:val="bottom"/>
          </w:tcPr>
          <w:p>
            <w:pPr>
              <w:ind w:left="360"/>
              <w:spacing w:after="0"/>
              <w:rPr>
                <w:sz w:val="20"/>
                <w:szCs w:val="20"/>
                <w:color w:val="auto"/>
              </w:rPr>
            </w:pPr>
            <w:r>
              <w:rPr>
                <w:rFonts w:ascii="Courier New" w:cs="Courier New" w:eastAsia="Courier New" w:hAnsi="Courier New"/>
                <w:sz w:val="18"/>
                <w:szCs w:val="18"/>
                <w:color w:val="auto"/>
              </w:rPr>
              <w:t>Total net assets</w:t>
            </w:r>
          </w:p>
        </w:tc>
        <w:tc>
          <w:tcPr>
            <w:tcW w:w="172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$ 254,221,308</w:t>
            </w:r>
          </w:p>
        </w:tc>
        <w:tc>
          <w:tcPr>
            <w:tcW w:w="15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$ 270,393,094</w:t>
            </w:r>
          </w:p>
        </w:tc>
      </w:tr>
      <w:tr>
        <w:trPr>
          <w:trHeight w:val="203"/>
        </w:trPr>
        <w:tc>
          <w:tcPr>
            <w:tcW w:w="4680" w:type="dxa"/>
            <w:vAlign w:val="bottom"/>
          </w:tcPr>
          <w:p>
            <w:pPr>
              <w:spacing w:after="0"/>
              <w:rPr>
                <w:sz w:val="17"/>
                <w:szCs w:val="17"/>
                <w:color w:val="auto"/>
              </w:rPr>
            </w:pPr>
          </w:p>
        </w:tc>
        <w:tc>
          <w:tcPr>
            <w:tcW w:w="17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80" w:type="dxa"/>
            <w:vAlign w:val="bottom"/>
          </w:tcPr>
          <w:p>
            <w:pPr>
              <w:ind w:left="360"/>
              <w:spacing w:after="0"/>
              <w:rPr>
                <w:sz w:val="20"/>
                <w:szCs w:val="20"/>
                <w:color w:val="auto"/>
              </w:rPr>
            </w:pPr>
            <w:r>
              <w:rPr>
                <w:rFonts w:ascii="Courier New" w:cs="Courier New" w:eastAsia="Courier New" w:hAnsi="Courier New"/>
                <w:sz w:val="18"/>
                <w:szCs w:val="18"/>
                <w:color w:val="auto"/>
              </w:rPr>
              <w:t>Total liabilities and net assets</w:t>
            </w:r>
          </w:p>
        </w:tc>
        <w:tc>
          <w:tcPr>
            <w:tcW w:w="172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$ 429,678,981</w:t>
            </w:r>
          </w:p>
        </w:tc>
        <w:tc>
          <w:tcPr>
            <w:tcW w:w="15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$ 555,007,676</w:t>
            </w:r>
          </w:p>
        </w:tc>
      </w:tr>
      <w:tr>
        <w:trPr>
          <w:trHeight w:val="203"/>
        </w:trPr>
        <w:tc>
          <w:tcPr>
            <w:tcW w:w="4680" w:type="dxa"/>
            <w:vAlign w:val="bottom"/>
          </w:tcPr>
          <w:p>
            <w:pPr>
              <w:spacing w:after="0"/>
              <w:rPr>
                <w:sz w:val="17"/>
                <w:szCs w:val="17"/>
                <w:color w:val="auto"/>
              </w:rPr>
            </w:pPr>
          </w:p>
        </w:tc>
        <w:tc>
          <w:tcPr>
            <w:tcW w:w="17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Net asset value per share</w:t>
            </w:r>
          </w:p>
        </w:tc>
        <w:tc>
          <w:tcPr>
            <w:tcW w:w="3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12.07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12.83</w:t>
            </w:r>
          </w:p>
        </w:tc>
      </w:tr>
      <w:tr>
        <w:trPr>
          <w:trHeight w:val="203"/>
        </w:trPr>
        <w:tc>
          <w:tcPr>
            <w:tcW w:w="4680" w:type="dxa"/>
            <w:vAlign w:val="bottom"/>
          </w:tcPr>
          <w:p>
            <w:pPr>
              <w:spacing w:after="0"/>
              <w:rPr>
                <w:sz w:val="17"/>
                <w:szCs w:val="17"/>
                <w:color w:val="auto"/>
              </w:rPr>
            </w:pPr>
          </w:p>
        </w:tc>
        <w:tc>
          <w:tcPr>
            <w:tcW w:w="17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center"/>
        <w:ind w:left="980" w:right="559" w:hanging="320"/>
        <w:spacing w:after="0" w:line="268" w:lineRule="auto"/>
        <w:tabs>
          <w:tab w:leader="none" w:pos="10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our portfolio companies is controlled by, or affiliated with, PennantPark Investment Corporation as defined by the Investment Company</w:t>
      </w:r>
    </w:p>
    <w:p>
      <w:pPr>
        <w:ind w:left="2560"/>
        <w:spacing w:after="0" w:line="233" w:lineRule="auto"/>
        <w:rPr>
          <w:sz w:val="20"/>
          <w:szCs w:val="20"/>
          <w:color w:val="auto"/>
        </w:rPr>
      </w:pPr>
      <w:r>
        <w:rPr>
          <w:rFonts w:ascii="Courier New" w:cs="Courier New" w:eastAsia="Courier New" w:hAnsi="Courier New"/>
          <w:sz w:val="18"/>
          <w:szCs w:val="18"/>
          <w:color w:val="auto"/>
        </w:rPr>
        <w:t>Act of 1940, as amended (the "1940 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PENNANTPARK INVESTMENT CORPORATION</w:t>
      </w:r>
    </w:p>
    <w:p>
      <w:pPr>
        <w:ind w:left="4660"/>
        <w:spacing w:after="0" w:line="238" w:lineRule="auto"/>
        <w:rPr>
          <w:sz w:val="20"/>
          <w:szCs w:val="20"/>
          <w:color w:val="auto"/>
        </w:rPr>
      </w:pPr>
      <w:r>
        <w:rPr>
          <w:rFonts w:ascii="Courier New" w:cs="Courier New" w:eastAsia="Courier New" w:hAnsi="Courier New"/>
          <w:sz w:val="18"/>
          <w:szCs w:val="18"/>
          <w:color w:val="auto"/>
        </w:rPr>
        <w:t>STATEMENT OF OPERATIONS</w:t>
      </w:r>
    </w:p>
    <w:tbl>
      <w:tblPr>
        <w:tblLayout w:type="fixed"/>
        <w:tblInd w:w="1340" w:type="dxa"/>
        <w:tblCellMar>
          <w:top w:w="0" w:type="dxa"/>
          <w:left w:w="0" w:type="dxa"/>
          <w:bottom w:w="0" w:type="dxa"/>
          <w:right w:w="0" w:type="dxa"/>
        </w:tblCellMar>
      </w:tblPr>
      <w:tr>
        <w:trPr>
          <w:trHeight w:val="203"/>
        </w:trPr>
        <w:tc>
          <w:tcPr>
            <w:tcW w:w="5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1060" w:type="dxa"/>
            <w:vAlign w:val="bottom"/>
          </w:tcPr>
          <w:p>
            <w:pPr>
              <w:spacing w:after="0"/>
              <w:rPr>
                <w:sz w:val="17"/>
                <w:szCs w:val="17"/>
                <w:color w:val="auto"/>
              </w:rPr>
            </w:pPr>
          </w:p>
        </w:tc>
      </w:tr>
      <w:tr>
        <w:trPr>
          <w:trHeight w:val="608"/>
        </w:trPr>
        <w:tc>
          <w:tcPr>
            <w:tcW w:w="4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Three</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months ended</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 2007</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40" w:type="dxa"/>
            <w:vAlign w:val="bottom"/>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Investment Income:</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8,983,636</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19,972</w:t>
            </w:r>
          </w:p>
        </w:tc>
      </w:tr>
      <w:tr>
        <w:trPr>
          <w:trHeight w:val="202"/>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ind w:left="260"/>
              <w:spacing w:after="0"/>
              <w:rPr>
                <w:sz w:val="20"/>
                <w:szCs w:val="20"/>
                <w:color w:val="auto"/>
              </w:rPr>
            </w:pPr>
            <w:r>
              <w:rPr>
                <w:rFonts w:ascii="Courier New" w:cs="Courier New" w:eastAsia="Courier New" w:hAnsi="Courier New"/>
                <w:sz w:val="18"/>
                <w:szCs w:val="18"/>
                <w:color w:val="auto"/>
              </w:rPr>
              <w:t>Total Investment income</w:t>
            </w:r>
          </w:p>
        </w:tc>
        <w:tc>
          <w:tcPr>
            <w:tcW w:w="8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9,003,608</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jc w:val="center"/>
              <w:ind w:left="1412"/>
              <w:spacing w:after="0"/>
              <w:rPr>
                <w:sz w:val="20"/>
                <w:szCs w:val="20"/>
                <w:color w:val="auto"/>
              </w:rPr>
            </w:pPr>
            <w:r>
              <w:rPr>
                <w:rFonts w:ascii="Courier New" w:cs="Courier New" w:eastAsia="Courier New" w:hAnsi="Courier New"/>
                <w:sz w:val="18"/>
                <w:szCs w:val="18"/>
                <w:color w:val="auto"/>
                <w:w w:val="96"/>
              </w:rPr>
              <w:t>Expenses: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1,640,365</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447,382</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and other credit facility expenses</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1,097,107</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663,690</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Professional fees</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294,840</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Directors’ fees</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155,758</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Insurance</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90,790</w:t>
            </w:r>
          </w:p>
        </w:tc>
      </w:tr>
      <w:tr>
        <w:trPr>
          <w:trHeight w:val="203"/>
        </w:trPr>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8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86,844</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ind w:left="380"/>
              <w:spacing w:after="0"/>
              <w:rPr>
                <w:sz w:val="20"/>
                <w:szCs w:val="20"/>
                <w:color w:val="auto"/>
              </w:rPr>
            </w:pPr>
            <w:r>
              <w:rPr>
                <w:rFonts w:ascii="Courier New" w:cs="Courier New" w:eastAsia="Courier New" w:hAnsi="Courier New"/>
                <w:sz w:val="18"/>
                <w:szCs w:val="18"/>
                <w:color w:val="auto"/>
                <w:w w:val="97"/>
              </w:rPr>
              <w:t>Expenses before base management fee waiver</w:t>
            </w:r>
          </w:p>
        </w:tc>
        <w:tc>
          <w:tcPr>
            <w:tcW w:w="8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4,476,776</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spacing w:after="0"/>
              <w:rPr>
                <w:sz w:val="20"/>
                <w:szCs w:val="20"/>
                <w:color w:val="auto"/>
              </w:rPr>
            </w:pPr>
            <w:r>
              <w:rPr>
                <w:rFonts w:ascii="Courier New" w:cs="Courier New" w:eastAsia="Courier New" w:hAnsi="Courier New"/>
                <w:sz w:val="18"/>
                <w:szCs w:val="18"/>
                <w:color w:val="auto"/>
              </w:rPr>
              <w:t>Base management fee waiver</w:t>
            </w: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(205,047)</w:t>
            </w:r>
          </w:p>
        </w:tc>
      </w:tr>
      <w:tr>
        <w:trPr>
          <w:trHeight w:val="202"/>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ind w:left="380"/>
              <w:spacing w:after="0"/>
              <w:rPr>
                <w:sz w:val="20"/>
                <w:szCs w:val="20"/>
                <w:color w:val="auto"/>
              </w:rPr>
            </w:pPr>
            <w:r>
              <w:rPr>
                <w:rFonts w:ascii="Courier New" w:cs="Courier New" w:eastAsia="Courier New" w:hAnsi="Courier New"/>
                <w:sz w:val="18"/>
                <w:szCs w:val="18"/>
                <w:color w:val="auto"/>
              </w:rPr>
              <w:t>Net expenses</w:t>
            </w:r>
          </w:p>
        </w:tc>
        <w:tc>
          <w:tcPr>
            <w:tcW w:w="8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4,271,729</w:t>
            </w:r>
          </w:p>
        </w:tc>
      </w:tr>
      <w:tr>
        <w:trPr>
          <w:trHeight w:val="202"/>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ind w:left="380"/>
              <w:spacing w:after="0"/>
              <w:rPr>
                <w:sz w:val="20"/>
                <w:szCs w:val="20"/>
                <w:color w:val="auto"/>
              </w:rPr>
            </w:pPr>
            <w:r>
              <w:rPr>
                <w:rFonts w:ascii="Courier New" w:cs="Courier New" w:eastAsia="Courier New" w:hAnsi="Courier New"/>
                <w:sz w:val="18"/>
                <w:szCs w:val="18"/>
                <w:color w:val="auto"/>
              </w:rPr>
              <w:t>Net investment income</w:t>
            </w:r>
          </w:p>
        </w:tc>
        <w:tc>
          <w:tcPr>
            <w:tcW w:w="8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4,731,879</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gridSpan w:val="2"/>
          </w:tcPr>
          <w:p>
            <w:pPr>
              <w:jc w:val="center"/>
              <w:ind w:left="592"/>
              <w:spacing w:after="0"/>
              <w:rPr>
                <w:sz w:val="20"/>
                <w:szCs w:val="20"/>
                <w:color w:val="auto"/>
              </w:rPr>
            </w:pPr>
            <w:r>
              <w:rPr>
                <w:rFonts w:ascii="Courier New" w:cs="Courier New" w:eastAsia="Courier New" w:hAnsi="Courier New"/>
                <w:sz w:val="18"/>
                <w:szCs w:val="18"/>
                <w:color w:val="auto"/>
                <w:w w:val="97"/>
              </w:rPr>
              <w:t>Realized and unrealized loss on investments and</w:t>
            </w:r>
          </w:p>
        </w:tc>
        <w:tc>
          <w:tcPr>
            <w:tcW w:w="1060" w:type="dxa"/>
            <w:vAlign w:val="bottom"/>
          </w:tcPr>
          <w:p>
            <w:pPr>
              <w:spacing w:after="0"/>
              <w:rPr>
                <w:sz w:val="24"/>
                <w:szCs w:val="24"/>
                <w:color w:val="auto"/>
              </w:rPr>
            </w:pPr>
          </w:p>
        </w:tc>
      </w:tr>
      <w:tr>
        <w:trPr>
          <w:trHeight w:val="203"/>
        </w:trPr>
        <w:tc>
          <w:tcPr>
            <w:tcW w:w="484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56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Net realized loss on investments and cash</w:t>
            </w:r>
          </w:p>
        </w:tc>
        <w:tc>
          <w:tcPr>
            <w:tcW w:w="1060" w:type="dxa"/>
            <w:vAlign w:val="bottom"/>
          </w:tcPr>
          <w:p>
            <w:pPr>
              <w:spacing w:after="0"/>
              <w:rPr>
                <w:sz w:val="17"/>
                <w:szCs w:val="17"/>
                <w:color w:val="auto"/>
              </w:rPr>
            </w:pPr>
          </w:p>
        </w:tc>
      </w:tr>
      <w:tr>
        <w:trPr>
          <w:trHeight w:val="203"/>
        </w:trPr>
        <w:tc>
          <w:tcPr>
            <w:tcW w:w="4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equivalents</w:t>
            </w:r>
          </w:p>
        </w:tc>
        <w:tc>
          <w:tcPr>
            <w:tcW w:w="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(210,891)</w:t>
            </w:r>
          </w:p>
        </w:tc>
      </w:tr>
      <w:tr>
        <w:trPr>
          <w:trHeight w:val="202"/>
        </w:trPr>
        <w:tc>
          <w:tcPr>
            <w:tcW w:w="5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Change in net unrealized depreciation on</w:t>
            </w:r>
          </w:p>
        </w:tc>
        <w:tc>
          <w:tcPr>
            <w:tcW w:w="1060" w:type="dxa"/>
            <w:vAlign w:val="bottom"/>
          </w:tcPr>
          <w:p>
            <w:pPr>
              <w:spacing w:after="0"/>
              <w:rPr>
                <w:sz w:val="17"/>
                <w:szCs w:val="17"/>
                <w:color w:val="auto"/>
              </w:rPr>
            </w:pPr>
          </w:p>
        </w:tc>
      </w:tr>
      <w:tr>
        <w:trPr>
          <w:trHeight w:val="203"/>
        </w:trPr>
        <w:tc>
          <w:tcPr>
            <w:tcW w:w="4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(16,057,644)</w:t>
            </w:r>
          </w:p>
        </w:tc>
      </w:tr>
      <w:tr>
        <w:trPr>
          <w:trHeight w:val="203"/>
        </w:trPr>
        <w:tc>
          <w:tcPr>
            <w:tcW w:w="484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019"/>
          </w:cols>
          <w:pgMar w:left="1440" w:top="136" w:right="1440" w:bottom="0" w:gutter="0" w:footer="0" w:header="0"/>
        </w:sectPr>
      </w:pPr>
    </w:p>
    <w:bookmarkStart w:id="5" w:name="page6"/>
    <w:bookmarkEnd w:id="5"/>
    <w:p>
      <w:pPr>
        <w:jc w:val="center"/>
        <w:ind w:left="620"/>
        <w:spacing w:after="0"/>
        <w:rPr>
          <w:sz w:val="20"/>
          <w:szCs w:val="20"/>
          <w:color w:val="auto"/>
        </w:rPr>
      </w:pPr>
      <w:r>
        <w:rPr>
          <w:rFonts w:ascii="Courier New" w:cs="Courier New" w:eastAsia="Courier New" w:hAnsi="Courier New"/>
          <w:sz w:val="18"/>
          <w:szCs w:val="18"/>
          <w:color w:val="auto"/>
        </w:rPr>
        <w:t>Net realized and unrealized loss from</w:t>
      </w:r>
    </w:p>
    <w:p>
      <w:pPr>
        <w:spacing w:after="0" w:line="4" w:lineRule="exact"/>
        <w:rPr>
          <w:sz w:val="20"/>
          <w:szCs w:val="20"/>
          <w:color w:val="auto"/>
        </w:rPr>
      </w:pPr>
    </w:p>
    <w:p>
      <w:pPr>
        <w:jc w:val="right"/>
        <w:ind w:left="2840" w:right="2120"/>
        <w:spacing w:after="0" w:line="235" w:lineRule="auto"/>
        <w:rPr>
          <w:sz w:val="20"/>
          <w:szCs w:val="20"/>
          <w:color w:val="auto"/>
        </w:rPr>
      </w:pPr>
      <w:r>
        <w:rPr>
          <w:rFonts w:ascii="Courier New" w:cs="Courier New" w:eastAsia="Courier New" w:hAnsi="Courier New"/>
          <w:sz w:val="18"/>
          <w:szCs w:val="18"/>
          <w:color w:val="auto"/>
        </w:rPr>
        <w:t>investments and cash equivalents               (16,268,535) --------------</w:t>
      </w:r>
    </w:p>
    <w:p>
      <w:pPr>
        <w:sectPr>
          <w:pgSz w:w="11900" w:h="16838" w:orient="portrait"/>
          <w:cols w:equalWidth="0" w:num="1">
            <w:col w:w="11180"/>
          </w:cols>
          <w:pgMar w:left="360" w:top="339" w:right="35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operations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decrease in net assets resulting from</w:t>
      </w:r>
    </w:p>
    <w:p>
      <w:pPr>
        <w:spacing w:after="0" w:line="4" w:lineRule="exact"/>
        <w:rPr>
          <w:sz w:val="20"/>
          <w:szCs w:val="20"/>
          <w:color w:val="auto"/>
        </w:rPr>
      </w:pPr>
    </w:p>
    <w:p>
      <w:pPr>
        <w:ind w:left="4060"/>
        <w:spacing w:after="0"/>
        <w:tabs>
          <w:tab w:leader="none" w:pos="4360" w:val="left"/>
        </w:tabs>
        <w:rPr>
          <w:sz w:val="20"/>
          <w:szCs w:val="20"/>
          <w:color w:val="auto"/>
        </w:rPr>
      </w:pPr>
      <w:r>
        <w:rPr>
          <w:rFonts w:ascii="Courier New" w:cs="Courier New" w:eastAsia="Courier New" w:hAnsi="Courier New"/>
          <w:sz w:val="16"/>
          <w:szCs w:val="16"/>
          <w:color w:val="auto"/>
        </w:rPr>
        <w:t>$</w:t>
        <w:tab/>
        <w:t>(11,536,656)</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260" w:space="160"/>
            <w:col w:w="7760"/>
          </w:cols>
          <w:pgMar w:left="360" w:top="339" w:right="359" w:bottom="1440" w:gutter="0" w:footer="0" w:header="0"/>
          <w:type w:val="continuous"/>
        </w:sectPr>
      </w:pPr>
    </w:p>
    <w:p>
      <w:pPr>
        <w:spacing w:after="0" w:line="7"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Earnings per common share</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(0.54)</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spacing w:after="0" w:line="197" w:lineRule="exact"/>
        <w:rPr>
          <w:sz w:val="20"/>
          <w:szCs w:val="20"/>
          <w:color w:val="auto"/>
        </w:rPr>
      </w:pPr>
    </w:p>
    <w:p>
      <w:pPr>
        <w:sectPr>
          <w:pgSz w:w="11900" w:h="16838" w:orient="portrait"/>
          <w:cols w:equalWidth="0" w:num="2">
            <w:col w:w="6760" w:space="720"/>
            <w:col w:w="3700"/>
          </w:cols>
          <w:pgMar w:left="360" w:top="339" w:right="359" w:bottom="1440" w:gutter="0" w:footer="0" w:header="0"/>
          <w:type w:val="continuous"/>
        </w:sect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ind w:right="20"/>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invests primarily in U.S. middle-market private companies in the form of mezzanine debt, senior secured loans and equity investments. From time to time, the Company may also invest in the securities of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180"/>
      </w:cols>
      <w:pgMar w:left="360" w:top="33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2020-05-05T15:06:49Z</dcterms:created>
  <dcterms:modified xsi:type="dcterms:W3CDTF">2020-05-05T15:06:49Z</dcterms:modified>
</cp:coreProperties>
</file>