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10-K</w:t>
      </w: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FOR THE FISCAL YEAR ENDED SEPTEMBER 30, 2013</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OR</w:t>
      </w:r>
    </w:p>
    <w:p>
      <w:pPr>
        <w:spacing w:after="0" w:line="22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140"/>
          </w:cols>
          <w:pgMar w:left="320" w:top="230" w:right="439" w:bottom="1440" w:gutter="0" w:footer="0" w:header="0"/>
        </w:sectPr>
      </w:pPr>
    </w:p>
    <w:p>
      <w:pPr>
        <w:spacing w:after="0" w:line="247" w:lineRule="exact"/>
        <w:rPr>
          <w:sz w:val="24"/>
          <w:szCs w:val="24"/>
          <w:color w:val="auto"/>
        </w:rPr>
      </w:pPr>
    </w:p>
    <w:p>
      <w:pPr>
        <w:ind w:left="3940"/>
        <w:spacing w:after="0"/>
        <w:rPr>
          <w:sz w:val="20"/>
          <w:szCs w:val="20"/>
          <w:color w:val="auto"/>
        </w:rPr>
      </w:pPr>
      <w:r>
        <w:rPr>
          <w:rFonts w:ascii="Arial" w:cs="Arial" w:eastAsia="Arial" w:hAnsi="Arial"/>
          <w:sz w:val="11"/>
          <w:szCs w:val="11"/>
          <w:color w:val="auto"/>
        </w:rPr>
        <w:t>FOR THE TRANSITION PERIOD FROM</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rPr>
          <w:sz w:val="20"/>
          <w:szCs w:val="20"/>
          <w:color w:val="auto"/>
        </w:rPr>
      </w:pPr>
      <w:r>
        <w:rPr>
          <w:rFonts w:ascii="Arial" w:cs="Arial" w:eastAsia="Arial" w:hAnsi="Arial"/>
          <w:sz w:val="9"/>
          <w:szCs w:val="9"/>
          <w:color w:val="auto"/>
        </w:rPr>
        <w:t>TO</w:t>
      </w:r>
    </w:p>
    <w:p>
      <w:pPr>
        <w:spacing w:after="0" w:line="139" w:lineRule="exact"/>
        <w:rPr>
          <w:sz w:val="24"/>
          <w:szCs w:val="24"/>
          <w:color w:val="auto"/>
        </w:rPr>
      </w:pPr>
    </w:p>
    <w:p>
      <w:pPr>
        <w:sectPr>
          <w:pgSz w:w="11900" w:h="16838" w:orient="portrait"/>
          <w:cols w:equalWidth="0" w:num="2">
            <w:col w:w="5960" w:space="620"/>
            <w:col w:w="456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1"/>
          <w:szCs w:val="11"/>
          <w:color w:val="auto"/>
        </w:rPr>
        <w:t>COMMISSION FILE NUMBER: 814-00736</w:t>
      </w:r>
    </w:p>
    <w:p>
      <w:pPr>
        <w:sectPr>
          <w:pgSz w:w="11900" w:h="16838" w:orient="portrait"/>
          <w:cols w:equalWidth="0" w:num="1">
            <w:col w:w="11140"/>
          </w:cols>
          <w:pgMar w:left="320" w:top="230" w:right="439" w:bottom="1440" w:gutter="0" w:footer="0" w:header="0"/>
          <w:type w:val="continuous"/>
        </w:sect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PENNANTPARK INVESTMENT CORPORATION</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28" w:lineRule="exact"/>
        <w:rPr>
          <w:sz w:val="24"/>
          <w:szCs w:val="24"/>
          <w:color w:val="auto"/>
        </w:rPr>
      </w:pPr>
    </w:p>
    <w:tbl>
      <w:tblPr>
        <w:tblLayout w:type="fixed"/>
        <w:tblInd w:w="1300" w:type="dxa"/>
        <w:tblCellMar>
          <w:top w:w="0" w:type="dxa"/>
          <w:left w:w="0" w:type="dxa"/>
          <w:bottom w:w="0" w:type="dxa"/>
          <w:right w:w="0" w:type="dxa"/>
        </w:tblCellMar>
      </w:tblPr>
      <w:tr>
        <w:trPr>
          <w:trHeight w:val="148"/>
        </w:trPr>
        <w:tc>
          <w:tcPr>
            <w:tcW w:w="4680" w:type="dxa"/>
            <w:vAlign w:val="bottom"/>
          </w:tcPr>
          <w:p>
            <w:pPr>
              <w:jc w:val="center"/>
              <w:ind w:right="1582"/>
              <w:spacing w:after="0"/>
              <w:rPr>
                <w:sz w:val="20"/>
                <w:szCs w:val="20"/>
                <w:color w:val="auto"/>
              </w:rPr>
            </w:pPr>
            <w:r>
              <w:rPr>
                <w:rFonts w:ascii="Arial" w:cs="Arial" w:eastAsia="Arial" w:hAnsi="Arial"/>
                <w:sz w:val="12"/>
                <w:szCs w:val="12"/>
                <w:b w:val="1"/>
                <w:bCs w:val="1"/>
                <w:color w:val="auto"/>
                <w:w w:val="98"/>
              </w:rPr>
              <w:t>MARYLAND</w:t>
            </w:r>
          </w:p>
        </w:tc>
        <w:tc>
          <w:tcPr>
            <w:tcW w:w="3460" w:type="dxa"/>
            <w:vAlign w:val="bottom"/>
          </w:tcPr>
          <w:p>
            <w:pPr>
              <w:jc w:val="right"/>
              <w:ind w:right="562"/>
              <w:spacing w:after="0"/>
              <w:rPr>
                <w:sz w:val="20"/>
                <w:szCs w:val="20"/>
                <w:color w:val="auto"/>
              </w:rPr>
            </w:pPr>
            <w:r>
              <w:rPr>
                <w:rFonts w:ascii="Arial" w:cs="Arial" w:eastAsia="Arial" w:hAnsi="Arial"/>
                <w:sz w:val="12"/>
                <w:szCs w:val="12"/>
                <w:b w:val="1"/>
                <w:bCs w:val="1"/>
                <w:color w:val="auto"/>
              </w:rPr>
              <w:t>20-8250744</w:t>
            </w:r>
          </w:p>
        </w:tc>
      </w:tr>
      <w:tr>
        <w:trPr>
          <w:trHeight w:val="150"/>
        </w:trPr>
        <w:tc>
          <w:tcPr>
            <w:tcW w:w="4680" w:type="dxa"/>
            <w:vAlign w:val="bottom"/>
          </w:tcPr>
          <w:p>
            <w:pPr>
              <w:jc w:val="center"/>
              <w:ind w:right="1602"/>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460" w:type="dxa"/>
            <w:vAlign w:val="bottom"/>
          </w:tcPr>
          <w:p>
            <w:pPr>
              <w:jc w:val="center"/>
              <w:ind w:left="1602"/>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9"/>
        </w:trPr>
        <w:tc>
          <w:tcPr>
            <w:tcW w:w="4680" w:type="dxa"/>
            <w:vAlign w:val="bottom"/>
          </w:tcPr>
          <w:p>
            <w:pPr>
              <w:jc w:val="center"/>
              <w:ind w:right="1602"/>
              <w:spacing w:after="0"/>
              <w:rPr>
                <w:sz w:val="20"/>
                <w:szCs w:val="20"/>
                <w:color w:val="auto"/>
              </w:rPr>
            </w:pPr>
            <w:r>
              <w:rPr>
                <w:rFonts w:ascii="Arial" w:cs="Arial" w:eastAsia="Arial" w:hAnsi="Arial"/>
                <w:sz w:val="12"/>
                <w:szCs w:val="12"/>
                <w:b w:val="1"/>
                <w:bCs w:val="1"/>
                <w:color w:val="auto"/>
                <w:w w:val="86"/>
              </w:rPr>
              <w:t>590 Madison Avenue,</w:t>
            </w:r>
          </w:p>
        </w:tc>
        <w:tc>
          <w:tcPr>
            <w:tcW w:w="3460" w:type="dxa"/>
            <w:vAlign w:val="bottom"/>
          </w:tcPr>
          <w:p>
            <w:pPr>
              <w:spacing w:after="0"/>
              <w:rPr>
                <w:sz w:val="24"/>
                <w:szCs w:val="24"/>
                <w:color w:val="auto"/>
              </w:rPr>
            </w:pPr>
          </w:p>
        </w:tc>
      </w:tr>
      <w:tr>
        <w:trPr>
          <w:trHeight w:val="148"/>
        </w:trPr>
        <w:tc>
          <w:tcPr>
            <w:tcW w:w="4680" w:type="dxa"/>
            <w:vAlign w:val="bottom"/>
          </w:tcPr>
          <w:p>
            <w:pPr>
              <w:jc w:val="center"/>
              <w:ind w:right="1602"/>
              <w:spacing w:after="0"/>
              <w:rPr>
                <w:sz w:val="20"/>
                <w:szCs w:val="20"/>
                <w:color w:val="auto"/>
              </w:rPr>
            </w:pPr>
            <w:r>
              <w:rPr>
                <w:rFonts w:ascii="Arial" w:cs="Arial" w:eastAsia="Arial" w:hAnsi="Arial"/>
                <w:sz w:val="12"/>
                <w:szCs w:val="12"/>
                <w:b w:val="1"/>
                <w:bCs w:val="1"/>
                <w:color w:val="auto"/>
                <w:w w:val="90"/>
              </w:rPr>
              <w:t>15</w:t>
            </w:r>
            <w:r>
              <w:rPr>
                <w:rFonts w:ascii="Arial" w:cs="Arial" w:eastAsia="Arial" w:hAnsi="Arial"/>
                <w:sz w:val="9"/>
                <w:szCs w:val="9"/>
                <w:b w:val="1"/>
                <w:bCs w:val="1"/>
                <w:color w:val="auto"/>
                <w:w w:val="90"/>
              </w:rPr>
              <w:t>th</w:t>
            </w:r>
            <w:r>
              <w:rPr>
                <w:rFonts w:ascii="Arial" w:cs="Arial" w:eastAsia="Arial" w:hAnsi="Arial"/>
                <w:sz w:val="12"/>
                <w:szCs w:val="12"/>
                <w:b w:val="1"/>
                <w:bCs w:val="1"/>
                <w:color w:val="auto"/>
                <w:w w:val="90"/>
              </w:rPr>
              <w:t xml:space="preserve"> Floor New York, N.Y.</w:t>
            </w:r>
          </w:p>
        </w:tc>
        <w:tc>
          <w:tcPr>
            <w:tcW w:w="3460" w:type="dxa"/>
            <w:vAlign w:val="bottom"/>
          </w:tcPr>
          <w:p>
            <w:pPr>
              <w:jc w:val="right"/>
              <w:ind w:right="702"/>
              <w:spacing w:after="0"/>
              <w:rPr>
                <w:sz w:val="20"/>
                <w:szCs w:val="20"/>
                <w:color w:val="auto"/>
              </w:rPr>
            </w:pPr>
            <w:r>
              <w:rPr>
                <w:rFonts w:ascii="Arial" w:cs="Arial" w:eastAsia="Arial" w:hAnsi="Arial"/>
                <w:sz w:val="12"/>
                <w:szCs w:val="12"/>
                <w:b w:val="1"/>
                <w:bCs w:val="1"/>
                <w:color w:val="auto"/>
              </w:rPr>
              <w:t>10022</w:t>
            </w:r>
          </w:p>
        </w:tc>
      </w:tr>
      <w:tr>
        <w:trPr>
          <w:trHeight w:val="150"/>
        </w:trPr>
        <w:tc>
          <w:tcPr>
            <w:tcW w:w="4680" w:type="dxa"/>
            <w:vAlign w:val="bottom"/>
          </w:tcPr>
          <w:p>
            <w:pPr>
              <w:jc w:val="center"/>
              <w:ind w:right="1582"/>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60" w:type="dxa"/>
            <w:vAlign w:val="bottom"/>
          </w:tcPr>
          <w:p>
            <w:pPr>
              <w:jc w:val="center"/>
              <w:ind w:left="1602"/>
              <w:spacing w:after="0"/>
              <w:rPr>
                <w:sz w:val="20"/>
                <w:szCs w:val="20"/>
                <w:color w:val="auto"/>
              </w:rPr>
            </w:pPr>
            <w:r>
              <w:rPr>
                <w:rFonts w:ascii="Arial" w:cs="Arial" w:eastAsia="Arial" w:hAnsi="Arial"/>
                <w:sz w:val="12"/>
                <w:szCs w:val="12"/>
                <w:b w:val="1"/>
                <w:bCs w:val="1"/>
                <w:color w:val="auto"/>
                <w:w w:val="94"/>
              </w:rPr>
              <w:t>(Zip Code)</w:t>
            </w:r>
          </w:p>
        </w:tc>
      </w:tr>
    </w:tbl>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 (212)-905-1000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140"/>
          </w:cols>
          <w:pgMar w:left="320" w:top="230" w:right="439" w:bottom="1440" w:gutter="0" w:footer="0" w:header="0"/>
          <w:type w:val="continuous"/>
        </w:sectPr>
      </w:pPr>
    </w:p>
    <w:p>
      <w:pPr>
        <w:spacing w:after="0" w:line="228" w:lineRule="exact"/>
        <w:rPr>
          <w:sz w:val="24"/>
          <w:szCs w:val="24"/>
          <w:color w:val="auto"/>
        </w:rPr>
      </w:pPr>
    </w:p>
    <w:p>
      <w:pPr>
        <w:ind w:left="234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47" w:lineRule="exact"/>
        <w:rPr>
          <w:sz w:val="24"/>
          <w:szCs w:val="24"/>
          <w:color w:val="auto"/>
        </w:rPr>
      </w:pPr>
    </w:p>
    <w:p>
      <w:pPr>
        <w:sectPr>
          <w:pgSz w:w="11900" w:h="16838" w:orient="portrait"/>
          <w:cols w:equalWidth="0" w:num="2">
            <w:col w:w="6680" w:space="720"/>
            <w:col w:w="3740"/>
          </w:cols>
          <w:pgMar w:left="320" w:top="230" w:right="439" w:bottom="1440" w:gutter="0" w:footer="0" w:header="0"/>
          <w:type w:val="continuous"/>
        </w:sectPr>
      </w:pPr>
    </w:p>
    <w:p>
      <w:pPr>
        <w:jc w:val="center"/>
        <w:ind w:right="1400"/>
        <w:spacing w:after="0"/>
        <w:rPr>
          <w:sz w:val="20"/>
          <w:szCs w:val="20"/>
          <w:color w:val="auto"/>
        </w:rPr>
      </w:pPr>
      <w:r>
        <w:rPr>
          <w:rFonts w:ascii="Arial" w:cs="Arial" w:eastAsia="Arial" w:hAnsi="Arial"/>
          <w:sz w:val="9"/>
          <w:szCs w:val="9"/>
          <w:color w:val="auto"/>
        </w:rPr>
        <w:t>Common Stock, par value $0.001 per share</w:t>
      </w:r>
    </w:p>
    <w:p>
      <w:pPr>
        <w:spacing w:after="0" w:line="42" w:lineRule="exact"/>
        <w:rPr>
          <w:sz w:val="24"/>
          <w:szCs w:val="24"/>
          <w:color w:val="auto"/>
        </w:rPr>
      </w:pPr>
    </w:p>
    <w:p>
      <w:pPr>
        <w:jc w:val="center"/>
        <w:ind w:right="1400"/>
        <w:spacing w:after="0"/>
        <w:rPr>
          <w:sz w:val="20"/>
          <w:szCs w:val="20"/>
          <w:color w:val="auto"/>
        </w:rPr>
      </w:pPr>
      <w:r>
        <w:rPr>
          <w:rFonts w:ascii="Arial" w:cs="Arial" w:eastAsia="Arial" w:hAnsi="Arial"/>
          <w:sz w:val="12"/>
          <w:szCs w:val="12"/>
          <w:color w:val="auto"/>
        </w:rPr>
        <w:t>6.25% Senior Notes due 2025</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1"/>
          <w:szCs w:val="11"/>
          <w:color w:val="auto"/>
        </w:rPr>
        <w:t>The NASDAQ Stock Market LLC</w:t>
      </w:r>
    </w:p>
    <w:p>
      <w:pPr>
        <w:spacing w:after="0" w:line="19" w:lineRule="exact"/>
        <w:rPr>
          <w:sz w:val="24"/>
          <w:szCs w:val="24"/>
          <w:color w:val="auto"/>
        </w:rPr>
      </w:pPr>
    </w:p>
    <w:p>
      <w:pPr>
        <w:jc w:val="center"/>
        <w:ind w:right="1800"/>
        <w:spacing w:after="0"/>
        <w:rPr>
          <w:sz w:val="20"/>
          <w:szCs w:val="20"/>
          <w:color w:val="auto"/>
        </w:rPr>
      </w:pPr>
      <w:r>
        <w:rPr>
          <w:rFonts w:ascii="Arial" w:cs="Arial" w:eastAsia="Arial" w:hAnsi="Arial"/>
          <w:sz w:val="11"/>
          <w:szCs w:val="11"/>
          <w:color w:val="auto"/>
        </w:rPr>
        <w:t>The New York Stock Exchange</w:t>
      </w:r>
    </w:p>
    <w:p>
      <w:pPr>
        <w:spacing w:after="0" w:line="211" w:lineRule="exact"/>
        <w:rPr>
          <w:sz w:val="24"/>
          <w:szCs w:val="24"/>
          <w:color w:val="auto"/>
        </w:rPr>
      </w:pPr>
    </w:p>
    <w:p>
      <w:pPr>
        <w:sectPr>
          <w:pgSz w:w="11900" w:h="16838" w:orient="portrait"/>
          <w:cols w:equalWidth="0" w:num="2">
            <w:col w:w="7020" w:space="720"/>
            <w:col w:w="3400"/>
          </w:cols>
          <w:pgMar w:left="320" w:top="230" w:right="439" w:bottom="1440" w:gutter="0" w:footer="0" w:header="0"/>
          <w:type w:val="continuous"/>
        </w:sectPr>
      </w:pPr>
    </w:p>
    <w:p>
      <w:pPr>
        <w:spacing w:after="0" w:line="15" w:lineRule="exact"/>
        <w:rPr>
          <w:sz w:val="24"/>
          <w:szCs w:val="24"/>
          <w:color w:val="auto"/>
        </w:rPr>
      </w:pPr>
    </w:p>
    <w:p>
      <w:pPr>
        <w:ind w:left="4060"/>
        <w:spacing w:after="0"/>
        <w:rPr>
          <w:sz w:val="20"/>
          <w:szCs w:val="20"/>
          <w:color w:val="auto"/>
        </w:rPr>
      </w:pPr>
      <w:r>
        <w:rPr>
          <w:rFonts w:ascii="Arial" w:cs="Arial" w:eastAsia="Arial" w:hAnsi="Arial"/>
          <w:sz w:val="9"/>
          <w:szCs w:val="9"/>
          <w:b w:val="1"/>
          <w:bCs w:val="1"/>
          <w:color w:val="auto"/>
        </w:rPr>
        <w:t>Securities registered pursuant to Section 12(g) of the Act: None</w:t>
      </w:r>
    </w:p>
    <w:p>
      <w:pPr>
        <w:spacing w:after="0" w:line="44" w:lineRule="exact"/>
        <w:rPr>
          <w:sz w:val="24"/>
          <w:szCs w:val="24"/>
          <w:color w:val="auto"/>
        </w:rPr>
      </w:pPr>
    </w:p>
    <w:p>
      <w:pPr>
        <w:ind w:left="680"/>
        <w:spacing w:after="0" w:line="138" w:lineRule="exact"/>
        <w:tabs>
          <w:tab w:leader="none" w:pos="6260" w:val="left"/>
          <w:tab w:leader="none" w:pos="6700"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r>
        <w:rPr>
          <w:rFonts w:ascii="Arial" w:cs="Arial" w:eastAsia="Arial" w:hAnsi="Arial"/>
          <w:sz w:val="11"/>
          <w:szCs w:val="11"/>
          <w:color w:val="auto"/>
        </w:rPr>
        <w:t>.</w:t>
      </w:r>
    </w:p>
    <w:p>
      <w:pPr>
        <w:sectPr>
          <w:pgSz w:w="11900" w:h="16838" w:orient="portrait"/>
          <w:cols w:equalWidth="0" w:num="1">
            <w:col w:w="11140"/>
          </w:cols>
          <w:pgMar w:left="320" w:top="230" w:right="439" w:bottom="1440" w:gutter="0" w:footer="0" w:header="0"/>
          <w:type w:val="continuous"/>
        </w:sectPr>
      </w:pPr>
    </w:p>
    <w:p>
      <w:pPr>
        <w:spacing w:after="0" w:line="203" w:lineRule="exact"/>
        <w:rPr>
          <w:sz w:val="24"/>
          <w:szCs w:val="24"/>
          <w:color w:val="auto"/>
        </w:rPr>
      </w:pPr>
    </w:p>
    <w:p>
      <w:pPr>
        <w:ind w:left="680"/>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9"/>
          <w:szCs w:val="9"/>
          <w:color w:val="auto"/>
        </w:rPr>
        <w:t>No</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04" w:lineRule="exact"/>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w:t>
      </w:r>
    </w:p>
    <w:p>
      <w:pPr>
        <w:spacing w:after="0" w:line="220" w:lineRule="exact"/>
        <w:rPr>
          <w:sz w:val="24"/>
          <w:szCs w:val="24"/>
          <w:color w:val="auto"/>
        </w:rPr>
      </w:pPr>
    </w:p>
    <w:p>
      <w:pPr>
        <w:sectPr>
          <w:pgSz w:w="11900" w:h="16838" w:orient="portrait"/>
          <w:cols w:equalWidth="0" w:num="5">
            <w:col w:w="6260" w:space="120"/>
            <w:col w:w="160" w:space="60"/>
            <w:col w:w="120" w:space="120"/>
            <w:col w:w="140" w:space="60"/>
            <w:col w:w="4100"/>
          </w:cols>
          <w:pgMar w:left="320" w:top="230" w:right="439" w:bottom="1440" w:gutter="0" w:footer="0" w:header="0"/>
          <w:type w:val="continuous"/>
        </w:sectPr>
      </w:pPr>
    </w:p>
    <w:p>
      <w:pPr>
        <w:spacing w:after="0" w:line="48" w:lineRule="exact"/>
        <w:rPr>
          <w:sz w:val="24"/>
          <w:szCs w:val="24"/>
          <w:color w:val="auto"/>
        </w:rPr>
      </w:pPr>
    </w:p>
    <w:p>
      <w:pPr>
        <w:ind w:right="200" w:firstLine="674"/>
        <w:spacing w:after="0" w:line="14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89" w:lineRule="exact"/>
        <w:rPr>
          <w:sz w:val="24"/>
          <w:szCs w:val="24"/>
          <w:color w:val="auto"/>
        </w:rPr>
      </w:pPr>
    </w:p>
    <w:p>
      <w:pPr>
        <w:ind w:right="40" w:firstLine="674"/>
        <w:spacing w:after="0" w:line="14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89" w:lineRule="exact"/>
        <w:rPr>
          <w:sz w:val="24"/>
          <w:szCs w:val="24"/>
          <w:color w:val="auto"/>
        </w:rPr>
      </w:pPr>
    </w:p>
    <w:p>
      <w:pPr>
        <w:ind w:firstLine="674"/>
        <w:spacing w:after="0" w:line="14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ectPr>
          <w:pgSz w:w="11900" w:h="16838" w:orient="portrait"/>
          <w:cols w:equalWidth="0" w:num="1">
            <w:col w:w="11140"/>
          </w:cols>
          <w:pgMar w:left="320" w:top="230" w:right="439" w:bottom="1440" w:gutter="0" w:footer="0" w:header="0"/>
          <w:type w:val="continuous"/>
        </w:sectPr>
      </w:pPr>
    </w:p>
    <w:p>
      <w:pPr>
        <w:spacing w:after="0" w:line="189" w:lineRule="exact"/>
        <w:rPr>
          <w:sz w:val="24"/>
          <w:szCs w:val="24"/>
          <w:color w:val="auto"/>
        </w:rPr>
      </w:pPr>
    </w:p>
    <w:p>
      <w:pPr>
        <w:ind w:right="260" w:firstLine="674"/>
        <w:spacing w:after="0" w:line="25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4"/>
          <w:szCs w:val="24"/>
          <w:color w:val="auto"/>
        </w:rPr>
      </w:pPr>
    </w:p>
    <w:tbl>
      <w:tblPr>
        <w:tblLayout w:type="fixed"/>
        <w:tblInd w:w="680" w:type="dxa"/>
        <w:tblCellMar>
          <w:top w:w="0" w:type="dxa"/>
          <w:left w:w="0" w:type="dxa"/>
          <w:bottom w:w="0" w:type="dxa"/>
          <w:right w:w="0" w:type="dxa"/>
        </w:tblCellMar>
      </w:tblPr>
      <w:tr>
        <w:trPr>
          <w:trHeight w:val="138"/>
        </w:trPr>
        <w:tc>
          <w:tcPr>
            <w:tcW w:w="2240" w:type="dxa"/>
            <w:vAlign w:val="bottom"/>
            <w:vMerge w:val="restart"/>
          </w:tcPr>
          <w:p>
            <w:pPr>
              <w:ind w:left="3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tc>
        <w:tc>
          <w:tcPr>
            <w:tcW w:w="5400" w:type="dxa"/>
            <w:vAlign w:val="bottom"/>
            <w:gridSpan w:val="3"/>
          </w:tcPr>
          <w:p>
            <w:pPr>
              <w:ind w:left="2200"/>
              <w:spacing w:after="0"/>
              <w:rPr>
                <w:sz w:val="20"/>
                <w:szCs w:val="20"/>
                <w:color w:val="auto"/>
              </w:rPr>
            </w:pPr>
            <w:r>
              <w:rPr>
                <w:rFonts w:ascii="Arial" w:cs="Arial" w:eastAsia="Arial" w:hAnsi="Arial"/>
                <w:sz w:val="12"/>
                <w:szCs w:val="12"/>
                <w:color w:val="auto"/>
              </w:rPr>
              <w:t>Non-accelerated filer (Do not check if smaller reporting</w:t>
            </w:r>
          </w:p>
        </w:tc>
        <w:tc>
          <w:tcPr>
            <w:tcW w:w="2140" w:type="dxa"/>
            <w:vAlign w:val="bottom"/>
            <w:vMerge w:val="restart"/>
          </w:tcPr>
          <w:p>
            <w:pPr>
              <w:ind w:left="560"/>
              <w:spacing w:after="0" w:line="138" w:lineRule="exact"/>
              <w:rPr>
                <w:sz w:val="20"/>
                <w:szCs w:val="20"/>
                <w:color w:val="auto"/>
              </w:rPr>
            </w:pPr>
            <w:r>
              <w:rPr>
                <w:rFonts w:ascii="Arial" w:cs="Arial" w:eastAsia="Arial" w:hAnsi="Arial"/>
                <w:sz w:val="12"/>
                <w:szCs w:val="12"/>
                <w:color w:val="auto"/>
                <w:w w:val="92"/>
              </w:rPr>
              <w:t xml:space="preserve">Smaller Reporting Company  </w:t>
            </w:r>
            <w:r>
              <w:rPr>
                <w:rFonts w:ascii="MS PGothic" w:cs="MS PGothic" w:eastAsia="MS PGothic" w:hAnsi="MS PGothic"/>
                <w:sz w:val="12"/>
                <w:szCs w:val="12"/>
                <w:color w:val="auto"/>
                <w:w w:val="92"/>
              </w:rPr>
              <w:t>☐</w:t>
            </w:r>
          </w:p>
        </w:tc>
        <w:tc>
          <w:tcPr>
            <w:tcW w:w="0" w:type="dxa"/>
            <w:vAlign w:val="bottom"/>
          </w:tcPr>
          <w:p>
            <w:pPr>
              <w:spacing w:after="0"/>
              <w:rPr>
                <w:sz w:val="1"/>
                <w:szCs w:val="1"/>
                <w:color w:val="auto"/>
              </w:rPr>
            </w:pPr>
          </w:p>
        </w:tc>
      </w:tr>
      <w:tr>
        <w:trPr>
          <w:trHeight w:val="182"/>
        </w:trPr>
        <w:tc>
          <w:tcPr>
            <w:tcW w:w="2240" w:type="dxa"/>
            <w:vAlign w:val="bottom"/>
            <w:vMerge w:val="continue"/>
          </w:tcPr>
          <w:p>
            <w:pPr>
              <w:spacing w:after="0"/>
              <w:rPr>
                <w:sz w:val="15"/>
                <w:szCs w:val="15"/>
                <w:color w:val="auto"/>
              </w:rPr>
            </w:pPr>
          </w:p>
        </w:tc>
        <w:tc>
          <w:tcPr>
            <w:tcW w:w="3100" w:type="dxa"/>
            <w:vAlign w:val="bottom"/>
          </w:tcPr>
          <w:p>
            <w:pPr>
              <w:ind w:left="660"/>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tc>
        <w:tc>
          <w:tcPr>
            <w:tcW w:w="520" w:type="dxa"/>
            <w:vAlign w:val="bottom"/>
          </w:tcPr>
          <w:p>
            <w:pPr>
              <w:ind w:left="60"/>
              <w:spacing w:after="0"/>
              <w:rPr>
                <w:sz w:val="20"/>
                <w:szCs w:val="20"/>
                <w:color w:val="auto"/>
              </w:rPr>
            </w:pPr>
            <w:r>
              <w:rPr>
                <w:rFonts w:ascii="Arial" w:cs="Arial" w:eastAsia="Arial" w:hAnsi="Arial"/>
                <w:sz w:val="12"/>
                <w:szCs w:val="12"/>
                <w:color w:val="auto"/>
                <w:w w:val="83"/>
              </w:rPr>
              <w:t>company)</w:t>
            </w:r>
          </w:p>
        </w:tc>
        <w:tc>
          <w:tcPr>
            <w:tcW w:w="1780" w:type="dxa"/>
            <w:vAlign w:val="bottom"/>
          </w:tcPr>
          <w:p>
            <w:pPr>
              <w:jc w:val="center"/>
              <w:ind w:right="1342"/>
              <w:spacing w:after="0" w:line="138" w:lineRule="exact"/>
              <w:rPr>
                <w:sz w:val="20"/>
                <w:szCs w:val="20"/>
                <w:color w:val="auto"/>
              </w:rPr>
            </w:pPr>
            <w:r>
              <w:rPr>
                <w:rFonts w:ascii="MS PGothic" w:cs="MS PGothic" w:eastAsia="MS PGothic" w:hAnsi="MS PGothic"/>
                <w:sz w:val="12"/>
                <w:szCs w:val="12"/>
                <w:color w:val="auto"/>
                <w:w w:val="90"/>
              </w:rPr>
              <w:t>☐</w:t>
            </w:r>
            <w:r>
              <w:rPr>
                <w:rFonts w:ascii="Arial" w:cs="Arial" w:eastAsia="Arial" w:hAnsi="Arial"/>
                <w:sz w:val="12"/>
                <w:szCs w:val="12"/>
                <w:color w:val="auto"/>
                <w:w w:val="90"/>
              </w:rPr>
              <w:t>.</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5340" w:type="dxa"/>
            <w:vAlign w:val="bottom"/>
            <w:gridSpan w:val="2"/>
          </w:tcPr>
          <w:p>
            <w:pPr>
              <w:spacing w:after="0"/>
              <w:rPr>
                <w:sz w:val="20"/>
                <w:szCs w:val="20"/>
                <w:color w:val="auto"/>
              </w:rPr>
            </w:pPr>
            <w:r>
              <w:rPr>
                <w:rFonts w:ascii="Arial" w:cs="Arial" w:eastAsia="Arial" w:hAnsi="Arial"/>
                <w:sz w:val="12"/>
                <w:szCs w:val="12"/>
                <w:color w:val="auto"/>
                <w:w w:val="88"/>
              </w:rPr>
              <w:t>Indicate by check mark whether the registrant is a shell company (as defined in Rule 12b-2 of the Exchange Act).</w:t>
            </w:r>
          </w:p>
        </w:tc>
        <w:tc>
          <w:tcPr>
            <w:tcW w:w="520" w:type="dxa"/>
            <w:vAlign w:val="bottom"/>
          </w:tcPr>
          <w:p>
            <w:pPr>
              <w:ind w:left="8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1780" w:type="dxa"/>
            <w:vAlign w:val="bottom"/>
          </w:tcPr>
          <w:p>
            <w:pPr>
              <w:jc w:val="center"/>
              <w:ind w:right="1382"/>
              <w:spacing w:after="0" w:line="138" w:lineRule="exact"/>
              <w:rPr>
                <w:sz w:val="20"/>
                <w:szCs w:val="20"/>
                <w:color w:val="auto"/>
              </w:rPr>
            </w:pPr>
            <w:r>
              <w:rPr>
                <w:rFonts w:ascii="Arial" w:cs="Arial" w:eastAsia="Arial" w:hAnsi="Arial"/>
                <w:sz w:val="12"/>
                <w:szCs w:val="12"/>
                <w:color w:val="auto"/>
                <w:w w:val="99"/>
              </w:rPr>
              <w:t xml:space="preserve">No </w:t>
            </w:r>
            <w:r>
              <w:rPr>
                <w:rFonts w:ascii="MS PGothic" w:cs="MS PGothic" w:eastAsia="MS PGothic" w:hAnsi="MS PGothic"/>
                <w:sz w:val="12"/>
                <w:szCs w:val="12"/>
                <w:color w:val="auto"/>
                <w:w w:val="99"/>
              </w:rPr>
              <w:t>☒</w:t>
            </w:r>
            <w:r>
              <w:rPr>
                <w:rFonts w:ascii="Arial" w:cs="Arial" w:eastAsia="Arial" w:hAnsi="Arial"/>
                <w:sz w:val="12"/>
                <w:szCs w:val="12"/>
                <w:color w:val="auto"/>
                <w:w w:val="99"/>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ind w:firstLine="674"/>
        <w:spacing w:after="0" w:line="243" w:lineRule="auto"/>
        <w:rPr>
          <w:sz w:val="20"/>
          <w:szCs w:val="20"/>
          <w:color w:val="auto"/>
        </w:rPr>
      </w:pPr>
      <w:r>
        <w:rPr>
          <w:rFonts w:ascii="Arial" w:cs="Arial" w:eastAsia="Arial" w:hAnsi="Arial"/>
          <w:sz w:val="12"/>
          <w:szCs w:val="12"/>
          <w:color w:val="auto"/>
        </w:rPr>
        <w:t>The aggregate market value of common stock held by non-affiliates of the Registrant on March 28, 2013 based on the closing price on that date of $11.30 on the NASDAQ Global Select Market was approximately $737 million. For the purposes of calculating this amount only, all directors and executive officers of the Registrant have been treated as affiliates. There were 66,546,734 shares of the Registrant’s common stock outstanding as of November 13, 2013.</w:t>
      </w:r>
    </w:p>
    <w:p>
      <w:pPr>
        <w:spacing w:after="0" w:line="202" w:lineRule="exact"/>
        <w:rPr>
          <w:sz w:val="24"/>
          <w:szCs w:val="24"/>
          <w:color w:val="auto"/>
        </w:rPr>
      </w:pPr>
    </w:p>
    <w:p>
      <w:pPr>
        <w:ind w:firstLine="674"/>
        <w:spacing w:after="0" w:line="252" w:lineRule="auto"/>
        <w:rPr>
          <w:sz w:val="20"/>
          <w:szCs w:val="20"/>
          <w:color w:val="auto"/>
        </w:rPr>
      </w:pPr>
      <w:r>
        <w:rPr>
          <w:rFonts w:ascii="Arial" w:cs="Arial" w:eastAsia="Arial" w:hAnsi="Arial"/>
          <w:sz w:val="12"/>
          <w:szCs w:val="12"/>
          <w:color w:val="auto"/>
        </w:rPr>
        <w:t>Documents Incorporated by Reference: Portions of the Registrant’s Proxy Statement relating to the Registrant’s 2014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8480" w:type="dxa"/>
            <w:vAlign w:val="bottom"/>
          </w:tcPr>
          <w:p>
            <w:pPr>
              <w:jc w:val="center"/>
              <w:ind w:left="1190"/>
              <w:spacing w:after="0"/>
              <w:rPr>
                <w:sz w:val="20"/>
                <w:szCs w:val="20"/>
                <w:color w:val="auto"/>
              </w:rPr>
            </w:pPr>
            <w:r>
              <w:rPr>
                <w:rFonts w:ascii="Arial" w:cs="Arial" w:eastAsia="Arial" w:hAnsi="Arial"/>
                <w:sz w:val="12"/>
                <w:szCs w:val="12"/>
                <w:b w:val="1"/>
                <w:bCs w:val="1"/>
                <w:color w:val="auto"/>
                <w:w w:val="98"/>
              </w:rPr>
              <w:t>PENNANTPARK INVESTMENT CORPORATION</w:t>
            </w:r>
          </w:p>
        </w:tc>
        <w:tc>
          <w:tcPr>
            <w:tcW w:w="1920" w:type="dxa"/>
            <w:vAlign w:val="bottom"/>
          </w:tcPr>
          <w:p>
            <w:pPr>
              <w:spacing w:after="0"/>
              <w:rPr>
                <w:sz w:val="12"/>
                <w:szCs w:val="12"/>
                <w:color w:val="auto"/>
              </w:rPr>
            </w:pPr>
          </w:p>
        </w:tc>
      </w:tr>
      <w:tr>
        <w:trPr>
          <w:trHeight w:val="135"/>
        </w:trPr>
        <w:tc>
          <w:tcPr>
            <w:tcW w:w="760" w:type="dxa"/>
            <w:vAlign w:val="bottom"/>
          </w:tcPr>
          <w:p>
            <w:pPr>
              <w:spacing w:after="0"/>
              <w:rPr>
                <w:sz w:val="11"/>
                <w:szCs w:val="11"/>
                <w:color w:val="auto"/>
              </w:rPr>
            </w:pPr>
          </w:p>
        </w:tc>
        <w:tc>
          <w:tcPr>
            <w:tcW w:w="8480" w:type="dxa"/>
            <w:vAlign w:val="bottom"/>
          </w:tcPr>
          <w:p>
            <w:pPr>
              <w:jc w:val="center"/>
              <w:ind w:left="1170"/>
              <w:spacing w:after="0" w:line="135" w:lineRule="exact"/>
              <w:rPr>
                <w:sz w:val="20"/>
                <w:szCs w:val="20"/>
                <w:color w:val="auto"/>
              </w:rPr>
            </w:pPr>
            <w:r>
              <w:rPr>
                <w:rFonts w:ascii="Arial" w:cs="Arial" w:eastAsia="Arial" w:hAnsi="Arial"/>
                <w:sz w:val="12"/>
                <w:szCs w:val="12"/>
                <w:b w:val="1"/>
                <w:bCs w:val="1"/>
                <w:color w:val="auto"/>
                <w:w w:val="98"/>
              </w:rPr>
              <w:t>FORM 10-K</w:t>
            </w:r>
          </w:p>
        </w:tc>
        <w:tc>
          <w:tcPr>
            <w:tcW w:w="1920" w:type="dxa"/>
            <w:vAlign w:val="bottom"/>
          </w:tcPr>
          <w:p>
            <w:pPr>
              <w:spacing w:after="0"/>
              <w:rPr>
                <w:sz w:val="11"/>
                <w:szCs w:val="11"/>
                <w:color w:val="auto"/>
              </w:rPr>
            </w:pPr>
          </w:p>
        </w:tc>
      </w:tr>
      <w:tr>
        <w:trPr>
          <w:trHeight w:val="135"/>
        </w:trPr>
        <w:tc>
          <w:tcPr>
            <w:tcW w:w="760" w:type="dxa"/>
            <w:vAlign w:val="bottom"/>
          </w:tcPr>
          <w:p>
            <w:pPr>
              <w:spacing w:after="0"/>
              <w:rPr>
                <w:sz w:val="11"/>
                <w:szCs w:val="11"/>
                <w:color w:val="auto"/>
              </w:rPr>
            </w:pPr>
          </w:p>
        </w:tc>
        <w:tc>
          <w:tcPr>
            <w:tcW w:w="8480" w:type="dxa"/>
            <w:vAlign w:val="bottom"/>
          </w:tcPr>
          <w:p>
            <w:pPr>
              <w:jc w:val="center"/>
              <w:ind w:left="1170"/>
              <w:spacing w:after="0" w:line="135" w:lineRule="exact"/>
              <w:rPr>
                <w:sz w:val="20"/>
                <w:szCs w:val="20"/>
                <w:color w:val="auto"/>
              </w:rPr>
            </w:pPr>
            <w:r>
              <w:rPr>
                <w:rFonts w:ascii="Arial" w:cs="Arial" w:eastAsia="Arial" w:hAnsi="Arial"/>
                <w:sz w:val="12"/>
                <w:szCs w:val="12"/>
                <w:b w:val="1"/>
                <w:bCs w:val="1"/>
                <w:color w:val="auto"/>
                <w:w w:val="95"/>
              </w:rPr>
              <w:t>FOR THE FISCAL YEAR ENDED SEPTEMBER 30, 2013</w:t>
            </w:r>
          </w:p>
        </w:tc>
        <w:tc>
          <w:tcPr>
            <w:tcW w:w="1920" w:type="dxa"/>
            <w:vAlign w:val="bottom"/>
          </w:tcPr>
          <w:p>
            <w:pPr>
              <w:spacing w:after="0"/>
              <w:rPr>
                <w:sz w:val="11"/>
                <w:szCs w:val="11"/>
                <w:color w:val="auto"/>
              </w:rPr>
            </w:pPr>
          </w:p>
        </w:tc>
      </w:tr>
      <w:tr>
        <w:trPr>
          <w:trHeight w:val="150"/>
        </w:trPr>
        <w:tc>
          <w:tcPr>
            <w:tcW w:w="760" w:type="dxa"/>
            <w:vAlign w:val="bottom"/>
          </w:tcPr>
          <w:p>
            <w:pPr>
              <w:spacing w:after="0"/>
              <w:rPr>
                <w:sz w:val="13"/>
                <w:szCs w:val="13"/>
                <w:color w:val="auto"/>
              </w:rPr>
            </w:pPr>
          </w:p>
        </w:tc>
        <w:tc>
          <w:tcPr>
            <w:tcW w:w="8480" w:type="dxa"/>
            <w:vAlign w:val="bottom"/>
          </w:tcPr>
          <w:p>
            <w:pPr>
              <w:jc w:val="center"/>
              <w:ind w:left="1170"/>
              <w:spacing w:after="0"/>
              <w:rPr>
                <w:sz w:val="20"/>
                <w:szCs w:val="20"/>
                <w:color w:val="auto"/>
              </w:rPr>
            </w:pPr>
            <w:r>
              <w:rPr>
                <w:rFonts w:ascii="Arial" w:cs="Arial" w:eastAsia="Arial" w:hAnsi="Arial"/>
                <w:sz w:val="12"/>
                <w:szCs w:val="12"/>
                <w:b w:val="1"/>
                <w:bCs w:val="1"/>
                <w:color w:val="auto"/>
                <w:w w:val="95"/>
              </w:rPr>
              <w:t>TABLE OF CONTENTS</w:t>
            </w:r>
          </w:p>
        </w:tc>
        <w:tc>
          <w:tcPr>
            <w:tcW w:w="1920" w:type="dxa"/>
            <w:vAlign w:val="bottom"/>
          </w:tcPr>
          <w:p>
            <w:pPr>
              <w:spacing w:after="0"/>
              <w:rPr>
                <w:sz w:val="13"/>
                <w:szCs w:val="13"/>
                <w:color w:val="auto"/>
              </w:rPr>
            </w:pPr>
          </w:p>
        </w:tc>
      </w:tr>
      <w:tr>
        <w:trPr>
          <w:trHeight w:val="399"/>
        </w:trPr>
        <w:tc>
          <w:tcPr>
            <w:tcW w:w="760" w:type="dxa"/>
            <w:vAlign w:val="bottom"/>
          </w:tcPr>
          <w:p>
            <w:pPr>
              <w:spacing w:after="0"/>
              <w:rPr>
                <w:sz w:val="24"/>
                <w:szCs w:val="24"/>
                <w:color w:val="auto"/>
              </w:rPr>
            </w:pPr>
          </w:p>
        </w:tc>
        <w:tc>
          <w:tcPr>
            <w:tcW w:w="8480" w:type="dxa"/>
            <w:vAlign w:val="bottom"/>
          </w:tcPr>
          <w:p>
            <w:pPr>
              <w:jc w:val="center"/>
              <w:ind w:left="207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20" w:type="dxa"/>
            <w:vAlign w:val="bottom"/>
          </w:tcPr>
          <w:p>
            <w:pPr>
              <w:spacing w:after="0"/>
              <w:rPr>
                <w:sz w:val="24"/>
                <w:szCs w:val="24"/>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480" w:type="dxa"/>
            <w:vAlign w:val="bottom"/>
          </w:tcPr>
          <w:p>
            <w:pPr>
              <w:ind w:left="22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480" w:type="dxa"/>
            <w:vAlign w:val="bottom"/>
          </w:tcPr>
          <w:p>
            <w:pPr>
              <w:ind w:left="22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Risk Factors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480" w:type="dxa"/>
            <w:vAlign w:val="bottom"/>
          </w:tcPr>
          <w:p>
            <w:pPr>
              <w:ind w:left="22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Unresolved Staff Comments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480" w:type="dxa"/>
            <w:vAlign w:val="bottom"/>
          </w:tcPr>
          <w:p>
            <w:pPr>
              <w:ind w:left="22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Properties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480" w:type="dxa"/>
            <w:vAlign w:val="bottom"/>
          </w:tcPr>
          <w:p>
            <w:pPr>
              <w:ind w:left="22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Legal Proceedings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480" w:type="dxa"/>
            <w:vAlign w:val="bottom"/>
          </w:tcPr>
          <w:p>
            <w:pPr>
              <w:ind w:left="22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Mine Safety Disclosures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6"/>
        </w:trPr>
        <w:tc>
          <w:tcPr>
            <w:tcW w:w="760" w:type="dxa"/>
            <w:vAlign w:val="bottom"/>
          </w:tcPr>
          <w:p>
            <w:pPr>
              <w:spacing w:after="0"/>
              <w:rPr>
                <w:sz w:val="18"/>
                <w:szCs w:val="18"/>
                <w:color w:val="auto"/>
              </w:rPr>
            </w:pPr>
          </w:p>
        </w:tc>
        <w:tc>
          <w:tcPr>
            <w:tcW w:w="8480" w:type="dxa"/>
            <w:vAlign w:val="bottom"/>
          </w:tcPr>
          <w:p>
            <w:pPr>
              <w:jc w:val="center"/>
              <w:ind w:left="207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PART II</w:t>
              </w:r>
            </w:hyperlink>
          </w:p>
        </w:tc>
        <w:tc>
          <w:tcPr>
            <w:tcW w:w="1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480" w:type="dxa"/>
            <w:vAlign w:val="bottom"/>
          </w:tcPr>
          <w:p>
            <w:pPr>
              <w:ind w:left="22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480" w:type="dxa"/>
            <w:vAlign w:val="bottom"/>
          </w:tcPr>
          <w:p>
            <w:pPr>
              <w:ind w:left="22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Selected Financial Data</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480" w:type="dxa"/>
            <w:vAlign w:val="bottom"/>
          </w:tcPr>
          <w:p>
            <w:pPr>
              <w:ind w:left="22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480" w:type="dxa"/>
            <w:vAlign w:val="bottom"/>
          </w:tcPr>
          <w:p>
            <w:pPr>
              <w:ind w:left="22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480" w:type="dxa"/>
            <w:vAlign w:val="bottom"/>
          </w:tcPr>
          <w:p>
            <w:pPr>
              <w:ind w:left="220"/>
              <w:spacing w:after="0"/>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Consolidated Financial Statements and Supplementary Data</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480" w:type="dxa"/>
            <w:vAlign w:val="bottom"/>
          </w:tcPr>
          <w:p>
            <w:pPr>
              <w:ind w:left="22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Changes in and Disagreements with Accountants on Accounting and Financial Disclosure</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480" w:type="dxa"/>
            <w:vAlign w:val="bottom"/>
          </w:tcPr>
          <w:p>
            <w:pPr>
              <w:ind w:left="22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Controls and Procedures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480" w:type="dxa"/>
            <w:vAlign w:val="bottom"/>
          </w:tcPr>
          <w:p>
            <w:pPr>
              <w:ind w:left="22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Other Information</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16"/>
        </w:trPr>
        <w:tc>
          <w:tcPr>
            <w:tcW w:w="760" w:type="dxa"/>
            <w:vAlign w:val="bottom"/>
          </w:tcPr>
          <w:p>
            <w:pPr>
              <w:spacing w:after="0"/>
              <w:rPr>
                <w:sz w:val="18"/>
                <w:szCs w:val="18"/>
                <w:color w:val="auto"/>
              </w:rPr>
            </w:pPr>
          </w:p>
        </w:tc>
        <w:tc>
          <w:tcPr>
            <w:tcW w:w="8480" w:type="dxa"/>
            <w:vAlign w:val="bottom"/>
          </w:tcPr>
          <w:p>
            <w:pPr>
              <w:jc w:val="center"/>
              <w:ind w:left="2070"/>
              <w:spacing w:after="0"/>
              <w:rPr>
                <w:rFonts w:ascii="Arial" w:cs="Arial" w:eastAsia="Arial" w:hAnsi="Arial"/>
                <w:sz w:val="14"/>
                <w:szCs w:val="14"/>
                <w:b w:val="1"/>
                <w:bCs w:val="1"/>
                <w:u w:val="single" w:color="auto"/>
                <w:color w:val="0000EE"/>
              </w:rPr>
            </w:pPr>
            <w:hyperlink w:anchor="page71">
              <w:r>
                <w:rPr>
                  <w:rFonts w:ascii="Arial" w:cs="Arial" w:eastAsia="Arial" w:hAnsi="Arial"/>
                  <w:sz w:val="14"/>
                  <w:szCs w:val="14"/>
                  <w:b w:val="1"/>
                  <w:bCs w:val="1"/>
                  <w:u w:val="single" w:color="auto"/>
                  <w:color w:val="0000EE"/>
                </w:rPr>
                <w:t>PART III</w:t>
              </w:r>
            </w:hyperlink>
          </w:p>
        </w:tc>
        <w:tc>
          <w:tcPr>
            <w:tcW w:w="1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480" w:type="dxa"/>
            <w:vAlign w:val="bottom"/>
          </w:tcPr>
          <w:p>
            <w:pPr>
              <w:ind w:left="22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Directors, Executive Officers and Corporate Governance</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480" w:type="dxa"/>
            <w:vAlign w:val="bottom"/>
          </w:tcPr>
          <w:p>
            <w:pPr>
              <w:ind w:left="22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Executive Compensation</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480" w:type="dxa"/>
            <w:vAlign w:val="bottom"/>
          </w:tcPr>
          <w:p>
            <w:pPr>
              <w:ind w:left="22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Security Ownership of Certain Beneficial Owners and Management and Related Stockholder Matters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480" w:type="dxa"/>
            <w:vAlign w:val="bottom"/>
          </w:tcPr>
          <w:p>
            <w:pPr>
              <w:ind w:left="22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Certain Relationships and Related Transactions, and Director Independence</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480" w:type="dxa"/>
            <w:vAlign w:val="bottom"/>
          </w:tcPr>
          <w:p>
            <w:pPr>
              <w:ind w:left="22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Principal Accountant Fees and Services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6"/>
        </w:trPr>
        <w:tc>
          <w:tcPr>
            <w:tcW w:w="760" w:type="dxa"/>
            <w:vAlign w:val="bottom"/>
          </w:tcPr>
          <w:p>
            <w:pPr>
              <w:spacing w:after="0"/>
              <w:rPr>
                <w:sz w:val="18"/>
                <w:szCs w:val="18"/>
                <w:color w:val="auto"/>
              </w:rPr>
            </w:pPr>
          </w:p>
        </w:tc>
        <w:tc>
          <w:tcPr>
            <w:tcW w:w="8480" w:type="dxa"/>
            <w:vAlign w:val="bottom"/>
          </w:tcPr>
          <w:p>
            <w:pPr>
              <w:jc w:val="center"/>
              <w:ind w:left="2070"/>
              <w:spacing w:after="0"/>
              <w:rPr>
                <w:rFonts w:ascii="Arial" w:cs="Arial" w:eastAsia="Arial" w:hAnsi="Arial"/>
                <w:sz w:val="14"/>
                <w:szCs w:val="14"/>
                <w:b w:val="1"/>
                <w:bCs w:val="1"/>
                <w:u w:val="single" w:color="auto"/>
                <w:color w:val="0000EE"/>
              </w:rPr>
            </w:pPr>
            <w:hyperlink w:anchor="page72">
              <w:r>
                <w:rPr>
                  <w:rFonts w:ascii="Arial" w:cs="Arial" w:eastAsia="Arial" w:hAnsi="Arial"/>
                  <w:sz w:val="14"/>
                  <w:szCs w:val="14"/>
                  <w:b w:val="1"/>
                  <w:bCs w:val="1"/>
                  <w:u w:val="single" w:color="auto"/>
                  <w:color w:val="0000EE"/>
                </w:rPr>
                <w:t>PART IV</w:t>
              </w:r>
            </w:hyperlink>
          </w:p>
        </w:tc>
        <w:tc>
          <w:tcPr>
            <w:tcW w:w="1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480" w:type="dxa"/>
            <w:vAlign w:val="bottom"/>
          </w:tcPr>
          <w:p>
            <w:pPr>
              <w:ind w:left="22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Exhibits and Financial Statement Schedules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216"/>
        </w:trPr>
        <w:tc>
          <w:tcPr>
            <w:tcW w:w="760" w:type="dxa"/>
            <w:vAlign w:val="bottom"/>
          </w:tcPr>
          <w:p>
            <w:pPr>
              <w:spacing w:after="0"/>
              <w:rPr>
                <w:sz w:val="18"/>
                <w:szCs w:val="18"/>
                <w:color w:val="auto"/>
              </w:rPr>
            </w:pPr>
          </w:p>
        </w:tc>
        <w:tc>
          <w:tcPr>
            <w:tcW w:w="8480" w:type="dxa"/>
            <w:vAlign w:val="bottom"/>
          </w:tcPr>
          <w:p>
            <w:pPr>
              <w:ind w:left="22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Signatures</w:t>
              </w:r>
            </w:hyperlink>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9" w:lineRule="exact"/>
        <w:rPr>
          <w:sz w:val="20"/>
          <w:szCs w:val="20"/>
          <w:color w:val="auto"/>
        </w:rPr>
      </w:pPr>
    </w:p>
    <w:p>
      <w:pPr>
        <w:ind w:right="60" w:firstLine="674"/>
        <w:spacing w:after="0" w:line="324" w:lineRule="auto"/>
        <w:rPr>
          <w:sz w:val="20"/>
          <w:szCs w:val="20"/>
          <w:color w:val="auto"/>
        </w:rPr>
      </w:pPr>
      <w:r>
        <w:rPr>
          <w:rFonts w:ascii="Arial" w:cs="Arial" w:eastAsia="Arial" w:hAnsi="Arial"/>
          <w:sz w:val="9"/>
          <w:szCs w:val="9"/>
          <w:b w:val="1"/>
          <w:bCs w:val="1"/>
          <w:i w:val="1"/>
          <w:iCs w:val="1"/>
          <w:color w:val="auto"/>
        </w:rPr>
        <w:t>In this annual report on Form 10-K, or the Report, except where the context suggests otherwise, the terms “we,” “us” or “our”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328"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Business of PennantPark Investment Corporation</w:t>
      </w:r>
    </w:p>
    <w:p>
      <w:pPr>
        <w:spacing w:after="0" w:line="105" w:lineRule="exact"/>
        <w:rPr>
          <w:sz w:val="20"/>
          <w:szCs w:val="20"/>
          <w:color w:val="auto"/>
        </w:rPr>
      </w:pPr>
    </w:p>
    <w:p>
      <w:pPr>
        <w:ind w:right="240" w:firstLine="674"/>
        <w:spacing w:after="0" w:line="252" w:lineRule="auto"/>
        <w:rPr>
          <w:sz w:val="20"/>
          <w:szCs w:val="20"/>
          <w:color w:val="auto"/>
        </w:rPr>
      </w:pPr>
      <w:r>
        <w:rPr>
          <w:rFonts w:ascii="Arial" w:cs="Arial" w:eastAsia="Arial" w:hAnsi="Arial"/>
          <w:sz w:val="12"/>
          <w:szCs w:val="12"/>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8" w:lineRule="exact"/>
        <w:rPr>
          <w:sz w:val="20"/>
          <w:szCs w:val="20"/>
          <w:color w:val="auto"/>
        </w:rPr>
      </w:pPr>
    </w:p>
    <w:p>
      <w:pPr>
        <w:ind w:right="60" w:firstLine="674"/>
        <w:spacing w:after="0" w:line="338" w:lineRule="auto"/>
        <w:rPr>
          <w:sz w:val="20"/>
          <w:szCs w:val="20"/>
          <w:color w:val="auto"/>
        </w:rPr>
      </w:pPr>
      <w:r>
        <w:rPr>
          <w:rFonts w:ascii="Arial" w:cs="Arial" w:eastAsia="Arial" w:hAnsi="Arial"/>
          <w:sz w:val="9"/>
          <w:szCs w:val="9"/>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54"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Organization and Structure of PennantPark Investment Corporation</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9"/>
          <w:szCs w:val="9"/>
          <w:color w:val="auto"/>
        </w:rPr>
        <w:t>PennantPark Investment Corporation, a Maryland corporation organized in January 2007, is a closed-end, externally managed, non-diversified investment company that has elected to be treated as a BDC under the 1940 Act.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In addition, for federal income tax purposes we have elected to be treated, and intend to qualify annually, as a RIC under the Code.</w:t>
      </w:r>
    </w:p>
    <w:p>
      <w:pPr>
        <w:spacing w:after="0" w:line="95" w:lineRule="exact"/>
        <w:rPr>
          <w:sz w:val="20"/>
          <w:szCs w:val="20"/>
          <w:color w:val="auto"/>
        </w:rPr>
      </w:pPr>
    </w:p>
    <w:p>
      <w:pPr>
        <w:ind w:right="180" w:firstLine="674"/>
        <w:spacing w:after="0" w:line="276" w:lineRule="auto"/>
        <w:rPr>
          <w:sz w:val="20"/>
          <w:szCs w:val="20"/>
          <w:color w:val="auto"/>
        </w:rPr>
      </w:pPr>
      <w:r>
        <w:rPr>
          <w:rFonts w:ascii="Arial" w:cs="Arial" w:eastAsia="Arial" w:hAnsi="Arial"/>
          <w:sz w:val="11"/>
          <w:szCs w:val="11"/>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Investment Adviser and Administrator</w:t>
      </w:r>
    </w:p>
    <w:p>
      <w:pPr>
        <w:spacing w:after="0" w:line="105"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83" w:lineRule="exact"/>
        <w:rPr>
          <w:sz w:val="20"/>
          <w:szCs w:val="20"/>
          <w:color w:val="auto"/>
        </w:rPr>
      </w:pPr>
    </w:p>
    <w:p>
      <w:pPr>
        <w:ind w:right="60" w:firstLine="674"/>
        <w:spacing w:after="0" w:line="266" w:lineRule="auto"/>
        <w:rPr>
          <w:sz w:val="20"/>
          <w:szCs w:val="20"/>
          <w:color w:val="auto"/>
        </w:rPr>
      </w:pPr>
      <w:r>
        <w:rPr>
          <w:rFonts w:ascii="Arial" w:cs="Arial" w:eastAsia="Arial" w:hAnsi="Arial"/>
          <w:sz w:val="11"/>
          <w:szCs w:val="11"/>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Opportunity</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We believe that the limited amount of capital available to the middle-market companies, coupled with the desire of these companies for flexible sources of capital, creates an attractive investment environment for us.</w:t>
      </w:r>
    </w:p>
    <w:p>
      <w:pPr>
        <w:spacing w:after="0" w:line="128" w:lineRule="exact"/>
        <w:rPr>
          <w:sz w:val="20"/>
          <w:szCs w:val="20"/>
          <w:color w:val="auto"/>
        </w:rPr>
      </w:pPr>
    </w:p>
    <w:p>
      <w:pPr>
        <w:jc w:val="both"/>
        <w:ind w:left="1100" w:right="40" w:hanging="431"/>
        <w:spacing w:after="0" w:line="182" w:lineRule="auto"/>
        <w:tabs>
          <w:tab w:leader="none" w:pos="1100" w:val="left"/>
        </w:tabs>
        <w:numPr>
          <w:ilvl w:val="0"/>
          <w:numId w:val="3"/>
        </w:numPr>
        <w:rPr>
          <w:rFonts w:ascii="Arial" w:cs="Arial" w:eastAsia="Arial" w:hAnsi="Arial"/>
          <w:sz w:val="28"/>
          <w:szCs w:val="28"/>
          <w:color w:val="auto"/>
          <w:vertAlign w:val="subscript"/>
        </w:rPr>
      </w:pPr>
      <w:r>
        <w:rPr>
          <w:rFonts w:ascii="Arial" w:cs="Arial" w:eastAsia="Arial" w:hAnsi="Arial"/>
          <w:sz w:val="10"/>
          <w:szCs w:val="10"/>
          <w:b w:val="1"/>
          <w:bCs w:val="1"/>
          <w:color w:val="auto"/>
        </w:rPr>
        <w:t xml:space="preserve">We believe middle-market companies have faced increasing difficulty in raising debt through the capital markets. </w:t>
      </w:r>
      <w:r>
        <w:rPr>
          <w:rFonts w:ascii="Arial" w:cs="Arial" w:eastAsia="Arial" w:hAnsi="Arial"/>
          <w:sz w:val="10"/>
          <w:szCs w:val="10"/>
          <w:color w:val="auto"/>
        </w:rPr>
        <w:t>While many middle-market companies were formerly able to raise funds by issuing high-yield</w:t>
      </w:r>
      <w:r>
        <w:rPr>
          <w:rFonts w:ascii="Arial" w:cs="Arial" w:eastAsia="Arial" w:hAnsi="Arial"/>
          <w:sz w:val="10"/>
          <w:szCs w:val="10"/>
          <w:b w:val="1"/>
          <w:bCs w:val="1"/>
          <w:color w:val="auto"/>
        </w:rPr>
        <w:t xml:space="preserve"> </w:t>
      </w:r>
      <w:r>
        <w:rPr>
          <w:rFonts w:ascii="Arial" w:cs="Arial" w:eastAsia="Arial" w:hAnsi="Arial"/>
          <w:sz w:val="10"/>
          <w:szCs w:val="10"/>
          <w:color w:val="auto"/>
        </w:rPr>
        <w:t>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107" w:lineRule="exact"/>
        <w:rPr>
          <w:rFonts w:ascii="Arial" w:cs="Arial" w:eastAsia="Arial" w:hAnsi="Arial"/>
          <w:sz w:val="28"/>
          <w:szCs w:val="28"/>
          <w:color w:val="auto"/>
          <w:vertAlign w:val="subscript"/>
        </w:rPr>
      </w:pPr>
    </w:p>
    <w:p>
      <w:pPr>
        <w:ind w:left="1100" w:right="60" w:hanging="431"/>
        <w:spacing w:after="0" w:line="180" w:lineRule="auto"/>
        <w:tabs>
          <w:tab w:leader="none" w:pos="1100" w:val="left"/>
        </w:tabs>
        <w:numPr>
          <w:ilvl w:val="0"/>
          <w:numId w:val="3"/>
        </w:numPr>
        <w:rPr>
          <w:rFonts w:ascii="Arial" w:cs="Arial" w:eastAsia="Arial" w:hAnsi="Arial"/>
          <w:sz w:val="23"/>
          <w:szCs w:val="23"/>
          <w:color w:val="auto"/>
          <w:vertAlign w:val="subscript"/>
        </w:rPr>
      </w:pPr>
      <w:r>
        <w:rPr>
          <w:rFonts w:ascii="Arial" w:cs="Arial" w:eastAsia="Arial" w:hAnsi="Arial"/>
          <w:sz w:val="10"/>
          <w:szCs w:val="10"/>
          <w:b w:val="1"/>
          <w:bCs w:val="1"/>
          <w:color w:val="auto"/>
        </w:rPr>
        <w:t xml:space="preserve">We believe middle-market companies have faced difficulty raising debt in private markets. </w:t>
      </w:r>
      <w:r>
        <w:rPr>
          <w:rFonts w:ascii="Arial" w:cs="Arial" w:eastAsia="Arial" w:hAnsi="Arial"/>
          <w:sz w:val="10"/>
          <w:szCs w:val="10"/>
          <w:color w:val="auto"/>
        </w:rPr>
        <w:t>From time to time, banks, finance companies, hedge funds and collateralized loan obligation, or CLO, funds have, and</w:t>
      </w:r>
      <w:r>
        <w:rPr>
          <w:rFonts w:ascii="Arial" w:cs="Arial" w:eastAsia="Arial" w:hAnsi="Arial"/>
          <w:sz w:val="10"/>
          <w:szCs w:val="10"/>
          <w:b w:val="1"/>
          <w:bCs w:val="1"/>
          <w:color w:val="auto"/>
        </w:rPr>
        <w:t xml:space="preserve"> </w:t>
      </w:r>
      <w:r>
        <w:rPr>
          <w:rFonts w:ascii="Arial" w:cs="Arial" w:eastAsia="Arial" w:hAnsi="Arial"/>
          <w:sz w:val="10"/>
          <w:szCs w:val="10"/>
          <w:color w:val="auto"/>
        </w:rPr>
        <w:t>may again, withdraw capital from the middle-market, resulting in opportunities for alternative funding sources.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80"/>
        <w:spacing w:after="0" w:line="301" w:lineRule="auto"/>
        <w:rPr>
          <w:sz w:val="20"/>
          <w:szCs w:val="20"/>
          <w:color w:val="auto"/>
        </w:rPr>
      </w:pPr>
      <w:r>
        <w:rPr>
          <w:rFonts w:ascii="Arial" w:cs="Arial" w:eastAsia="Arial" w:hAnsi="Arial"/>
          <w:sz w:val="11"/>
          <w:szCs w:val="11"/>
          <w:b w:val="1"/>
          <w:bCs w:val="1"/>
          <w:color w:val="auto"/>
        </w:rPr>
        <w:t xml:space="preserve">We believe that the current credit market dislocation for middle-market companies improves the risk-adjusted returns of our investments. </w:t>
      </w:r>
      <w:r>
        <w:rPr>
          <w:rFonts w:ascii="Arial" w:cs="Arial" w:eastAsia="Arial" w:hAnsi="Arial"/>
          <w:sz w:val="11"/>
          <w:szCs w:val="11"/>
          <w:color w:val="auto"/>
        </w:rPr>
        <w:t>In the current credit environment, market participants have reduced</w:t>
      </w:r>
      <w:r>
        <w:rPr>
          <w:rFonts w:ascii="Arial" w:cs="Arial" w:eastAsia="Arial" w:hAnsi="Arial"/>
          <w:sz w:val="11"/>
          <w:szCs w:val="11"/>
          <w:b w:val="1"/>
          <w:bCs w:val="1"/>
          <w:color w:val="auto"/>
        </w:rPr>
        <w:t xml:space="preserve"> </w:t>
      </w:r>
      <w:r>
        <w:rPr>
          <w:rFonts w:ascii="Arial" w:cs="Arial" w:eastAsia="Arial" w:hAnsi="Arial"/>
          <w:sz w:val="11"/>
          <w:szCs w:val="11"/>
          <w:color w:val="auto"/>
        </w:rPr>
        <w:t>lending to middle-market and non-investment grade borrowers. As a result, there is less competition in our market, more conservative capital structures, higher yields and stronger covenants.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2"/>
          <w:szCs w:val="12"/>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2"/>
          <w:szCs w:val="12"/>
          <w:color w:val="auto"/>
        </w:rPr>
        <w:t>We expect that private equity firms will</w:t>
      </w:r>
      <w:r>
        <w:rPr>
          <w:rFonts w:ascii="Arial" w:cs="Arial" w:eastAsia="Arial" w:hAnsi="Arial"/>
          <w:sz w:val="12"/>
          <w:szCs w:val="12"/>
          <w:b w:val="1"/>
          <w:bCs w:val="1"/>
          <w:color w:val="auto"/>
        </w:rPr>
        <w:t xml:space="preserve"> </w:t>
      </w:r>
      <w:r>
        <w:rPr>
          <w:rFonts w:ascii="Arial" w:cs="Arial" w:eastAsia="Arial" w:hAnsi="Arial"/>
          <w:sz w:val="12"/>
          <w:szCs w:val="12"/>
          <w:color w:val="auto"/>
        </w:rPr>
        <w:t>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07"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left="1100" w:right="40" w:hanging="431"/>
        <w:spacing w:after="0" w:line="181" w:lineRule="auto"/>
        <w:tabs>
          <w:tab w:leader="none" w:pos="1100" w:val="left"/>
        </w:tabs>
        <w:numPr>
          <w:ilvl w:val="0"/>
          <w:numId w:val="4"/>
        </w:numPr>
        <w:rPr>
          <w:rFonts w:ascii="Arial" w:cs="Arial" w:eastAsia="Arial" w:hAnsi="Arial"/>
          <w:sz w:val="31"/>
          <w:szCs w:val="31"/>
          <w:color w:val="auto"/>
          <w:vertAlign w:val="subscript"/>
        </w:rPr>
      </w:pPr>
      <w:r>
        <w:rPr>
          <w:rFonts w:ascii="Arial" w:cs="Arial" w:eastAsia="Arial" w:hAnsi="Arial"/>
          <w:sz w:val="11"/>
          <w:szCs w:val="11"/>
          <w:b w:val="1"/>
          <w:bCs w:val="1"/>
          <w:color w:val="auto"/>
        </w:rPr>
        <w:t xml:space="preserve">We believe there is a substantial supply of opportunities. </w:t>
      </w:r>
      <w:r>
        <w:rPr>
          <w:rFonts w:ascii="Arial" w:cs="Arial" w:eastAsia="Arial" w:hAnsi="Arial"/>
          <w:sz w:val="11"/>
          <w:szCs w:val="11"/>
          <w:color w:val="auto"/>
        </w:rPr>
        <w:t>A high volume of financings will come due in the next few years. Additionally, we believe that demand for debt financing from middle-market companies</w:t>
      </w:r>
      <w:r>
        <w:rPr>
          <w:rFonts w:ascii="Arial" w:cs="Arial" w:eastAsia="Arial" w:hAnsi="Arial"/>
          <w:sz w:val="11"/>
          <w:szCs w:val="11"/>
          <w:b w:val="1"/>
          <w:bCs w:val="1"/>
          <w:color w:val="auto"/>
        </w:rPr>
        <w:t xml:space="preserve"> </w:t>
      </w:r>
      <w:r>
        <w:rPr>
          <w:rFonts w:ascii="Arial" w:cs="Arial" w:eastAsia="Arial" w:hAnsi="Arial"/>
          <w:sz w:val="11"/>
          <w:szCs w:val="11"/>
          <w:color w:val="auto"/>
        </w:rPr>
        <w:t>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Competitive Advantages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believe that we have the following competitive advantages over other capital providers to middle-market companies:</w:t>
      </w:r>
    </w:p>
    <w:p>
      <w:pPr>
        <w:spacing w:after="0" w:line="119" w:lineRule="exact"/>
        <w:rPr>
          <w:sz w:val="20"/>
          <w:szCs w:val="20"/>
          <w:color w:val="auto"/>
        </w:rPr>
      </w:pPr>
    </w:p>
    <w:p>
      <w:pPr>
        <w:ind w:left="1120" w:hanging="451"/>
        <w:spacing w:after="0"/>
        <w:tabs>
          <w:tab w:leader="none" w:pos="1120" w:val="left"/>
        </w:tabs>
        <w:numPr>
          <w:ilvl w:val="0"/>
          <w:numId w:val="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Experienced Management Team</w:t>
      </w:r>
    </w:p>
    <w:p>
      <w:pPr>
        <w:spacing w:after="0" w:line="105" w:lineRule="exact"/>
        <w:rPr>
          <w:sz w:val="20"/>
          <w:szCs w:val="20"/>
          <w:color w:val="auto"/>
        </w:rPr>
      </w:pPr>
    </w:p>
    <w:p>
      <w:pPr>
        <w:ind w:right="100" w:firstLine="674"/>
        <w:spacing w:after="0" w:line="243" w:lineRule="auto"/>
        <w:rPr>
          <w:sz w:val="20"/>
          <w:szCs w:val="20"/>
          <w:color w:val="auto"/>
        </w:rPr>
      </w:pPr>
      <w:r>
        <w:rPr>
          <w:rFonts w:ascii="Arial" w:cs="Arial" w:eastAsia="Arial" w:hAnsi="Arial"/>
          <w:sz w:val="12"/>
          <w:szCs w:val="12"/>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94" w:lineRule="exact"/>
        <w:rPr>
          <w:sz w:val="20"/>
          <w:szCs w:val="20"/>
          <w:color w:val="auto"/>
        </w:rPr>
      </w:pPr>
    </w:p>
    <w:p>
      <w:pPr>
        <w:ind w:right="100" w:firstLine="674"/>
        <w:spacing w:after="0" w:line="243" w:lineRule="auto"/>
        <w:rPr>
          <w:sz w:val="20"/>
          <w:szCs w:val="20"/>
          <w:color w:val="auto"/>
        </w:rPr>
      </w:pPr>
      <w:r>
        <w:rPr>
          <w:rFonts w:ascii="Arial" w:cs="Arial" w:eastAsia="Arial" w:hAnsi="Arial"/>
          <w:sz w:val="12"/>
          <w:szCs w:val="12"/>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107" w:lineRule="exact"/>
        <w:rPr>
          <w:sz w:val="20"/>
          <w:szCs w:val="20"/>
          <w:color w:val="auto"/>
        </w:rPr>
      </w:pPr>
    </w:p>
    <w:p>
      <w:pPr>
        <w:ind w:left="880" w:hanging="211"/>
        <w:spacing w:after="0"/>
        <w:tabs>
          <w:tab w:leader="none" w:pos="880" w:val="left"/>
        </w:tabs>
        <w:numPr>
          <w:ilvl w:val="0"/>
          <w:numId w:val="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Disciplined Investment Approach with Strong Value Orientation</w:t>
      </w:r>
    </w:p>
    <w:p>
      <w:pPr>
        <w:spacing w:after="0" w:line="105" w:lineRule="exact"/>
        <w:rPr>
          <w:sz w:val="20"/>
          <w:szCs w:val="20"/>
          <w:color w:val="auto"/>
        </w:rPr>
      </w:pPr>
    </w:p>
    <w:p>
      <w:pPr>
        <w:jc w:val="both"/>
        <w:ind w:firstLine="674"/>
        <w:spacing w:after="0" w:line="243"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4" w:lineRule="exact"/>
        <w:rPr>
          <w:sz w:val="20"/>
          <w:szCs w:val="20"/>
          <w:color w:val="auto"/>
        </w:rPr>
      </w:pPr>
    </w:p>
    <w:p>
      <w:pPr>
        <w:ind w:right="140" w:firstLine="674"/>
        <w:spacing w:after="0" w:line="243" w:lineRule="auto"/>
        <w:rPr>
          <w:sz w:val="20"/>
          <w:szCs w:val="20"/>
          <w:color w:val="auto"/>
        </w:rPr>
      </w:pPr>
      <w:r>
        <w:rPr>
          <w:rFonts w:ascii="Arial" w:cs="Arial" w:eastAsia="Arial" w:hAnsi="Arial"/>
          <w:sz w:val="12"/>
          <w:szCs w:val="12"/>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addition to engaging in extensive due diligence, our Investment Adviser seeks to reduce risk by focusing on businesses with:</w:t>
      </w:r>
    </w:p>
    <w:p>
      <w:pPr>
        <w:sectPr>
          <w:pgSz w:w="11900" w:h="16838" w:orient="portrait"/>
          <w:cols w:equalWidth="0" w:num="1">
            <w:col w:w="11240"/>
          </w:cols>
          <w:pgMar w:left="320" w:top="459" w:right="339" w:bottom="1440" w:gutter="0" w:footer="0" w:header="0"/>
          <w:type w:val="continuous"/>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strong competitive positions;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positive cash flow that is steady and stable;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experienced management teams with strong track records;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potential for growth and viable exit strategies; and</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capital structures offering appropriate risk-adjusted terms and covenants.</w:t>
      </w:r>
    </w:p>
    <w:p>
      <w:pPr>
        <w:spacing w:after="0" w:line="234"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left="880" w:hanging="211"/>
        <w:spacing w:after="0"/>
        <w:tabs>
          <w:tab w:leader="none" w:pos="880" w:val="left"/>
        </w:tabs>
        <w:numPr>
          <w:ilvl w:val="0"/>
          <w:numId w:val="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Ability to Source and Evaluate Transactions through our Investment Adviser’s Research Capability and Established Network</w:t>
      </w:r>
    </w:p>
    <w:p>
      <w:pPr>
        <w:spacing w:after="0" w:line="105" w:lineRule="exact"/>
        <w:rPr>
          <w:sz w:val="20"/>
          <w:szCs w:val="20"/>
          <w:color w:val="auto"/>
        </w:rPr>
      </w:pPr>
    </w:p>
    <w:p>
      <w:pPr>
        <w:ind w:right="40" w:firstLine="674"/>
        <w:spacing w:after="0" w:line="276" w:lineRule="auto"/>
        <w:rPr>
          <w:sz w:val="20"/>
          <w:szCs w:val="20"/>
          <w:color w:val="auto"/>
        </w:rPr>
      </w:pPr>
      <w:r>
        <w:rPr>
          <w:rFonts w:ascii="Arial" w:cs="Arial" w:eastAsia="Arial" w:hAnsi="Arial"/>
          <w:sz w:val="11"/>
          <w:szCs w:val="11"/>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90" w:lineRule="exact"/>
        <w:rPr>
          <w:sz w:val="20"/>
          <w:szCs w:val="20"/>
          <w:color w:val="auto"/>
        </w:rPr>
      </w:pPr>
    </w:p>
    <w:p>
      <w:pPr>
        <w:ind w:left="1120" w:hanging="451"/>
        <w:spacing w:after="0"/>
        <w:tabs>
          <w:tab w:leader="none" w:pos="1120" w:val="left"/>
        </w:tabs>
        <w:numPr>
          <w:ilvl w:val="0"/>
          <w:numId w:val="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Flexible Transaction Structuring</w:t>
      </w:r>
    </w:p>
    <w:p>
      <w:pPr>
        <w:spacing w:after="0" w:line="105" w:lineRule="exact"/>
        <w:rPr>
          <w:sz w:val="20"/>
          <w:szCs w:val="20"/>
          <w:color w:val="auto"/>
        </w:rPr>
      </w:pPr>
    </w:p>
    <w:p>
      <w:pPr>
        <w:ind w:right="500" w:firstLine="674"/>
        <w:spacing w:after="0" w:line="252"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88"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88"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Competition</w:t>
      </w:r>
    </w:p>
    <w:p>
      <w:pPr>
        <w:spacing w:after="0" w:line="7" w:lineRule="exact"/>
        <w:rPr>
          <w:sz w:val="20"/>
          <w:szCs w:val="20"/>
          <w:color w:val="auto"/>
        </w:rPr>
      </w:pPr>
    </w:p>
    <w:p>
      <w:pPr>
        <w:jc w:val="both"/>
        <w:ind w:right="160" w:firstLine="674"/>
        <w:spacing w:after="0" w:line="236"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459"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firstLine="674"/>
        <w:spacing w:after="0"/>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Leverage</w:t>
      </w:r>
    </w:p>
    <w:p>
      <w:pPr>
        <w:spacing w:after="0" w:line="7" w:lineRule="exact"/>
        <w:rPr>
          <w:sz w:val="20"/>
          <w:szCs w:val="20"/>
          <w:color w:val="auto"/>
        </w:rPr>
      </w:pPr>
    </w:p>
    <w:p>
      <w:pPr>
        <w:ind w:right="20" w:firstLine="674"/>
        <w:spacing w:after="0" w:line="235" w:lineRule="auto"/>
        <w:rPr>
          <w:sz w:val="20"/>
          <w:szCs w:val="20"/>
          <w:color w:val="auto"/>
        </w:rPr>
      </w:pPr>
      <w:r>
        <w:rPr>
          <w:rFonts w:ascii="Arial" w:cs="Arial" w:eastAsia="Arial" w:hAnsi="Arial"/>
          <w:sz w:val="12"/>
          <w:szCs w:val="12"/>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the London Interbank Offered Rate, or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97" w:lineRule="exact"/>
        <w:rPr>
          <w:sz w:val="20"/>
          <w:szCs w:val="20"/>
          <w:color w:val="auto"/>
        </w:rPr>
      </w:pPr>
    </w:p>
    <w:p>
      <w:pPr>
        <w:jc w:val="both"/>
        <w:ind w:right="60" w:firstLine="674"/>
        <w:spacing w:after="0" w:line="276" w:lineRule="auto"/>
        <w:rPr>
          <w:sz w:val="20"/>
          <w:szCs w:val="20"/>
          <w:color w:val="auto"/>
        </w:rPr>
      </w:pPr>
      <w:r>
        <w:rPr>
          <w:rFonts w:ascii="Arial" w:cs="Arial" w:eastAsia="Arial" w:hAnsi="Arial"/>
          <w:sz w:val="11"/>
          <w:szCs w:val="11"/>
          <w:color w:val="auto"/>
        </w:rPr>
        <w:t>As of September 30, 2013 and 2012, SBIC LP had drawn $150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77" w:lineRule="exact"/>
        <w:rPr>
          <w:sz w:val="20"/>
          <w:szCs w:val="20"/>
          <w:color w:val="auto"/>
        </w:rPr>
      </w:pPr>
    </w:p>
    <w:p>
      <w:pPr>
        <w:ind w:right="60" w:firstLine="674"/>
        <w:spacing w:after="0" w:line="243" w:lineRule="auto"/>
        <w:rPr>
          <w:sz w:val="20"/>
          <w:szCs w:val="20"/>
          <w:color w:val="auto"/>
        </w:rPr>
      </w:pPr>
      <w:r>
        <w:rPr>
          <w:rFonts w:ascii="Arial" w:cs="Arial" w:eastAsia="Arial" w:hAnsi="Arial"/>
          <w:sz w:val="12"/>
          <w:szCs w:val="12"/>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Policy Overview</w:t>
      </w:r>
    </w:p>
    <w:p>
      <w:pPr>
        <w:spacing w:after="0" w:line="105" w:lineRule="exact"/>
        <w:rPr>
          <w:sz w:val="20"/>
          <w:szCs w:val="20"/>
          <w:color w:val="auto"/>
        </w:rPr>
      </w:pPr>
    </w:p>
    <w:p>
      <w:pPr>
        <w:ind w:right="140" w:firstLine="674"/>
        <w:spacing w:after="0"/>
        <w:rPr>
          <w:sz w:val="20"/>
          <w:szCs w:val="20"/>
          <w:color w:val="auto"/>
        </w:rPr>
      </w:pPr>
      <w:r>
        <w:rPr>
          <w:rFonts w:ascii="Arial" w:cs="Arial" w:eastAsia="Arial" w:hAnsi="Arial"/>
          <w:sz w:val="12"/>
          <w:szCs w:val="12"/>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96" w:lineRule="exact"/>
        <w:rPr>
          <w:sz w:val="20"/>
          <w:szCs w:val="20"/>
          <w:color w:val="auto"/>
        </w:rPr>
      </w:pPr>
    </w:p>
    <w:p>
      <w:pPr>
        <w:ind w:right="80" w:firstLine="674"/>
        <w:spacing w:after="0" w:line="269" w:lineRule="auto"/>
        <w:rPr>
          <w:sz w:val="20"/>
          <w:szCs w:val="20"/>
          <w:color w:val="auto"/>
        </w:rPr>
      </w:pPr>
      <w:r>
        <w:rPr>
          <w:rFonts w:ascii="Arial" w:cs="Arial" w:eastAsia="Arial" w:hAnsi="Arial"/>
          <w:sz w:val="11"/>
          <w:szCs w:val="11"/>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81" w:lineRule="exact"/>
        <w:rPr>
          <w:sz w:val="20"/>
          <w:szCs w:val="20"/>
          <w:color w:val="auto"/>
        </w:rPr>
      </w:pPr>
    </w:p>
    <w:p>
      <w:pPr>
        <w:ind w:firstLine="674"/>
        <w:spacing w:after="0" w:line="364" w:lineRule="auto"/>
        <w:rPr>
          <w:sz w:val="20"/>
          <w:szCs w:val="20"/>
          <w:color w:val="auto"/>
        </w:rPr>
      </w:pPr>
      <w:r>
        <w:rPr>
          <w:rFonts w:ascii="Arial" w:cs="Arial" w:eastAsia="Arial" w:hAnsi="Arial"/>
          <w:sz w:val="9"/>
          <w:szCs w:val="9"/>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Senior Secured Debt</w:t>
      </w:r>
    </w:p>
    <w:p>
      <w:pPr>
        <w:spacing w:after="0" w:line="105"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Mezzanine Debt</w:t>
      </w:r>
    </w:p>
    <w:p>
      <w:pPr>
        <w:spacing w:after="0" w:line="105" w:lineRule="exact"/>
        <w:rPr>
          <w:sz w:val="20"/>
          <w:szCs w:val="20"/>
          <w:color w:val="auto"/>
        </w:rPr>
      </w:pPr>
    </w:p>
    <w:p>
      <w:pPr>
        <w:ind w:right="40" w:firstLine="674"/>
        <w:spacing w:after="0" w:line="269" w:lineRule="auto"/>
        <w:rPr>
          <w:sz w:val="20"/>
          <w:szCs w:val="20"/>
          <w:color w:val="auto"/>
        </w:rPr>
      </w:pPr>
      <w:r>
        <w:rPr>
          <w:rFonts w:ascii="Arial" w:cs="Arial" w:eastAsia="Arial" w:hAnsi="Arial"/>
          <w:sz w:val="11"/>
          <w:szCs w:val="11"/>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Selection Criteria</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We are committed to a value-oriented philosophy used by the senior investment professionals who manage our portfolio and seek to minimize the risk of capital loss without foregoing potential for capital appreciation.</w:t>
      </w:r>
    </w:p>
    <w:p>
      <w:pPr>
        <w:spacing w:after="0" w:line="117" w:lineRule="exact"/>
        <w:rPr>
          <w:sz w:val="20"/>
          <w:szCs w:val="20"/>
          <w:color w:val="auto"/>
        </w:rPr>
      </w:pPr>
    </w:p>
    <w:p>
      <w:pPr>
        <w:ind w:right="40" w:firstLine="674"/>
        <w:spacing w:after="0" w:line="243" w:lineRule="auto"/>
        <w:rPr>
          <w:sz w:val="20"/>
          <w:szCs w:val="20"/>
          <w:color w:val="auto"/>
        </w:rPr>
      </w:pPr>
      <w:r>
        <w:rPr>
          <w:rFonts w:ascii="Arial" w:cs="Arial" w:eastAsia="Arial" w:hAnsi="Arial"/>
          <w:sz w:val="12"/>
          <w:szCs w:val="12"/>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07" w:lineRule="exact"/>
        <w:rPr>
          <w:sz w:val="20"/>
          <w:szCs w:val="20"/>
          <w:color w:val="auto"/>
        </w:rPr>
      </w:pPr>
    </w:p>
    <w:p>
      <w:pPr>
        <w:ind w:left="1120" w:hanging="451"/>
        <w:spacing w:after="0"/>
        <w:tabs>
          <w:tab w:leader="none" w:pos="1120"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Leading and defensible competitive market positions</w:t>
      </w:r>
    </w:p>
    <w:p>
      <w:pPr>
        <w:spacing w:after="0" w:line="105"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07" w:lineRule="exact"/>
        <w:rPr>
          <w:sz w:val="20"/>
          <w:szCs w:val="20"/>
          <w:color w:val="auto"/>
        </w:rPr>
      </w:pPr>
    </w:p>
    <w:p>
      <w:pPr>
        <w:ind w:left="1120" w:hanging="451"/>
        <w:spacing w:after="0"/>
        <w:tabs>
          <w:tab w:leader="none" w:pos="1120"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Investing in stable borrowers with positive cash flow</w:t>
      </w:r>
    </w:p>
    <w:p>
      <w:pPr>
        <w:spacing w:after="0" w:line="105" w:lineRule="exact"/>
        <w:rPr>
          <w:sz w:val="20"/>
          <w:szCs w:val="20"/>
          <w:color w:val="auto"/>
        </w:rPr>
      </w:pPr>
    </w:p>
    <w:p>
      <w:pPr>
        <w:jc w:val="both"/>
        <w:ind w:right="20" w:firstLine="674"/>
        <w:spacing w:after="0"/>
        <w:rPr>
          <w:sz w:val="20"/>
          <w:szCs w:val="20"/>
          <w:color w:val="auto"/>
        </w:rPr>
      </w:pPr>
      <w:r>
        <w:rPr>
          <w:rFonts w:ascii="Arial" w:cs="Arial" w:eastAsia="Arial" w:hAnsi="Arial"/>
          <w:sz w:val="12"/>
          <w:szCs w:val="12"/>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120" w:hanging="451"/>
        <w:spacing w:after="0"/>
        <w:tabs>
          <w:tab w:leader="none" w:pos="1120" w:val="left"/>
        </w:tabs>
        <w:numPr>
          <w:ilvl w:val="0"/>
          <w:numId w:val="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Proven management teams</w:t>
      </w:r>
    </w:p>
    <w:p>
      <w:pPr>
        <w:spacing w:after="0" w:line="105" w:lineRule="exact"/>
        <w:rPr>
          <w:sz w:val="20"/>
          <w:szCs w:val="20"/>
          <w:color w:val="auto"/>
        </w:rPr>
      </w:pPr>
    </w:p>
    <w:p>
      <w:pPr>
        <w:ind w:right="300" w:firstLine="674"/>
        <w:spacing w:after="0" w:line="252" w:lineRule="auto"/>
        <w:rPr>
          <w:sz w:val="20"/>
          <w:szCs w:val="20"/>
          <w:color w:val="auto"/>
        </w:rPr>
      </w:pPr>
      <w:r>
        <w:rPr>
          <w:rFonts w:ascii="Arial" w:cs="Arial" w:eastAsia="Arial" w:hAnsi="Arial"/>
          <w:sz w:val="12"/>
          <w:szCs w:val="12"/>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2" w:lineRule="exact"/>
        <w:rPr>
          <w:sz w:val="20"/>
          <w:szCs w:val="20"/>
          <w:color w:val="auto"/>
        </w:rPr>
      </w:pPr>
    </w:p>
    <w:p>
      <w:pPr>
        <w:ind w:left="1120" w:hanging="451"/>
        <w:spacing w:after="0"/>
        <w:tabs>
          <w:tab w:leader="none" w:pos="112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Financial sponsorship</w:t>
      </w:r>
    </w:p>
    <w:p>
      <w:pPr>
        <w:spacing w:after="0" w:line="105"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07" w:lineRule="exact"/>
        <w:rPr>
          <w:sz w:val="20"/>
          <w:szCs w:val="20"/>
          <w:color w:val="auto"/>
        </w:rPr>
      </w:pPr>
    </w:p>
    <w:p>
      <w:pPr>
        <w:ind w:left="1120" w:hanging="451"/>
        <w:spacing w:after="0"/>
        <w:tabs>
          <w:tab w:leader="none" w:pos="1120"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Investments in different borrowers and industries</w:t>
      </w:r>
    </w:p>
    <w:p>
      <w:pPr>
        <w:spacing w:after="0" w:line="105" w:lineRule="exact"/>
        <w:rPr>
          <w:sz w:val="20"/>
          <w:szCs w:val="20"/>
          <w:color w:val="auto"/>
        </w:rPr>
      </w:pPr>
    </w:p>
    <w:p>
      <w:pPr>
        <w:ind w:right="300" w:firstLine="674"/>
        <w:spacing w:after="0" w:line="252" w:lineRule="auto"/>
        <w:rPr>
          <w:sz w:val="20"/>
          <w:szCs w:val="20"/>
          <w:color w:val="auto"/>
        </w:rPr>
      </w:pPr>
      <w:r>
        <w:rPr>
          <w:rFonts w:ascii="Arial" w:cs="Arial" w:eastAsia="Arial" w:hAnsi="Arial"/>
          <w:sz w:val="12"/>
          <w:szCs w:val="12"/>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102" w:lineRule="exact"/>
        <w:rPr>
          <w:sz w:val="20"/>
          <w:szCs w:val="20"/>
          <w:color w:val="auto"/>
        </w:rPr>
      </w:pPr>
    </w:p>
    <w:p>
      <w:pPr>
        <w:ind w:left="1120" w:hanging="451"/>
        <w:spacing w:after="0"/>
        <w:tabs>
          <w:tab w:leader="none" w:pos="1120" w:val="left"/>
        </w:tabs>
        <w:numPr>
          <w:ilvl w:val="0"/>
          <w:numId w:val="1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Viable exit strategy</w:t>
      </w:r>
    </w:p>
    <w:p>
      <w:pPr>
        <w:spacing w:after="0" w:line="105" w:lineRule="exact"/>
        <w:rPr>
          <w:sz w:val="20"/>
          <w:szCs w:val="20"/>
          <w:color w:val="auto"/>
        </w:rPr>
      </w:pPr>
    </w:p>
    <w:p>
      <w:pPr>
        <w:ind w:firstLine="674"/>
        <w:spacing w:after="0"/>
        <w:rPr>
          <w:sz w:val="20"/>
          <w:szCs w:val="20"/>
          <w:color w:val="auto"/>
        </w:rPr>
      </w:pPr>
      <w:r>
        <w:rPr>
          <w:rFonts w:ascii="Arial" w:cs="Arial" w:eastAsia="Arial" w:hAnsi="Arial"/>
          <w:sz w:val="12"/>
          <w:szCs w:val="12"/>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Diligence</w:t>
      </w:r>
    </w:p>
    <w:p>
      <w:pPr>
        <w:spacing w:after="0" w:line="105" w:lineRule="exact"/>
        <w:rPr>
          <w:sz w:val="20"/>
          <w:szCs w:val="20"/>
          <w:color w:val="auto"/>
        </w:rPr>
      </w:pPr>
    </w:p>
    <w:p>
      <w:pPr>
        <w:jc w:val="both"/>
        <w:ind w:right="160" w:firstLine="674"/>
        <w:spacing w:after="0" w:line="276" w:lineRule="auto"/>
        <w:rPr>
          <w:sz w:val="20"/>
          <w:szCs w:val="20"/>
          <w:color w:val="auto"/>
        </w:rPr>
      </w:pPr>
      <w:r>
        <w:rPr>
          <w:rFonts w:ascii="Arial" w:cs="Arial" w:eastAsia="Arial" w:hAnsi="Arial"/>
          <w:sz w:val="11"/>
          <w:szCs w:val="11"/>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due diligence typically includes:</w:t>
      </w:r>
    </w:p>
    <w:p>
      <w:pPr>
        <w:sectPr>
          <w:pgSz w:w="11900" w:h="16838" w:orient="portrait"/>
          <w:cols w:equalWidth="0" w:num="1">
            <w:col w:w="11220"/>
          </w:cols>
          <w:pgMar w:left="320" w:top="459" w:right="359" w:bottom="1440" w:gutter="0" w:footer="0" w:header="0"/>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review of historical and prospective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research relating to the company’s management, industry, markets, products and services and competitors;</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interviews with management, employees, customers and vendors of the potential portfolio company;</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on-site visits;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review of loan documents; and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background checks.</w:t>
      </w:r>
    </w:p>
    <w:p>
      <w:pPr>
        <w:spacing w:after="0" w:line="185" w:lineRule="exact"/>
        <w:rPr>
          <w:sz w:val="20"/>
          <w:szCs w:val="20"/>
          <w:color w:val="auto"/>
        </w:rPr>
      </w:pPr>
    </w:p>
    <w:p>
      <w:pPr>
        <w:sectPr>
          <w:pgSz w:w="11900" w:h="16838" w:orient="portrait"/>
          <w:cols w:equalWidth="0" w:num="2">
            <w:col w:w="740" w:space="360"/>
            <w:col w:w="10120"/>
          </w:cols>
          <w:pgMar w:left="320" w:top="459" w:right="359" w:bottom="1440" w:gutter="0" w:footer="0" w:header="0"/>
          <w:type w:val="continuous"/>
        </w:sectPr>
      </w:pPr>
    </w:p>
    <w:p>
      <w:pPr>
        <w:ind w:left="680"/>
        <w:spacing w:after="0"/>
        <w:rPr>
          <w:sz w:val="20"/>
          <w:szCs w:val="20"/>
          <w:color w:val="auto"/>
        </w:rPr>
      </w:pPr>
      <w:r>
        <w:rPr>
          <w:rFonts w:ascii="Arial" w:cs="Arial" w:eastAsia="Arial" w:hAnsi="Arial"/>
          <w:sz w:val="11"/>
          <w:szCs w:val="11"/>
          <w:color w:val="auto"/>
        </w:rPr>
        <w:t>Additional due diligence with respect to any investment may be conducted on our behalf by attorneys and independent auditors prior to the closing of the investment, as well as other outside advisers, as appropriate.</w:t>
      </w:r>
    </w:p>
    <w:p>
      <w:pPr>
        <w:spacing w:after="0" w:line="117" w:lineRule="exact"/>
        <w:rPr>
          <w:sz w:val="20"/>
          <w:szCs w:val="20"/>
          <w:color w:val="auto"/>
        </w:rPr>
      </w:pPr>
    </w:p>
    <w:p>
      <w:pPr>
        <w:jc w:val="both"/>
        <w:ind w:right="180" w:firstLine="674"/>
        <w:spacing w:after="0" w:line="243" w:lineRule="auto"/>
        <w:rPr>
          <w:sz w:val="20"/>
          <w:szCs w:val="20"/>
          <w:color w:val="auto"/>
        </w:rPr>
      </w:pPr>
      <w:r>
        <w:rPr>
          <w:rFonts w:ascii="Arial" w:cs="Arial" w:eastAsia="Arial" w:hAnsi="Arial"/>
          <w:sz w:val="12"/>
          <w:szCs w:val="12"/>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94" w:lineRule="exact"/>
        <w:rPr>
          <w:sz w:val="20"/>
          <w:szCs w:val="20"/>
          <w:color w:val="auto"/>
        </w:rPr>
      </w:pPr>
    </w:p>
    <w:p>
      <w:pPr>
        <w:ind w:right="60" w:firstLine="674"/>
        <w:spacing w:after="0" w:line="269" w:lineRule="auto"/>
        <w:rPr>
          <w:sz w:val="20"/>
          <w:szCs w:val="20"/>
          <w:color w:val="auto"/>
        </w:rPr>
      </w:pPr>
      <w:r>
        <w:rPr>
          <w:rFonts w:ascii="Arial" w:cs="Arial" w:eastAsia="Arial" w:hAnsi="Arial"/>
          <w:sz w:val="11"/>
          <w:szCs w:val="11"/>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Structure</w:t>
      </w:r>
    </w:p>
    <w:p>
      <w:pPr>
        <w:spacing w:after="0" w:line="105" w:lineRule="exact"/>
        <w:rPr>
          <w:sz w:val="20"/>
          <w:szCs w:val="20"/>
          <w:color w:val="auto"/>
        </w:rPr>
      </w:pPr>
    </w:p>
    <w:p>
      <w:pPr>
        <w:jc w:val="both"/>
        <w:ind w:right="20" w:firstLine="674"/>
        <w:spacing w:after="0" w:line="252"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88" w:lineRule="exact"/>
        <w:rPr>
          <w:sz w:val="20"/>
          <w:szCs w:val="20"/>
          <w:color w:val="auto"/>
        </w:rPr>
      </w:pPr>
    </w:p>
    <w:p>
      <w:pPr>
        <w:jc w:val="both"/>
        <w:ind w:right="40" w:firstLine="674"/>
        <w:spacing w:after="0" w:line="252" w:lineRule="auto"/>
        <w:rPr>
          <w:sz w:val="20"/>
          <w:szCs w:val="20"/>
          <w:color w:val="auto"/>
        </w:rPr>
      </w:pPr>
      <w:r>
        <w:rPr>
          <w:rFonts w:ascii="Arial" w:cs="Arial" w:eastAsia="Arial" w:hAnsi="Arial"/>
          <w:sz w:val="12"/>
          <w:szCs w:val="12"/>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88" w:lineRule="exact"/>
        <w:rPr>
          <w:sz w:val="20"/>
          <w:szCs w:val="20"/>
          <w:color w:val="auto"/>
        </w:rPr>
      </w:pPr>
    </w:p>
    <w:p>
      <w:pPr>
        <w:jc w:val="both"/>
        <w:ind w:right="40" w:firstLine="674"/>
        <w:spacing w:after="0" w:line="243" w:lineRule="auto"/>
        <w:rPr>
          <w:sz w:val="20"/>
          <w:szCs w:val="20"/>
          <w:color w:val="auto"/>
        </w:rPr>
      </w:pPr>
      <w:r>
        <w:rPr>
          <w:rFonts w:ascii="Arial" w:cs="Arial" w:eastAsia="Arial" w:hAnsi="Arial"/>
          <w:sz w:val="12"/>
          <w:szCs w:val="12"/>
          <w:color w:val="auto"/>
        </w:rPr>
        <w:t>Typically, our mezzanine debt has maturities of three to ten years. Mezzanine debt may have interest-only payments in the early years with cash or payment-in-kind, or PIK, payments with amortization of principal deferred to the later years. In some cases, we may invest in debt securities that, by their terms, convert into equity or additional debt securities or defers payment of interest for the first few years after our investment. Also, in some cases our mezzanine debt may be collateralized by a subordinated lien on some or all of the assets of the borrower.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20"/>
          </w:cols>
          <w:pgMar w:left="320" w:top="459"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ectPr>
          <w:pgSz w:w="11900" w:h="16838" w:orient="portrait"/>
          <w:cols w:equalWidth="0" w:num="1">
            <w:col w:w="11240"/>
          </w:cols>
          <w:pgMar w:left="320" w:top="459" w:right="339" w:bottom="1440" w:gutter="0" w:footer="0" w:header="0"/>
        </w:sectPr>
      </w:pP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requiring a total return on our investments (including both interest in the form of a floor and potential equity appreciation) that compensates us for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incorporating “put” rights and call protection into the investment structure; and</w:t>
      </w:r>
    </w:p>
    <w:p>
      <w:pPr>
        <w:spacing w:after="0" w:line="200" w:lineRule="exact"/>
        <w:rPr>
          <w:sz w:val="20"/>
          <w:szCs w:val="20"/>
          <w:color w:val="auto"/>
        </w:rPr>
      </w:pPr>
    </w:p>
    <w:p>
      <w:pPr>
        <w:ind w:right="440"/>
        <w:spacing w:after="0" w:line="416" w:lineRule="auto"/>
        <w:rPr>
          <w:sz w:val="20"/>
          <w:szCs w:val="20"/>
          <w:color w:val="auto"/>
        </w:rPr>
      </w:pPr>
      <w:r>
        <w:rPr>
          <w:rFonts w:ascii="Arial" w:cs="Arial" w:eastAsia="Arial" w:hAnsi="Arial"/>
          <w:sz w:val="9"/>
          <w:szCs w:val="9"/>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9"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right="100" w:firstLine="786"/>
        <w:spacing w:after="0"/>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96" w:lineRule="exact"/>
        <w:rPr>
          <w:sz w:val="20"/>
          <w:szCs w:val="20"/>
          <w:color w:val="auto"/>
        </w:rPr>
      </w:pPr>
    </w:p>
    <w:p>
      <w:pPr>
        <w:ind w:right="60" w:firstLine="786"/>
        <w:spacing w:after="0" w:line="252" w:lineRule="auto"/>
        <w:rPr>
          <w:sz w:val="20"/>
          <w:szCs w:val="20"/>
          <w:color w:val="auto"/>
        </w:rPr>
      </w:pPr>
      <w:r>
        <w:rPr>
          <w:rFonts w:ascii="Arial" w:cs="Arial" w:eastAsia="Arial" w:hAnsi="Arial"/>
          <w:sz w:val="12"/>
          <w:szCs w:val="12"/>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Ongoing Relationships with Portfolio Companies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Monitoring</w:t>
      </w:r>
    </w:p>
    <w:p>
      <w:pPr>
        <w:spacing w:after="0" w:line="105" w:lineRule="exact"/>
        <w:rPr>
          <w:sz w:val="20"/>
          <w:szCs w:val="20"/>
          <w:color w:val="auto"/>
        </w:rPr>
      </w:pPr>
    </w:p>
    <w:p>
      <w:pPr>
        <w:ind w:right="100" w:firstLine="786"/>
        <w:spacing w:after="0" w:line="252" w:lineRule="auto"/>
        <w:rPr>
          <w:sz w:val="20"/>
          <w:szCs w:val="20"/>
          <w:color w:val="auto"/>
        </w:rPr>
      </w:pPr>
      <w:r>
        <w:rPr>
          <w:rFonts w:ascii="Arial" w:cs="Arial" w:eastAsia="Arial" w:hAnsi="Arial"/>
          <w:sz w:val="12"/>
          <w:szCs w:val="12"/>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Investment Adviser has several methods of evaluating and monitoring the performance and fair value of our investments, which may include the following:</w:t>
      </w:r>
    </w:p>
    <w:p>
      <w:pPr>
        <w:sectPr>
          <w:pgSz w:w="11900" w:h="16838" w:orient="portrait"/>
          <w:cols w:equalWidth="0" w:num="1">
            <w:col w:w="11240"/>
          </w:cols>
          <w:pgMar w:left="320" w:top="459" w:right="339" w:bottom="1440" w:gutter="0" w:footer="0" w:header="0"/>
          <w:type w:val="continuous"/>
        </w:sectPr>
      </w:pPr>
    </w:p>
    <w:p>
      <w:pPr>
        <w:spacing w:after="0" w:line="11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assessment of success in adhering to a portfolio company’s business plan and compliance with covenants;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periodic or regular contact with portfolio company management and, if appropriate, the financial or strategic sponsor, to discuss financial position, requirements and accomplishments;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comparisons to other portfolio companies in the industry, if any;</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attendance at and participation in board meetings or presentations by portfolio companies; and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review of monthly and quarterly financial statements and financial projections for portfolio companies.</w:t>
      </w:r>
    </w:p>
    <w:p>
      <w:pPr>
        <w:spacing w:after="0" w:line="186" w:lineRule="exact"/>
        <w:rPr>
          <w:sz w:val="20"/>
          <w:szCs w:val="20"/>
          <w:color w:val="auto"/>
        </w:rPr>
      </w:pPr>
    </w:p>
    <w:p>
      <w:pPr>
        <w:sectPr>
          <w:pgSz w:w="11900" w:h="16838" w:orient="portrait"/>
          <w:cols w:equalWidth="0" w:num="2">
            <w:col w:w="860" w:space="360"/>
            <w:col w:w="10020"/>
          </w:cols>
          <w:pgMar w:left="320" w:top="459" w:right="339" w:bottom="1440" w:gutter="0" w:footer="0" w:header="0"/>
          <w:type w:val="continuous"/>
        </w:sectPr>
      </w:pPr>
    </w:p>
    <w:p>
      <w:pPr>
        <w:ind w:left="340"/>
        <w:spacing w:after="0"/>
        <w:rPr>
          <w:sz w:val="20"/>
          <w:szCs w:val="20"/>
          <w:color w:val="auto"/>
        </w:rPr>
      </w:pPr>
      <w:r>
        <w:rPr>
          <w:rFonts w:ascii="Arial" w:cs="Arial" w:eastAsia="Arial" w:hAnsi="Arial"/>
          <w:sz w:val="12"/>
          <w:szCs w:val="12"/>
          <w:b w:val="1"/>
          <w:bCs w:val="1"/>
          <w:i w:val="1"/>
          <w:iCs w:val="1"/>
          <w:color w:val="auto"/>
        </w:rPr>
        <w:t>Managerial Assistance</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9"/>
          <w:szCs w:val="9"/>
          <w:color w:val="auto"/>
        </w:rPr>
        <w:t>We offer managerial assistance to our portfolio companies. As a BDC, we are required to make available such managerial assistance within the meaning of Section 55 of the 1940 Act. See “Regulation” for more information.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Staffing</w:t>
      </w:r>
    </w:p>
    <w:p>
      <w:pPr>
        <w:spacing w:after="0" w:line="105" w:lineRule="exact"/>
        <w:rPr>
          <w:sz w:val="20"/>
          <w:szCs w:val="20"/>
          <w:color w:val="auto"/>
        </w:rPr>
      </w:pPr>
    </w:p>
    <w:p>
      <w:pPr>
        <w:ind w:right="140" w:firstLine="674"/>
        <w:spacing w:after="0" w:line="252" w:lineRule="auto"/>
        <w:rPr>
          <w:sz w:val="20"/>
          <w:szCs w:val="20"/>
          <w:color w:val="auto"/>
        </w:rPr>
      </w:pPr>
      <w:r>
        <w:rPr>
          <w:rFonts w:ascii="Arial" w:cs="Arial" w:eastAsia="Arial" w:hAnsi="Arial"/>
          <w:sz w:val="12"/>
          <w:szCs w:val="12"/>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Corporate Information</w:t>
      </w:r>
    </w:p>
    <w:p>
      <w:pPr>
        <w:spacing w:after="0" w:line="105" w:lineRule="exact"/>
        <w:rPr>
          <w:sz w:val="20"/>
          <w:szCs w:val="20"/>
          <w:color w:val="auto"/>
        </w:rPr>
      </w:pPr>
    </w:p>
    <w:p>
      <w:pPr>
        <w:ind w:right="20" w:firstLine="786"/>
        <w:spacing w:after="0" w:line="338" w:lineRule="auto"/>
        <w:rPr>
          <w:sz w:val="20"/>
          <w:szCs w:val="20"/>
          <w:color w:val="auto"/>
        </w:rPr>
      </w:pPr>
      <w:r>
        <w:rPr>
          <w:rFonts w:ascii="Arial" w:cs="Arial" w:eastAsia="Arial" w:hAnsi="Arial"/>
          <w:sz w:val="9"/>
          <w:szCs w:val="9"/>
          <w:color w:val="auto"/>
        </w:rPr>
        <w:t xml:space="preserve">Our administrative and principal executive offices are located at 590 Madison Avenue, 15th Floor, New York, NY 10022. Our common stock is quoted on the NASDAQ Global Select Market under the symbol “PNNT.” Our 2025 Notes are quoted on the New York Stock Exchange, or the NYSE, under the symbol “PNTA.” Our phone number is (212) 905-1000, and our Internet website address is </w:t>
      </w:r>
      <w:r>
        <w:rPr>
          <w:rFonts w:ascii="Arial" w:cs="Arial" w:eastAsia="Arial" w:hAnsi="Arial"/>
          <w:sz w:val="9"/>
          <w:szCs w:val="9"/>
          <w:i w:val="1"/>
          <w:iCs w:val="1"/>
          <w:u w:val="single" w:color="auto"/>
          <w:color w:val="auto"/>
        </w:rPr>
        <w:t>www.pennantpark.com</w:t>
      </w:r>
      <w:r>
        <w:rPr>
          <w:rFonts w:ascii="Arial" w:cs="Arial" w:eastAsia="Arial" w:hAnsi="Arial"/>
          <w:sz w:val="9"/>
          <w:szCs w:val="9"/>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9"/>
          <w:szCs w:val="9"/>
          <w:i w:val="1"/>
          <w:iCs w:val="1"/>
          <w:u w:val="single" w:color="auto"/>
          <w:color w:val="auto"/>
        </w:rPr>
        <w:t>www.sec.gov</w:t>
      </w:r>
      <w:r>
        <w:rPr>
          <w:rFonts w:ascii="Arial" w:cs="Arial" w:eastAsia="Arial" w:hAnsi="Arial"/>
          <w:sz w:val="9"/>
          <w:szCs w:val="9"/>
          <w:color w:val="auto"/>
        </w:rPr>
        <w:t xml:space="preserve"> that contains material that we file with the SEC on the EDGAR Database.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40"/>
          </w:cols>
          <w:pgMar w:left="320" w:top="45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Consolidated Portfolio</w:t>
      </w:r>
    </w:p>
    <w:p>
      <w:pPr>
        <w:spacing w:after="0" w:line="105" w:lineRule="exact"/>
        <w:rPr>
          <w:sz w:val="20"/>
          <w:szCs w:val="20"/>
          <w:color w:val="auto"/>
        </w:rPr>
      </w:pPr>
    </w:p>
    <w:p>
      <w:pPr>
        <w:ind w:right="120" w:firstLine="674"/>
        <w:spacing w:after="0" w:line="297" w:lineRule="auto"/>
        <w:rPr>
          <w:sz w:val="20"/>
          <w:szCs w:val="20"/>
          <w:color w:val="auto"/>
        </w:rPr>
      </w:pPr>
      <w:r>
        <w:rPr>
          <w:rFonts w:ascii="Arial" w:cs="Arial" w:eastAsia="Arial" w:hAnsi="Arial"/>
          <w:sz w:val="11"/>
          <w:szCs w:val="11"/>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240"/>
          </w:cols>
          <w:pgMar w:left="320" w:top="459" w:right="339" w:bottom="1440" w:gutter="0" w:footer="0" w:header="0"/>
        </w:sectPr>
      </w:pPr>
    </w:p>
    <w:p>
      <w:pPr>
        <w:spacing w:after="0" w:line="1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Aerospace and Defense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Auto Sector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Beverage, Food and Tobacco</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Broadcasting and Entertainment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Buildings and Real Estate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Business Services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Cable Television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Cargo Transportation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Chemicals, Plastics and Rubber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Communications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Consumer Products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Containers Packaging &amp; Glass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Distribution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Diversified/Conglomerate Manufacturing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Diversified/Conglomerate Services</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color w:val="auto"/>
        </w:rPr>
        <w:t>Diversified Natural Resources, Precious Metals and Minerals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Education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Electronics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Energy/Utilities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Environmental Services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Financial Services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Grocery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Healthcare, Education and Childcare</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color w:val="auto"/>
        </w:rPr>
        <w:t>Home &amp; Office Furnishings, Housewares &amp; Durable Consumer Products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Hotels, Motels, Inns and Gaming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Insurance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Leisure, Amusement, Motion Picture, Entertainment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Logistics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Manufacturing/Basic Industries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Media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Mining, Steel, Iron and Non-Precious Metals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Oil and Gas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Other Media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Personal, Food and Miscellaneous Services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Printing and Publishing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Retail Stores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Telecommunications</w:t>
      </w:r>
    </w:p>
    <w:p>
      <w:pPr>
        <w:spacing w:after="0" w:line="425" w:lineRule="exact"/>
        <w:rPr>
          <w:sz w:val="20"/>
          <w:szCs w:val="20"/>
          <w:color w:val="auto"/>
        </w:rPr>
      </w:pPr>
    </w:p>
    <w:p>
      <w:pPr>
        <w:sectPr>
          <w:pgSz w:w="11900" w:h="16838" w:orient="portrait"/>
          <w:cols w:equalWidth="0" w:num="4">
            <w:col w:w="160" w:space="80"/>
            <w:col w:w="5100" w:space="720"/>
            <w:col w:w="60" w:space="80"/>
            <w:col w:w="5040"/>
          </w:cols>
          <w:pgMar w:left="320" w:top="459" w:right="339" w:bottom="1440" w:gutter="0" w:footer="0" w:header="0"/>
          <w:type w:val="continuous"/>
        </w:sectPr>
      </w:pPr>
    </w:p>
    <w:p>
      <w:pPr>
        <w:spacing w:after="0" w:line="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 September 30: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2013</w:t>
            </w: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2012</w:t>
            </w:r>
          </w:p>
        </w:tc>
        <w:tc>
          <w:tcPr>
            <w:tcW w:w="140" w:type="dxa"/>
            <w:vAlign w:val="bottom"/>
            <w:tcBorders>
              <w:bottom w:val="single" w:sz="8" w:color="CCEEFF"/>
            </w:tcBorders>
          </w:tcPr>
          <w:p>
            <w:pPr>
              <w:spacing w:after="0"/>
              <w:rPr>
                <w:sz w:val="13"/>
                <w:szCs w:val="13"/>
                <w:color w:val="auto"/>
              </w:rPr>
            </w:pPr>
          </w:p>
        </w:tc>
      </w:tr>
      <w:tr>
        <w:trPr>
          <w:trHeight w:val="128"/>
        </w:trPr>
        <w:tc>
          <w:tcPr>
            <w:tcW w:w="5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Pre-Paid Legal Services, Inc.</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1"/>
                <w:szCs w:val="11"/>
                <w:color w:val="auto"/>
              </w:rPr>
            </w:pPr>
          </w:p>
        </w:tc>
        <w:tc>
          <w:tcPr>
            <w:tcW w:w="49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Last Mile Funding, Corp. (3 PD, Inc.)</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w:t>
            </w:r>
          </w:p>
        </w:tc>
      </w:tr>
      <w:tr>
        <w:trPr>
          <w:trHeight w:val="129"/>
        </w:trPr>
        <w:tc>
          <w:tcPr>
            <w:tcW w:w="5340" w:type="dxa"/>
            <w:vAlign w:val="bottom"/>
            <w:gridSpan w:val="2"/>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42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5</w:t>
            </w:r>
          </w:p>
        </w:tc>
        <w:tc>
          <w:tcPr>
            <w:tcW w:w="5100" w:type="dxa"/>
            <w:vAlign w:val="bottom"/>
            <w:gridSpan w:val="3"/>
          </w:tcPr>
          <w:p>
            <w:pPr>
              <w:ind w:left="60"/>
              <w:spacing w:after="0" w:line="129" w:lineRule="exact"/>
              <w:rPr>
                <w:sz w:val="20"/>
                <w:szCs w:val="20"/>
                <w:color w:val="auto"/>
              </w:rPr>
            </w:pPr>
            <w:r>
              <w:rPr>
                <w:rFonts w:ascii="Arial" w:cs="Arial" w:eastAsia="Arial" w:hAnsi="Arial"/>
                <w:sz w:val="12"/>
                <w:szCs w:val="12"/>
                <w:color w:val="auto"/>
              </w:rPr>
              <w:t>Magnum Hunter Resources Corporation</w:t>
            </w:r>
          </w:p>
        </w:tc>
        <w:tc>
          <w:tcPr>
            <w:tcW w:w="3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w:t>
            </w:r>
          </w:p>
        </w:tc>
      </w:tr>
      <w:tr>
        <w:trPr>
          <w:trHeight w:val="151"/>
        </w:trPr>
        <w:tc>
          <w:tcPr>
            <w:tcW w:w="5340" w:type="dxa"/>
            <w:vAlign w:val="bottom"/>
            <w:gridSpan w:val="2"/>
          </w:tcPr>
          <w:p>
            <w:pPr>
              <w:spacing w:after="0"/>
              <w:rPr>
                <w:sz w:val="20"/>
                <w:szCs w:val="20"/>
                <w:color w:val="auto"/>
              </w:rPr>
            </w:pPr>
            <w:r>
              <w:rPr>
                <w:rFonts w:ascii="Arial" w:cs="Arial" w:eastAsia="Arial" w:hAnsi="Arial"/>
                <w:sz w:val="12"/>
                <w:szCs w:val="12"/>
                <w:color w:val="auto"/>
              </w:rPr>
              <w:t>(Eureka Hunter Pipeline, LLC)</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(Eureka Hunter Pipeline, LLC)</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LTI Flexible Products, Inc.</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r>
      <w:tr>
        <w:trPr>
          <w:trHeight w:val="129"/>
        </w:trPr>
        <w:tc>
          <w:tcPr>
            <w:tcW w:w="5340" w:type="dxa"/>
            <w:vAlign w:val="bottom"/>
            <w:gridSpan w:val="2"/>
          </w:tcPr>
          <w:p>
            <w:pPr>
              <w:spacing w:after="0" w:line="129" w:lineRule="exact"/>
              <w:rPr>
                <w:sz w:val="20"/>
                <w:szCs w:val="20"/>
                <w:color w:val="auto"/>
              </w:rPr>
            </w:pPr>
            <w:r>
              <w:rPr>
                <w:rFonts w:ascii="Arial" w:cs="Arial" w:eastAsia="Arial" w:hAnsi="Arial"/>
                <w:sz w:val="12"/>
                <w:szCs w:val="12"/>
                <w:color w:val="auto"/>
              </w:rPr>
              <w:t>Jacobs Entertainment, Inc.</w:t>
            </w:r>
          </w:p>
        </w:tc>
        <w:tc>
          <w:tcPr>
            <w:tcW w:w="42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4</w:t>
            </w:r>
          </w:p>
        </w:tc>
        <w:tc>
          <w:tcPr>
            <w:tcW w:w="5100" w:type="dxa"/>
            <w:vAlign w:val="bottom"/>
            <w:gridSpan w:val="3"/>
          </w:tcPr>
          <w:p>
            <w:pPr>
              <w:ind w:left="60"/>
              <w:spacing w:after="0" w:line="129" w:lineRule="exact"/>
              <w:rPr>
                <w:sz w:val="20"/>
                <w:szCs w:val="20"/>
                <w:color w:val="auto"/>
              </w:rPr>
            </w:pPr>
            <w:r>
              <w:rPr>
                <w:rFonts w:ascii="Arial" w:cs="Arial" w:eastAsia="Arial" w:hAnsi="Arial"/>
                <w:sz w:val="12"/>
                <w:szCs w:val="12"/>
                <w:color w:val="auto"/>
              </w:rPr>
              <w:t>New Service Champ Holdings, Inc.</w:t>
            </w:r>
          </w:p>
        </w:tc>
        <w:tc>
          <w:tcPr>
            <w:tcW w:w="3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w:t>
            </w:r>
          </w:p>
        </w:tc>
      </w:tr>
      <w:tr>
        <w:trPr>
          <w:trHeight w:val="15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(Service Champ Inc.)</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LTI Flexible Products, Inc.</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Pre-Paid Legal Services, Inc.</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r>
      <w:tr>
        <w:trPr>
          <w:trHeight w:val="148"/>
        </w:trPr>
        <w:tc>
          <w:tcPr>
            <w:tcW w:w="5340" w:type="dxa"/>
            <w:vAlign w:val="bottom"/>
            <w:gridSpan w:val="2"/>
          </w:tcPr>
          <w:p>
            <w:pPr>
              <w:spacing w:after="0"/>
              <w:rPr>
                <w:sz w:val="20"/>
                <w:szCs w:val="20"/>
                <w:color w:val="auto"/>
              </w:rPr>
            </w:pPr>
            <w:r>
              <w:rPr>
                <w:rFonts w:ascii="Arial" w:cs="Arial" w:eastAsia="Arial" w:hAnsi="Arial"/>
                <w:sz w:val="12"/>
                <w:szCs w:val="12"/>
                <w:color w:val="auto"/>
              </w:rPr>
              <w:t>Vestcom International, Inc.</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4</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American Gilsonite Company</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r>
      <w:tr>
        <w:trPr>
          <w:trHeight w:val="149"/>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Brand Energy and Infrastructure Services, Inc.</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r>
      <w:tr>
        <w:trPr>
          <w:trHeight w:val="148"/>
        </w:trPr>
        <w:tc>
          <w:tcPr>
            <w:tcW w:w="5340" w:type="dxa"/>
            <w:vAlign w:val="bottom"/>
            <w:gridSpan w:val="2"/>
          </w:tcPr>
          <w:p>
            <w:pPr>
              <w:spacing w:after="0"/>
              <w:rPr>
                <w:sz w:val="20"/>
                <w:szCs w:val="20"/>
                <w:color w:val="auto"/>
              </w:rPr>
            </w:pPr>
            <w:r>
              <w:rPr>
                <w:rFonts w:ascii="Arial" w:cs="Arial" w:eastAsia="Arial" w:hAnsi="Arial"/>
                <w:sz w:val="12"/>
                <w:szCs w:val="12"/>
                <w:color w:val="auto"/>
              </w:rPr>
              <w:t>Penton Media, Inc.</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Learning Care Group, Inc.</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Penton Media, Inc.</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w:t>
            </w:r>
          </w:p>
        </w:tc>
      </w:tr>
      <w:tr>
        <w:trPr>
          <w:trHeight w:val="156"/>
        </w:trPr>
        <w:tc>
          <w:tcPr>
            <w:tcW w:w="5340" w:type="dxa"/>
            <w:vAlign w:val="bottom"/>
            <w:gridSpan w:val="2"/>
          </w:tcPr>
          <w:p>
            <w:pPr>
              <w:spacing w:after="0"/>
              <w:rPr>
                <w:sz w:val="20"/>
                <w:szCs w:val="20"/>
                <w:color w:val="auto"/>
              </w:rPr>
            </w:pPr>
            <w:r>
              <w:rPr>
                <w:rFonts w:ascii="Arial" w:cs="Arial" w:eastAsia="Arial" w:hAnsi="Arial"/>
                <w:sz w:val="12"/>
                <w:szCs w:val="12"/>
                <w:color w:val="auto"/>
              </w:rPr>
              <w:t>Varel International Energy Mezzanine Funding Corp.</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Prince Mineral Holdings Corp.</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Industry</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2013</w:t>
            </w: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Industry</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2012</w:t>
            </w:r>
          </w:p>
        </w:tc>
        <w:tc>
          <w:tcPr>
            <w:tcW w:w="140" w:type="dxa"/>
            <w:vAlign w:val="bottom"/>
            <w:tcBorders>
              <w:bottom w:val="single" w:sz="8" w:color="CCEEFF"/>
            </w:tcBorders>
          </w:tcPr>
          <w:p>
            <w:pPr>
              <w:spacing w:after="0"/>
              <w:rPr>
                <w:sz w:val="13"/>
                <w:szCs w:val="13"/>
                <w:color w:val="auto"/>
              </w:rPr>
            </w:pPr>
          </w:p>
        </w:tc>
      </w:tr>
      <w:tr>
        <w:trPr>
          <w:trHeight w:val="129"/>
        </w:trPr>
        <w:tc>
          <w:tcPr>
            <w:tcW w:w="5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Personal, Food and Miscellaneous Services</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1"/>
                <w:szCs w:val="11"/>
                <w:color w:val="auto"/>
              </w:rPr>
            </w:pPr>
          </w:p>
        </w:tc>
        <w:tc>
          <w:tcPr>
            <w:tcW w:w="49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Healthcare, Education &amp; Childcare</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8%</w:t>
            </w:r>
          </w:p>
        </w:tc>
      </w:tr>
      <w:tr>
        <w:trPr>
          <w:trHeight w:val="148"/>
        </w:trPr>
        <w:tc>
          <w:tcPr>
            <w:tcW w:w="5340" w:type="dxa"/>
            <w:vAlign w:val="bottom"/>
            <w:gridSpan w:val="2"/>
          </w:tcPr>
          <w:p>
            <w:pPr>
              <w:spacing w:after="0"/>
              <w:rPr>
                <w:sz w:val="20"/>
                <w:szCs w:val="20"/>
                <w:color w:val="auto"/>
              </w:rPr>
            </w:pPr>
            <w:r>
              <w:rPr>
                <w:rFonts w:ascii="Arial" w:cs="Arial" w:eastAsia="Arial" w:hAnsi="Arial"/>
                <w:sz w:val="12"/>
                <w:szCs w:val="12"/>
                <w:color w:val="auto"/>
              </w:rPr>
              <w:t>Printing and Publishing</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9</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Electronics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Business Services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Energy/Utilities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w:t>
            </w:r>
          </w:p>
        </w:tc>
      </w:tr>
      <w:tr>
        <w:trPr>
          <w:trHeight w:val="149"/>
        </w:trPr>
        <w:tc>
          <w:tcPr>
            <w:tcW w:w="5340" w:type="dxa"/>
            <w:vAlign w:val="bottom"/>
            <w:gridSpan w:val="2"/>
          </w:tcPr>
          <w:p>
            <w:pPr>
              <w:spacing w:after="0"/>
              <w:rPr>
                <w:sz w:val="20"/>
                <w:szCs w:val="20"/>
                <w:color w:val="auto"/>
              </w:rPr>
            </w:pPr>
            <w:r>
              <w:rPr>
                <w:rFonts w:ascii="Arial" w:cs="Arial" w:eastAsia="Arial" w:hAnsi="Arial"/>
                <w:sz w:val="12"/>
                <w:szCs w:val="12"/>
                <w:color w:val="auto"/>
              </w:rPr>
              <w:t>Energy / Utilities</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8</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Auto Sector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6</w:t>
            </w: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Electronics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Business Services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w:t>
            </w:r>
          </w:p>
        </w:tc>
      </w:tr>
      <w:tr>
        <w:trPr>
          <w:trHeight w:val="149"/>
        </w:trPr>
        <w:tc>
          <w:tcPr>
            <w:tcW w:w="5340" w:type="dxa"/>
            <w:vAlign w:val="bottom"/>
            <w:gridSpan w:val="2"/>
          </w:tcPr>
          <w:p>
            <w:pPr>
              <w:spacing w:after="0"/>
              <w:rPr>
                <w:sz w:val="20"/>
                <w:szCs w:val="20"/>
                <w:color w:val="auto"/>
              </w:rPr>
            </w:pPr>
            <w:r>
              <w:rPr>
                <w:rFonts w:ascii="Arial" w:cs="Arial" w:eastAsia="Arial" w:hAnsi="Arial"/>
                <w:sz w:val="12"/>
                <w:szCs w:val="12"/>
                <w:color w:val="auto"/>
              </w:rPr>
              <w:t>Healthcare, Education &amp; Childcare</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7</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Cargo Transport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6</w:t>
            </w: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Oil and Gas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Chemicals, Plastics and Rubber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w:t>
            </w:r>
          </w:p>
        </w:tc>
      </w:tr>
      <w:tr>
        <w:trPr>
          <w:trHeight w:val="148"/>
        </w:trPr>
        <w:tc>
          <w:tcPr>
            <w:tcW w:w="534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Consumer Products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r>
      <w:tr>
        <w:trPr>
          <w:trHeight w:val="149"/>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Consumer Products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w:t>
            </w:r>
          </w:p>
        </w:tc>
        <w:tc>
          <w:tcPr>
            <w:tcW w:w="510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Distribution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r>
      <w:tr>
        <w:trPr>
          <w:trHeight w:val="155"/>
        </w:trPr>
        <w:tc>
          <w:tcPr>
            <w:tcW w:w="5340" w:type="dxa"/>
            <w:vAlign w:val="bottom"/>
            <w:gridSpan w:val="2"/>
          </w:tcPr>
          <w:p>
            <w:pPr>
              <w:spacing w:after="0"/>
              <w:rPr>
                <w:sz w:val="20"/>
                <w:szCs w:val="20"/>
                <w:color w:val="auto"/>
              </w:rPr>
            </w:pPr>
            <w:r>
              <w:rPr>
                <w:rFonts w:ascii="Arial" w:cs="Arial" w:eastAsia="Arial" w:hAnsi="Arial"/>
                <w:sz w:val="12"/>
                <w:szCs w:val="12"/>
                <w:color w:val="auto"/>
              </w:rPr>
              <w:t>Hotels, Motels, Inns and Gaming</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5</w:t>
            </w:r>
          </w:p>
        </w:tc>
        <w:tc>
          <w:tcPr>
            <w:tcW w:w="5100" w:type="dxa"/>
            <w:vAlign w:val="bottom"/>
            <w:gridSpan w:val="3"/>
          </w:tcPr>
          <w:p>
            <w:pPr>
              <w:ind w:left="60"/>
              <w:spacing w:after="0"/>
              <w:rPr>
                <w:sz w:val="20"/>
                <w:szCs w:val="20"/>
                <w:color w:val="auto"/>
              </w:rPr>
            </w:pPr>
            <w:r>
              <w:rPr>
                <w:rFonts w:ascii="Arial" w:cs="Arial" w:eastAsia="Arial" w:hAnsi="Arial"/>
                <w:sz w:val="12"/>
                <w:szCs w:val="12"/>
                <w:color w:val="auto"/>
              </w:rPr>
              <w:t>Personal, Food and Miscellaneous Services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r>
    </w:tbl>
    <w:p>
      <w:pPr>
        <w:spacing w:after="0" w:line="95" w:lineRule="exact"/>
        <w:rPr>
          <w:sz w:val="20"/>
          <w:szCs w:val="20"/>
          <w:color w:val="auto"/>
        </w:rPr>
      </w:pPr>
    </w:p>
    <w:p>
      <w:pPr>
        <w:ind w:right="20" w:firstLine="674"/>
        <w:spacing w:after="0" w:line="262" w:lineRule="auto"/>
        <w:rPr>
          <w:sz w:val="20"/>
          <w:szCs w:val="20"/>
          <w:color w:val="auto"/>
        </w:rPr>
      </w:pPr>
      <w:r>
        <w:rPr>
          <w:rFonts w:ascii="Arial" w:cs="Arial" w:eastAsia="Arial" w:hAnsi="Arial"/>
          <w:sz w:val="11"/>
          <w:szCs w:val="11"/>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83" w:lineRule="exact"/>
        <w:rPr>
          <w:sz w:val="20"/>
          <w:szCs w:val="20"/>
          <w:color w:val="auto"/>
        </w:rPr>
      </w:pPr>
    </w:p>
    <w:p>
      <w:pPr>
        <w:ind w:right="400" w:firstLine="674"/>
        <w:spacing w:after="0" w:line="276" w:lineRule="auto"/>
        <w:rPr>
          <w:sz w:val="20"/>
          <w:szCs w:val="20"/>
          <w:color w:val="auto"/>
        </w:rPr>
      </w:pPr>
      <w:r>
        <w:rPr>
          <w:rFonts w:ascii="Arial" w:cs="Arial" w:eastAsia="Arial" w:hAnsi="Arial"/>
          <w:sz w:val="11"/>
          <w:szCs w:val="11"/>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40"/>
          </w:cols>
          <w:pgMar w:left="32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Management Agreement</w:t>
      </w:r>
    </w:p>
    <w:p>
      <w:pPr>
        <w:spacing w:after="0" w:line="105" w:lineRule="exact"/>
        <w:rPr>
          <w:sz w:val="20"/>
          <w:szCs w:val="20"/>
          <w:color w:val="auto"/>
        </w:rPr>
      </w:pPr>
    </w:p>
    <w:p>
      <w:pPr>
        <w:ind w:right="20" w:firstLine="786"/>
        <w:spacing w:after="0" w:line="347" w:lineRule="auto"/>
        <w:rPr>
          <w:sz w:val="20"/>
          <w:szCs w:val="20"/>
          <w:color w:val="auto"/>
        </w:rPr>
      </w:pPr>
      <w:r>
        <w:rPr>
          <w:rFonts w:ascii="Arial" w:cs="Arial" w:eastAsia="Arial" w:hAnsi="Arial"/>
          <w:sz w:val="9"/>
          <w:szCs w:val="9"/>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ectPr>
          <w:pgSz w:w="11900" w:h="16838" w:orient="portrait"/>
          <w:cols w:equalWidth="0" w:num="1">
            <w:col w:w="11240"/>
          </w:cols>
          <w:pgMar w:left="320" w:top="459" w:right="339" w:bottom="1440" w:gutter="0" w:footer="0" w:header="0"/>
        </w:sectPr>
      </w:pPr>
    </w:p>
    <w:p>
      <w:pPr>
        <w:spacing w:after="0" w:line="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determines the composition of our portfolio, the nature and timing of the changes to our portfolio and the manner of implementing such changes;</w:t>
      </w:r>
    </w:p>
    <w:p>
      <w:pPr>
        <w:spacing w:after="0" w:line="211" w:lineRule="exact"/>
        <w:rPr>
          <w:sz w:val="20"/>
          <w:szCs w:val="20"/>
          <w:color w:val="auto"/>
        </w:rPr>
      </w:pPr>
    </w:p>
    <w:p>
      <w:pPr>
        <w:spacing w:after="0"/>
        <w:rPr>
          <w:sz w:val="20"/>
          <w:szCs w:val="20"/>
          <w:color w:val="auto"/>
        </w:rPr>
      </w:pPr>
      <w:r>
        <w:rPr>
          <w:rFonts w:ascii="Arial" w:cs="Arial" w:eastAsia="Arial" w:hAnsi="Arial"/>
          <w:sz w:val="9"/>
          <w:szCs w:val="9"/>
          <w:color w:val="auto"/>
        </w:rPr>
        <w:t>identifies, evaluates and negotiates the structure of the investments we make (including performing due diligence on our prospective portfolio companies);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closes and monitors the investments we make; and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provides us with such other investment advisory; research and related services as we may need from time to time.</w:t>
      </w:r>
    </w:p>
    <w:p>
      <w:pPr>
        <w:spacing w:after="0" w:line="186" w:lineRule="exact"/>
        <w:rPr>
          <w:sz w:val="20"/>
          <w:szCs w:val="20"/>
          <w:color w:val="auto"/>
        </w:rPr>
      </w:pPr>
    </w:p>
    <w:p>
      <w:pPr>
        <w:sectPr>
          <w:pgSz w:w="11900" w:h="16838" w:orient="portrait"/>
          <w:cols w:equalWidth="0" w:num="2">
            <w:col w:w="400" w:space="360"/>
            <w:col w:w="10480"/>
          </w:cols>
          <w:pgMar w:left="320" w:top="459" w:right="339" w:bottom="1440" w:gutter="0" w:footer="0" w:header="0"/>
          <w:type w:val="continuous"/>
        </w:sectPr>
      </w:pPr>
    </w:p>
    <w:p>
      <w:pPr>
        <w:jc w:val="both"/>
        <w:ind w:left="340" w:right="60" w:firstLine="327"/>
        <w:spacing w:after="0" w:line="243"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Advisory Fees</w:t>
      </w:r>
    </w:p>
    <w:p>
      <w:pPr>
        <w:spacing w:after="0" w:line="105" w:lineRule="exact"/>
        <w:rPr>
          <w:sz w:val="20"/>
          <w:szCs w:val="20"/>
          <w:color w:val="auto"/>
        </w:rPr>
      </w:pPr>
    </w:p>
    <w:p>
      <w:pPr>
        <w:ind w:right="60" w:firstLine="786"/>
        <w:spacing w:after="0" w:line="238" w:lineRule="auto"/>
        <w:rPr>
          <w:sz w:val="20"/>
          <w:szCs w:val="20"/>
          <w:color w:val="auto"/>
        </w:rPr>
      </w:pPr>
      <w:r>
        <w:rPr>
          <w:rFonts w:ascii="Arial" w:cs="Arial" w:eastAsia="Arial" w:hAnsi="Arial"/>
          <w:sz w:val="12"/>
          <w:szCs w:val="12"/>
          <w:color w:val="auto"/>
        </w:rPr>
        <w:t>The base management fee is calculated at an annual rate of 2.00%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9"/>
          <w:szCs w:val="9"/>
          <w:color w:val="auto"/>
        </w:rPr>
        <w:t>th</w:t>
      </w:r>
      <w:r>
        <w:rPr>
          <w:rFonts w:ascii="Arial" w:cs="Arial" w:eastAsia="Arial" w:hAnsi="Arial"/>
          <w:sz w:val="12"/>
          <w:szCs w:val="12"/>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following is a hypothetical example of the calculation of average adjusted gross assets:</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Gross assets as of December 31, 20XX = $160 million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U.S. Treasury bills and temporary draws on credit facilities as of December 31, 20 XX = $10 million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Adjusted gross assets as of December 31, 20 XX = $150 million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Gross assets as of March 31, 20 XX = $200 million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U.S. Treasury bills and temporary draws on credit facilities as of March 31, 20 XX = $20 million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Adjusted gross assets as of March 31, 20XX = $180 million</w:t>
      </w:r>
    </w:p>
    <w:p>
      <w:pPr>
        <w:spacing w:after="0" w:line="105" w:lineRule="exact"/>
        <w:rPr>
          <w:sz w:val="20"/>
          <w:szCs w:val="20"/>
          <w:color w:val="auto"/>
        </w:rPr>
      </w:pPr>
    </w:p>
    <w:p>
      <w:pPr>
        <w:ind w:right="200"/>
        <w:spacing w:after="0" w:line="252" w:lineRule="auto"/>
        <w:rPr>
          <w:sz w:val="20"/>
          <w:szCs w:val="20"/>
          <w:color w:val="auto"/>
        </w:rPr>
      </w:pPr>
      <w:r>
        <w:rPr>
          <w:rFonts w:ascii="Arial" w:cs="Arial" w:eastAsia="Arial" w:hAnsi="Arial"/>
          <w:sz w:val="12"/>
          <w:szCs w:val="12"/>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incentive fee has two parts, as follows:</w:t>
      </w:r>
    </w:p>
    <w:p>
      <w:pPr>
        <w:spacing w:after="0" w:line="105" w:lineRule="exact"/>
        <w:rPr>
          <w:sz w:val="20"/>
          <w:szCs w:val="20"/>
          <w:color w:val="auto"/>
        </w:rPr>
      </w:pPr>
    </w:p>
    <w:p>
      <w:pPr>
        <w:ind w:firstLine="674"/>
        <w:spacing w:after="0" w:line="322" w:lineRule="auto"/>
        <w:rPr>
          <w:sz w:val="20"/>
          <w:szCs w:val="20"/>
          <w:color w:val="auto"/>
        </w:rPr>
      </w:pPr>
      <w:r>
        <w:rPr>
          <w:rFonts w:ascii="Arial" w:cs="Arial" w:eastAsia="Arial" w:hAnsi="Arial"/>
          <w:sz w:val="9"/>
          <w:szCs w:val="9"/>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prepayment penalties, structuring, diligence and consulting fees or other fees received from portfolio companies accrued during the calendar quarter, minus our operating expenses for the quarter (including the base management fee, expenses payable under our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of 1.75% per quarter (7.00% annualized). We pay our Investment Adviser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all Pre-Incentive Fee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incentive fees on net investment income from us.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following is a graphical representation of the calculation of quarterly incentive fee based on Pre-Incentive Fee Net Investment Income: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Pre-Incentive Fee Net Investment Income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73025</wp:posOffset>
            </wp:positionV>
            <wp:extent cx="163703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Percentage of Pre-Incentive Fee Net Investment Income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allocated to income-related portion of incentive fee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40" w:firstLine="674"/>
        <w:spacing w:after="0"/>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96" w:lineRule="exact"/>
        <w:rPr>
          <w:sz w:val="20"/>
          <w:szCs w:val="20"/>
          <w:color w:val="auto"/>
        </w:rPr>
      </w:pPr>
    </w:p>
    <w:p>
      <w:pPr>
        <w:ind w:firstLine="674"/>
        <w:spacing w:after="0" w:line="263" w:lineRule="auto"/>
        <w:rPr>
          <w:sz w:val="20"/>
          <w:szCs w:val="20"/>
          <w:color w:val="auto"/>
        </w:rPr>
      </w:pPr>
      <w:r>
        <w:rPr>
          <w:rFonts w:ascii="Arial" w:cs="Arial" w:eastAsia="Arial" w:hAnsi="Arial"/>
          <w:sz w:val="11"/>
          <w:szCs w:val="11"/>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Examples of Quarterly Incentive Fee Calculation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 1: Income Related Portion of Incentive Fee (*):</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1:</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Assumptions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Investment income (including interest, distributions, fees, etc.) = 1.25%</w:t>
      </w:r>
    </w:p>
    <w:p>
      <w:pPr>
        <w:ind w:left="120"/>
        <w:spacing w:after="0" w:line="234" w:lineRule="auto"/>
        <w:rPr>
          <w:sz w:val="20"/>
          <w:szCs w:val="20"/>
          <w:color w:val="auto"/>
        </w:rPr>
      </w:pPr>
      <w:r>
        <w:rPr>
          <w:rFonts w:ascii="Arial" w:cs="Arial" w:eastAsia="Arial" w:hAnsi="Arial"/>
          <w:sz w:val="12"/>
          <w:szCs w:val="12"/>
          <w:color w:val="auto"/>
        </w:rPr>
        <w:t>Hurdle</w:t>
      </w:r>
      <w:r>
        <w:rPr>
          <w:rFonts w:ascii="Arial" w:cs="Arial" w:eastAsia="Arial" w:hAnsi="Arial"/>
          <w:sz w:val="9"/>
          <w:szCs w:val="9"/>
          <w:color w:val="auto"/>
        </w:rPr>
        <w:t>(1)</w:t>
      </w:r>
      <w:r>
        <w:rPr>
          <w:rFonts w:ascii="Arial" w:cs="Arial" w:eastAsia="Arial" w:hAnsi="Arial"/>
          <w:sz w:val="12"/>
          <w:szCs w:val="12"/>
          <w:color w:val="auto"/>
        </w:rPr>
        <w:t xml:space="preserve"> = 1.75%</w:t>
      </w:r>
    </w:p>
    <w:p>
      <w:pPr>
        <w:ind w:left="120"/>
        <w:spacing w:after="0" w:line="235" w:lineRule="auto"/>
        <w:rPr>
          <w:sz w:val="20"/>
          <w:szCs w:val="20"/>
          <w:color w:val="auto"/>
        </w:rPr>
      </w:pPr>
      <w:r>
        <w:rPr>
          <w:rFonts w:ascii="Arial" w:cs="Arial" w:eastAsia="Arial" w:hAnsi="Arial"/>
          <w:sz w:val="12"/>
          <w:szCs w:val="12"/>
          <w:color w:val="auto"/>
        </w:rPr>
        <w:t>Base management fee</w:t>
      </w:r>
      <w:r>
        <w:rPr>
          <w:rFonts w:ascii="Arial" w:cs="Arial" w:eastAsia="Arial" w:hAnsi="Arial"/>
          <w:sz w:val="9"/>
          <w:szCs w:val="9"/>
          <w:color w:val="auto"/>
        </w:rPr>
        <w:t>(2)</w:t>
      </w:r>
      <w:r>
        <w:rPr>
          <w:rFonts w:ascii="Arial" w:cs="Arial" w:eastAsia="Arial" w:hAnsi="Arial"/>
          <w:sz w:val="12"/>
          <w:szCs w:val="12"/>
          <w:color w:val="auto"/>
        </w:rPr>
        <w:t xml:space="preserve"> = 0.50%</w:t>
      </w:r>
    </w:p>
    <w:p>
      <w:pPr>
        <w:ind w:left="120"/>
        <w:spacing w:after="0" w:line="235" w:lineRule="auto"/>
        <w:rPr>
          <w:sz w:val="20"/>
          <w:szCs w:val="20"/>
          <w:color w:val="auto"/>
        </w:rPr>
      </w:pPr>
      <w:r>
        <w:rPr>
          <w:rFonts w:ascii="Arial" w:cs="Arial" w:eastAsia="Arial" w:hAnsi="Arial"/>
          <w:sz w:val="12"/>
          <w:szCs w:val="12"/>
          <w:color w:val="auto"/>
        </w:rPr>
        <w:t>Other expenses (legal, accounting, custodian, transfer agent, etc.) = 0.20%</w:t>
      </w:r>
    </w:p>
    <w:p>
      <w:pPr>
        <w:ind w:left="120"/>
        <w:spacing w:after="0" w:line="235" w:lineRule="auto"/>
        <w:rPr>
          <w:sz w:val="20"/>
          <w:szCs w:val="20"/>
          <w:color w:val="auto"/>
        </w:rPr>
      </w:pPr>
      <w:r>
        <w:rPr>
          <w:rFonts w:ascii="Arial" w:cs="Arial" w:eastAsia="Arial" w:hAnsi="Arial"/>
          <w:sz w:val="12"/>
          <w:szCs w:val="12"/>
          <w:color w:val="auto"/>
        </w:rPr>
        <w:t>Pre-Incentive Fee Net Investment Income</w:t>
      </w:r>
    </w:p>
    <w:p>
      <w:pPr>
        <w:ind w:left="120"/>
        <w:spacing w:after="0" w:line="234" w:lineRule="auto"/>
        <w:rPr>
          <w:sz w:val="20"/>
          <w:szCs w:val="20"/>
          <w:color w:val="auto"/>
        </w:rPr>
      </w:pPr>
      <w:r>
        <w:rPr>
          <w:rFonts w:ascii="Arial" w:cs="Arial" w:eastAsia="Arial" w:hAnsi="Arial"/>
          <w:sz w:val="12"/>
          <w:szCs w:val="12"/>
          <w:color w:val="auto"/>
        </w:rPr>
        <w:t>(investment income—(base management fee + other expenses)) = 0.55%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Pre-Incentive Fee Net Investment Income does not exceed the hurdle; therefore there is no incentive fee.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2:</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Assumptions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Investment income (including interest, distributions, fees, etc.) = 2.70%</w:t>
      </w:r>
    </w:p>
    <w:p>
      <w:pPr>
        <w:ind w:left="120"/>
        <w:spacing w:after="0" w:line="234" w:lineRule="auto"/>
        <w:rPr>
          <w:sz w:val="20"/>
          <w:szCs w:val="20"/>
          <w:color w:val="auto"/>
        </w:rPr>
      </w:pPr>
      <w:r>
        <w:rPr>
          <w:rFonts w:ascii="Arial" w:cs="Arial" w:eastAsia="Arial" w:hAnsi="Arial"/>
          <w:sz w:val="12"/>
          <w:szCs w:val="12"/>
          <w:color w:val="auto"/>
        </w:rPr>
        <w:t>Hurdle</w:t>
      </w:r>
      <w:r>
        <w:rPr>
          <w:rFonts w:ascii="Arial" w:cs="Arial" w:eastAsia="Arial" w:hAnsi="Arial"/>
          <w:sz w:val="9"/>
          <w:szCs w:val="9"/>
          <w:color w:val="auto"/>
        </w:rPr>
        <w:t>(1)</w:t>
      </w:r>
      <w:r>
        <w:rPr>
          <w:rFonts w:ascii="Arial" w:cs="Arial" w:eastAsia="Arial" w:hAnsi="Arial"/>
          <w:sz w:val="12"/>
          <w:szCs w:val="12"/>
          <w:color w:val="auto"/>
        </w:rPr>
        <w:t xml:space="preserve"> = 1.75%</w:t>
      </w:r>
    </w:p>
    <w:p>
      <w:pPr>
        <w:ind w:left="120"/>
        <w:spacing w:after="0" w:line="235" w:lineRule="auto"/>
        <w:rPr>
          <w:sz w:val="20"/>
          <w:szCs w:val="20"/>
          <w:color w:val="auto"/>
        </w:rPr>
      </w:pPr>
      <w:r>
        <w:rPr>
          <w:rFonts w:ascii="Arial" w:cs="Arial" w:eastAsia="Arial" w:hAnsi="Arial"/>
          <w:sz w:val="12"/>
          <w:szCs w:val="12"/>
          <w:color w:val="auto"/>
        </w:rPr>
        <w:t>Base management fee</w:t>
      </w:r>
      <w:r>
        <w:rPr>
          <w:rFonts w:ascii="Arial" w:cs="Arial" w:eastAsia="Arial" w:hAnsi="Arial"/>
          <w:sz w:val="9"/>
          <w:szCs w:val="9"/>
          <w:color w:val="auto"/>
        </w:rPr>
        <w:t>(2)</w:t>
      </w:r>
      <w:r>
        <w:rPr>
          <w:rFonts w:ascii="Arial" w:cs="Arial" w:eastAsia="Arial" w:hAnsi="Arial"/>
          <w:sz w:val="12"/>
          <w:szCs w:val="12"/>
          <w:color w:val="auto"/>
        </w:rPr>
        <w:t xml:space="preserve"> = 0.50%</w:t>
      </w:r>
    </w:p>
    <w:p>
      <w:pPr>
        <w:ind w:left="120"/>
        <w:spacing w:after="0" w:line="235" w:lineRule="auto"/>
        <w:rPr>
          <w:sz w:val="20"/>
          <w:szCs w:val="20"/>
          <w:color w:val="auto"/>
        </w:rPr>
      </w:pPr>
      <w:r>
        <w:rPr>
          <w:rFonts w:ascii="Arial" w:cs="Arial" w:eastAsia="Arial" w:hAnsi="Arial"/>
          <w:sz w:val="12"/>
          <w:szCs w:val="12"/>
          <w:color w:val="auto"/>
        </w:rPr>
        <w:t>Other expenses (legal, accounting, custodian, transfer agent, etc.) = 0.20%</w:t>
      </w:r>
    </w:p>
    <w:p>
      <w:pPr>
        <w:ind w:left="120"/>
        <w:spacing w:after="0" w:line="235" w:lineRule="auto"/>
        <w:rPr>
          <w:sz w:val="20"/>
          <w:szCs w:val="20"/>
          <w:color w:val="auto"/>
        </w:rPr>
      </w:pPr>
      <w:r>
        <w:rPr>
          <w:rFonts w:ascii="Arial" w:cs="Arial" w:eastAsia="Arial" w:hAnsi="Arial"/>
          <w:sz w:val="12"/>
          <w:szCs w:val="12"/>
          <w:color w:val="auto"/>
        </w:rPr>
        <w:t>Pre-Incentive Fee Net Investment Income</w:t>
      </w:r>
    </w:p>
    <w:p>
      <w:pPr>
        <w:ind w:left="120"/>
        <w:spacing w:after="0"/>
        <w:rPr>
          <w:sz w:val="20"/>
          <w:szCs w:val="20"/>
          <w:color w:val="auto"/>
        </w:rPr>
      </w:pPr>
      <w:r>
        <w:rPr>
          <w:rFonts w:ascii="Arial" w:cs="Arial" w:eastAsia="Arial" w:hAnsi="Arial"/>
          <w:sz w:val="12"/>
          <w:szCs w:val="12"/>
          <w:color w:val="auto"/>
        </w:rPr>
        <w:t>(investment income—(base management fee + other expenses)) = 2.00%</w:t>
      </w:r>
    </w:p>
    <w:p>
      <w:pPr>
        <w:spacing w:after="0" w:line="230" w:lineRule="exact"/>
        <w:rPr>
          <w:sz w:val="20"/>
          <w:szCs w:val="20"/>
          <w:color w:val="auto"/>
        </w:rPr>
      </w:pPr>
    </w:p>
    <w:p>
      <w:pPr>
        <w:ind w:left="1240"/>
        <w:spacing w:after="0"/>
        <w:tabs>
          <w:tab w:leader="none" w:pos="2680" w:val="left"/>
        </w:tabs>
        <w:rPr>
          <w:sz w:val="20"/>
          <w:szCs w:val="20"/>
          <w:color w:val="auto"/>
        </w:rPr>
      </w:pPr>
      <w:r>
        <w:rPr>
          <w:rFonts w:ascii="Arial" w:cs="Arial" w:eastAsia="Arial" w:hAnsi="Arial"/>
          <w:sz w:val="12"/>
          <w:szCs w:val="12"/>
          <w:color w:val="auto"/>
        </w:rPr>
        <w:t>Incentive fee</w:t>
      </w:r>
      <w:r>
        <w:rPr>
          <w:sz w:val="20"/>
          <w:szCs w:val="20"/>
          <w:color w:val="auto"/>
        </w:rPr>
        <w:tab/>
      </w:r>
      <w:r>
        <w:rPr>
          <w:rFonts w:ascii="Arial" w:cs="Arial" w:eastAsia="Arial" w:hAnsi="Arial"/>
          <w:sz w:val="9"/>
          <w:szCs w:val="9"/>
          <w:color w:val="auto"/>
        </w:rPr>
        <w:t>= 20% x Pre-Incentive Fee Net Investment Income, subject to “catch-up”</w:t>
      </w:r>
    </w:p>
    <w:p>
      <w:pPr>
        <w:spacing w:after="0" w:line="4" w:lineRule="exact"/>
        <w:rPr>
          <w:sz w:val="20"/>
          <w:szCs w:val="20"/>
          <w:color w:val="auto"/>
        </w:rPr>
      </w:pPr>
    </w:p>
    <w:p>
      <w:pPr>
        <w:ind w:left="2780" w:hanging="86"/>
        <w:spacing w:after="0"/>
        <w:tabs>
          <w:tab w:leader="none" w:pos="27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2.00% - 1.75%</w:t>
      </w:r>
    </w:p>
    <w:p>
      <w:pPr>
        <w:ind w:left="2780" w:hanging="86"/>
        <w:spacing w:after="0" w:line="234" w:lineRule="auto"/>
        <w:tabs>
          <w:tab w:leader="none" w:pos="27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0.25%</w:t>
      </w:r>
    </w:p>
    <w:p>
      <w:pPr>
        <w:ind w:left="2780" w:hanging="86"/>
        <w:spacing w:after="0" w:line="234" w:lineRule="auto"/>
        <w:tabs>
          <w:tab w:leader="none" w:pos="27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100% x 0.25%</w:t>
      </w:r>
    </w:p>
    <w:p>
      <w:pPr>
        <w:ind w:left="2780" w:hanging="86"/>
        <w:spacing w:after="0"/>
        <w:tabs>
          <w:tab w:leader="none" w:pos="27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0.25%</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Alternative 3:</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Assumptions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Investment income (including interest, distributions, fees, etc.) = 3.00%</w:t>
      </w:r>
    </w:p>
    <w:p>
      <w:pPr>
        <w:ind w:left="120"/>
        <w:spacing w:after="0" w:line="234" w:lineRule="auto"/>
        <w:rPr>
          <w:sz w:val="20"/>
          <w:szCs w:val="20"/>
          <w:color w:val="auto"/>
        </w:rPr>
      </w:pPr>
      <w:r>
        <w:rPr>
          <w:rFonts w:ascii="Arial" w:cs="Arial" w:eastAsia="Arial" w:hAnsi="Arial"/>
          <w:sz w:val="12"/>
          <w:szCs w:val="12"/>
          <w:color w:val="auto"/>
        </w:rPr>
        <w:t>Hurdle</w:t>
      </w:r>
      <w:r>
        <w:rPr>
          <w:rFonts w:ascii="Arial" w:cs="Arial" w:eastAsia="Arial" w:hAnsi="Arial"/>
          <w:sz w:val="9"/>
          <w:szCs w:val="9"/>
          <w:color w:val="auto"/>
        </w:rPr>
        <w:t>(1)</w:t>
      </w:r>
      <w:r>
        <w:rPr>
          <w:rFonts w:ascii="Arial" w:cs="Arial" w:eastAsia="Arial" w:hAnsi="Arial"/>
          <w:sz w:val="12"/>
          <w:szCs w:val="12"/>
          <w:color w:val="auto"/>
        </w:rPr>
        <w:t xml:space="preserve"> = 1.75%</w:t>
      </w:r>
    </w:p>
    <w:p>
      <w:pPr>
        <w:ind w:left="120"/>
        <w:spacing w:after="0" w:line="235" w:lineRule="auto"/>
        <w:rPr>
          <w:sz w:val="20"/>
          <w:szCs w:val="20"/>
          <w:color w:val="auto"/>
        </w:rPr>
      </w:pPr>
      <w:r>
        <w:rPr>
          <w:rFonts w:ascii="Arial" w:cs="Arial" w:eastAsia="Arial" w:hAnsi="Arial"/>
          <w:sz w:val="12"/>
          <w:szCs w:val="12"/>
          <w:color w:val="auto"/>
        </w:rPr>
        <w:t>Base management fee</w:t>
      </w:r>
      <w:r>
        <w:rPr>
          <w:rFonts w:ascii="Arial" w:cs="Arial" w:eastAsia="Arial" w:hAnsi="Arial"/>
          <w:sz w:val="9"/>
          <w:szCs w:val="9"/>
          <w:color w:val="auto"/>
        </w:rPr>
        <w:t>(2)</w:t>
      </w:r>
      <w:r>
        <w:rPr>
          <w:rFonts w:ascii="Arial" w:cs="Arial" w:eastAsia="Arial" w:hAnsi="Arial"/>
          <w:sz w:val="12"/>
          <w:szCs w:val="12"/>
          <w:color w:val="auto"/>
        </w:rPr>
        <w:t xml:space="preserve"> = 0.50%</w:t>
      </w:r>
    </w:p>
    <w:p>
      <w:pPr>
        <w:ind w:left="120"/>
        <w:spacing w:after="0" w:line="235" w:lineRule="auto"/>
        <w:rPr>
          <w:sz w:val="20"/>
          <w:szCs w:val="20"/>
          <w:color w:val="auto"/>
        </w:rPr>
      </w:pPr>
      <w:r>
        <w:rPr>
          <w:rFonts w:ascii="Arial" w:cs="Arial" w:eastAsia="Arial" w:hAnsi="Arial"/>
          <w:sz w:val="12"/>
          <w:szCs w:val="12"/>
          <w:color w:val="auto"/>
        </w:rPr>
        <w:t>Other expenses (legal, accounting, custodian, transfer agent, etc.) = 0.20%</w:t>
      </w:r>
    </w:p>
    <w:p>
      <w:pPr>
        <w:ind w:left="120"/>
        <w:spacing w:after="0" w:line="235" w:lineRule="auto"/>
        <w:rPr>
          <w:sz w:val="20"/>
          <w:szCs w:val="20"/>
          <w:color w:val="auto"/>
        </w:rPr>
      </w:pPr>
      <w:r>
        <w:rPr>
          <w:rFonts w:ascii="Arial" w:cs="Arial" w:eastAsia="Arial" w:hAnsi="Arial"/>
          <w:sz w:val="12"/>
          <w:szCs w:val="12"/>
          <w:color w:val="auto"/>
        </w:rPr>
        <w:t>Pre-Incentive Fee Net Investment Income</w:t>
      </w:r>
    </w:p>
    <w:p>
      <w:pPr>
        <w:ind w:left="120"/>
        <w:spacing w:after="0"/>
        <w:rPr>
          <w:sz w:val="20"/>
          <w:szCs w:val="20"/>
          <w:color w:val="auto"/>
        </w:rPr>
      </w:pPr>
      <w:r>
        <w:rPr>
          <w:rFonts w:ascii="Arial" w:cs="Arial" w:eastAsia="Arial" w:hAnsi="Arial"/>
          <w:sz w:val="12"/>
          <w:szCs w:val="12"/>
          <w:color w:val="auto"/>
        </w:rPr>
        <w:t>(investment income—(base management fee + other expenses)) = 2.30%</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1140" w:type="dxa"/>
            <w:vAlign w:val="bottom"/>
          </w:tcPr>
          <w:p>
            <w:pPr>
              <w:spacing w:after="0"/>
              <w:rPr>
                <w:sz w:val="20"/>
                <w:szCs w:val="20"/>
                <w:color w:val="auto"/>
              </w:rPr>
            </w:pPr>
            <w:r>
              <w:rPr>
                <w:rFonts w:ascii="Arial" w:cs="Arial" w:eastAsia="Arial" w:hAnsi="Arial"/>
                <w:sz w:val="12"/>
                <w:szCs w:val="12"/>
                <w:color w:val="auto"/>
              </w:rPr>
              <w:t>Incentive fee</w:t>
            </w:r>
          </w:p>
        </w:tc>
        <w:tc>
          <w:tcPr>
            <w:tcW w:w="4600" w:type="dxa"/>
            <w:vAlign w:val="bottom"/>
            <w:gridSpan w:val="2"/>
          </w:tcPr>
          <w:p>
            <w:pPr>
              <w:ind w:left="520"/>
              <w:spacing w:after="0"/>
              <w:rPr>
                <w:sz w:val="20"/>
                <w:szCs w:val="20"/>
                <w:color w:val="auto"/>
              </w:rPr>
            </w:pPr>
            <w:r>
              <w:rPr>
                <w:rFonts w:ascii="Arial" w:cs="Arial" w:eastAsia="Arial" w:hAnsi="Arial"/>
                <w:sz w:val="12"/>
                <w:szCs w:val="12"/>
                <w:color w:val="auto"/>
              </w:rPr>
              <w:t>= 20% x Pre-Incentive Fee Net Investment Income, subject to “catch-up”</w:t>
            </w: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2"/>
                <w:szCs w:val="12"/>
                <w:color w:val="auto"/>
              </w:rPr>
              <w:t>Incentive fee</w:t>
            </w:r>
          </w:p>
        </w:tc>
        <w:tc>
          <w:tcPr>
            <w:tcW w:w="4600" w:type="dxa"/>
            <w:vAlign w:val="bottom"/>
            <w:gridSpan w:val="2"/>
          </w:tcPr>
          <w:p>
            <w:pPr>
              <w:ind w:left="520"/>
              <w:spacing w:after="0" w:line="135" w:lineRule="exact"/>
              <w:rPr>
                <w:sz w:val="20"/>
                <w:szCs w:val="20"/>
                <w:color w:val="auto"/>
              </w:rPr>
            </w:pPr>
            <w:r>
              <w:rPr>
                <w:rFonts w:ascii="Arial" w:cs="Arial" w:eastAsia="Arial" w:hAnsi="Arial"/>
                <w:sz w:val="12"/>
                <w:szCs w:val="12"/>
                <w:color w:val="auto"/>
                <w:w w:val="89"/>
              </w:rPr>
              <w:t>= 100% x “catch-up” + (20% x (Pre-Incentive Fee Net Investment Income - 2.1875%))</w:t>
            </w: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2"/>
                <w:szCs w:val="12"/>
                <w:color w:val="auto"/>
              </w:rPr>
              <w:t>Catch-up</w:t>
            </w:r>
          </w:p>
        </w:tc>
        <w:tc>
          <w:tcPr>
            <w:tcW w:w="460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 2.1875%—1.75%</w:t>
            </w:r>
          </w:p>
        </w:tc>
      </w:tr>
      <w:tr>
        <w:trPr>
          <w:trHeight w:val="135"/>
        </w:trPr>
        <w:tc>
          <w:tcPr>
            <w:tcW w:w="1140" w:type="dxa"/>
            <w:vAlign w:val="bottom"/>
          </w:tcPr>
          <w:p>
            <w:pPr>
              <w:spacing w:after="0"/>
              <w:rPr>
                <w:sz w:val="11"/>
                <w:szCs w:val="11"/>
                <w:color w:val="auto"/>
              </w:rPr>
            </w:pPr>
          </w:p>
        </w:tc>
        <w:tc>
          <w:tcPr>
            <w:tcW w:w="1060" w:type="dxa"/>
            <w:vAlign w:val="bottom"/>
          </w:tcPr>
          <w:p>
            <w:pPr>
              <w:ind w:left="520"/>
              <w:spacing w:after="0" w:line="135" w:lineRule="exact"/>
              <w:rPr>
                <w:sz w:val="20"/>
                <w:szCs w:val="20"/>
                <w:color w:val="auto"/>
              </w:rPr>
            </w:pPr>
            <w:r>
              <w:rPr>
                <w:rFonts w:ascii="Arial" w:cs="Arial" w:eastAsia="Arial" w:hAnsi="Arial"/>
                <w:sz w:val="12"/>
                <w:szCs w:val="12"/>
                <w:color w:val="auto"/>
                <w:w w:val="90"/>
              </w:rPr>
              <w:t>= 0.4375%</w:t>
            </w:r>
          </w:p>
        </w:tc>
        <w:tc>
          <w:tcPr>
            <w:tcW w:w="354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460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 (100% x 0.4375%) + (20% x (2.30% -2.1875%))</w:t>
            </w:r>
          </w:p>
        </w:tc>
      </w:tr>
      <w:tr>
        <w:trPr>
          <w:trHeight w:val="135"/>
        </w:trPr>
        <w:tc>
          <w:tcPr>
            <w:tcW w:w="1140" w:type="dxa"/>
            <w:vAlign w:val="bottom"/>
          </w:tcPr>
          <w:p>
            <w:pPr>
              <w:spacing w:after="0"/>
              <w:rPr>
                <w:sz w:val="11"/>
                <w:szCs w:val="11"/>
                <w:color w:val="auto"/>
              </w:rPr>
            </w:pPr>
          </w:p>
        </w:tc>
        <w:tc>
          <w:tcPr>
            <w:tcW w:w="1060" w:type="dxa"/>
            <w:vAlign w:val="bottom"/>
          </w:tcPr>
          <w:p>
            <w:pPr>
              <w:ind w:left="520"/>
              <w:spacing w:after="0" w:line="135" w:lineRule="exact"/>
              <w:rPr>
                <w:sz w:val="20"/>
                <w:szCs w:val="20"/>
                <w:color w:val="auto"/>
              </w:rPr>
            </w:pPr>
            <w:r>
              <w:rPr>
                <w:rFonts w:ascii="Arial" w:cs="Arial" w:eastAsia="Arial" w:hAnsi="Arial"/>
                <w:sz w:val="12"/>
                <w:szCs w:val="12"/>
                <w:color w:val="auto"/>
                <w:w w:val="90"/>
              </w:rPr>
              <w:t>= 0.4375%</w:t>
            </w:r>
          </w:p>
        </w:tc>
        <w:tc>
          <w:tcPr>
            <w:tcW w:w="3540" w:type="dxa"/>
            <w:vAlign w:val="bottom"/>
          </w:tcPr>
          <w:p>
            <w:pPr>
              <w:spacing w:after="0" w:line="135" w:lineRule="exact"/>
              <w:rPr>
                <w:sz w:val="20"/>
                <w:szCs w:val="20"/>
                <w:color w:val="auto"/>
              </w:rPr>
            </w:pPr>
            <w:r>
              <w:rPr>
                <w:rFonts w:ascii="Arial" w:cs="Arial" w:eastAsia="Arial" w:hAnsi="Arial"/>
                <w:sz w:val="12"/>
                <w:szCs w:val="12"/>
                <w:color w:val="auto"/>
              </w:rPr>
              <w:t>+ (20% x 0.1125%)</w:t>
            </w:r>
          </w:p>
        </w:tc>
      </w:tr>
      <w:tr>
        <w:trPr>
          <w:trHeight w:val="135"/>
        </w:trPr>
        <w:tc>
          <w:tcPr>
            <w:tcW w:w="1140" w:type="dxa"/>
            <w:vAlign w:val="bottom"/>
          </w:tcPr>
          <w:p>
            <w:pPr>
              <w:spacing w:after="0"/>
              <w:rPr>
                <w:sz w:val="11"/>
                <w:szCs w:val="11"/>
                <w:color w:val="auto"/>
              </w:rPr>
            </w:pPr>
          </w:p>
        </w:tc>
        <w:tc>
          <w:tcPr>
            <w:tcW w:w="1060" w:type="dxa"/>
            <w:vAlign w:val="bottom"/>
          </w:tcPr>
          <w:p>
            <w:pPr>
              <w:ind w:left="520"/>
              <w:spacing w:after="0" w:line="135" w:lineRule="exact"/>
              <w:rPr>
                <w:sz w:val="20"/>
                <w:szCs w:val="20"/>
                <w:color w:val="auto"/>
              </w:rPr>
            </w:pPr>
            <w:r>
              <w:rPr>
                <w:rFonts w:ascii="Arial" w:cs="Arial" w:eastAsia="Arial" w:hAnsi="Arial"/>
                <w:sz w:val="12"/>
                <w:szCs w:val="12"/>
                <w:color w:val="auto"/>
                <w:w w:val="90"/>
              </w:rPr>
              <w:t>= 0.4375%</w:t>
            </w:r>
          </w:p>
        </w:tc>
        <w:tc>
          <w:tcPr>
            <w:tcW w:w="3540" w:type="dxa"/>
            <w:vAlign w:val="bottom"/>
          </w:tcPr>
          <w:p>
            <w:pPr>
              <w:spacing w:after="0" w:line="135" w:lineRule="exact"/>
              <w:rPr>
                <w:sz w:val="20"/>
                <w:szCs w:val="20"/>
                <w:color w:val="auto"/>
              </w:rPr>
            </w:pPr>
            <w:r>
              <w:rPr>
                <w:rFonts w:ascii="Arial" w:cs="Arial" w:eastAsia="Arial" w:hAnsi="Arial"/>
                <w:sz w:val="12"/>
                <w:szCs w:val="12"/>
                <w:color w:val="auto"/>
              </w:rPr>
              <w:t>+ 0.0225%</w:t>
            </w:r>
          </w:p>
        </w:tc>
      </w:tr>
      <w:tr>
        <w:trPr>
          <w:trHeight w:val="148"/>
        </w:trPr>
        <w:tc>
          <w:tcPr>
            <w:tcW w:w="1140" w:type="dxa"/>
            <w:vAlign w:val="bottom"/>
          </w:tcPr>
          <w:p>
            <w:pPr>
              <w:spacing w:after="0"/>
              <w:rPr>
                <w:sz w:val="12"/>
                <w:szCs w:val="12"/>
                <w:color w:val="auto"/>
              </w:rPr>
            </w:pPr>
          </w:p>
        </w:tc>
        <w:tc>
          <w:tcPr>
            <w:tcW w:w="1060" w:type="dxa"/>
            <w:vAlign w:val="bottom"/>
          </w:tcPr>
          <w:p>
            <w:pPr>
              <w:ind w:left="520"/>
              <w:spacing w:after="0"/>
              <w:rPr>
                <w:sz w:val="20"/>
                <w:szCs w:val="20"/>
                <w:color w:val="auto"/>
              </w:rPr>
            </w:pPr>
            <w:r>
              <w:rPr>
                <w:rFonts w:ascii="Arial" w:cs="Arial" w:eastAsia="Arial" w:hAnsi="Arial"/>
                <w:sz w:val="12"/>
                <w:szCs w:val="12"/>
                <w:color w:val="auto"/>
              </w:rPr>
              <w:t>= 0.46%</w:t>
            </w:r>
          </w:p>
        </w:tc>
        <w:tc>
          <w:tcPr>
            <w:tcW w:w="3540" w:type="dxa"/>
            <w:vAlign w:val="bottom"/>
          </w:tcPr>
          <w:p>
            <w:pPr>
              <w:spacing w:after="0"/>
              <w:rPr>
                <w:sz w:val="12"/>
                <w:szCs w:val="12"/>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 2: Capital Gains Portion of Incentive Fee:</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Assumptions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Year 1 = no net realized capital gains or losses</w:t>
      </w:r>
    </w:p>
    <w:p>
      <w:pPr>
        <w:ind w:left="120" w:right="280"/>
        <w:spacing w:after="0" w:line="237" w:lineRule="auto"/>
        <w:rPr>
          <w:sz w:val="20"/>
          <w:szCs w:val="20"/>
          <w:color w:val="auto"/>
        </w:rPr>
      </w:pPr>
      <w:r>
        <w:rPr>
          <w:rFonts w:ascii="Arial" w:cs="Arial" w:eastAsia="Arial" w:hAnsi="Arial"/>
          <w:sz w:val="12"/>
          <w:szCs w:val="12"/>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240"/>
          </w:cols>
          <w:pgMar w:left="320" w:top="459" w:right="339" w:bottom="1440" w:gutter="0" w:footer="0" w:header="0"/>
        </w:sect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9"/>
          <w:szCs w:val="9"/>
          <w:color w:val="auto"/>
        </w:rPr>
        <w:t>Year 1 incentive fee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9"/>
          <w:szCs w:val="9"/>
          <w:color w:val="auto"/>
        </w:rPr>
        <w:t>Year 2 incentive fee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 20% x (0)</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 0</w:t>
      </w:r>
    </w:p>
    <w:p>
      <w:pPr>
        <w:spacing w:after="0"/>
        <w:rPr>
          <w:sz w:val="20"/>
          <w:szCs w:val="20"/>
          <w:color w:val="auto"/>
        </w:rPr>
      </w:pPr>
      <w:r>
        <w:rPr>
          <w:rFonts w:ascii="Arial" w:cs="Arial" w:eastAsia="Arial" w:hAnsi="Arial"/>
          <w:sz w:val="11"/>
          <w:szCs w:val="11"/>
          <w:color w:val="auto"/>
        </w:rPr>
        <w:t>= no incentive fee</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auto"/>
        </w:rPr>
        <w:t>= 20% x (6% - 1%)</w:t>
      </w:r>
    </w:p>
    <w:p>
      <w:pPr>
        <w:spacing w:after="0" w:line="29" w:lineRule="exact"/>
        <w:rPr>
          <w:sz w:val="20"/>
          <w:szCs w:val="20"/>
          <w:color w:val="auto"/>
        </w:rPr>
      </w:pPr>
    </w:p>
    <w:p>
      <w:pPr>
        <w:sectPr>
          <w:pgSz w:w="11900" w:h="16838" w:orient="portrait"/>
          <w:cols w:equalWidth="0" w:num="2">
            <w:col w:w="1860" w:space="720"/>
            <w:col w:w="8660"/>
          </w:cols>
          <w:pgMar w:left="320" w:top="459" w:right="339" w:bottom="1440" w:gutter="0" w:footer="0" w:header="0"/>
          <w:type w:val="continuous"/>
        </w:sectPr>
      </w:pPr>
    </w:p>
    <w:p>
      <w:pPr>
        <w:ind w:left="2660" w:hanging="87"/>
        <w:spacing w:after="0"/>
        <w:tabs>
          <w:tab w:leader="none" w:pos="26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20% x 5%</w:t>
      </w:r>
    </w:p>
    <w:p>
      <w:pPr>
        <w:ind w:left="2660" w:hanging="87"/>
        <w:spacing w:after="0"/>
        <w:tabs>
          <w:tab w:leader="none" w:pos="26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1%</w:t>
      </w:r>
    </w:p>
    <w:p>
      <w:pPr>
        <w:spacing w:after="0" w:line="6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9"/>
          <w:szCs w:val="9"/>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7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ind w:left="460" w:hanging="4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7.0% annualized hurdle.</w:t>
      </w:r>
    </w:p>
    <w:p>
      <w:pPr>
        <w:ind w:left="460" w:hanging="4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2.0% annualized base management fee.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40"/>
          </w:cols>
          <w:pgMar w:left="320" w:top="45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Duration and Termination of Investment Management Agreement</w:t>
      </w:r>
    </w:p>
    <w:p>
      <w:pPr>
        <w:spacing w:after="0" w:line="105" w:lineRule="exact"/>
        <w:rPr>
          <w:sz w:val="20"/>
          <w:szCs w:val="20"/>
          <w:color w:val="auto"/>
        </w:rPr>
      </w:pPr>
    </w:p>
    <w:p>
      <w:pPr>
        <w:ind w:firstLine="674"/>
        <w:spacing w:after="0" w:line="237"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98" w:lineRule="exact"/>
        <w:rPr>
          <w:sz w:val="20"/>
          <w:szCs w:val="20"/>
          <w:color w:val="auto"/>
        </w:rPr>
      </w:pPr>
    </w:p>
    <w:p>
      <w:pPr>
        <w:ind w:right="40" w:firstLine="674"/>
        <w:spacing w:after="0" w:line="276" w:lineRule="auto"/>
        <w:rPr>
          <w:sz w:val="20"/>
          <w:szCs w:val="20"/>
          <w:color w:val="auto"/>
        </w:rPr>
      </w:pPr>
      <w:r>
        <w:rPr>
          <w:rFonts w:ascii="Arial" w:cs="Arial" w:eastAsia="Arial" w:hAnsi="Arial"/>
          <w:sz w:val="11"/>
          <w:szCs w:val="11"/>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Organization of the Investment Adviser</w:t>
      </w:r>
    </w:p>
    <w:p>
      <w:pPr>
        <w:spacing w:after="0" w:line="105"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Administration Agreement</w:t>
      </w:r>
    </w:p>
    <w:p>
      <w:pPr>
        <w:spacing w:after="0" w:line="105" w:lineRule="exact"/>
        <w:rPr>
          <w:sz w:val="20"/>
          <w:szCs w:val="20"/>
          <w:color w:val="auto"/>
        </w:rPr>
      </w:pPr>
    </w:p>
    <w:p>
      <w:pPr>
        <w:ind w:right="140" w:firstLine="674"/>
        <w:spacing w:after="0" w:line="261" w:lineRule="auto"/>
        <w:rPr>
          <w:sz w:val="20"/>
          <w:szCs w:val="20"/>
          <w:color w:val="auto"/>
        </w:rPr>
      </w:pPr>
      <w:r>
        <w:rPr>
          <w:rFonts w:ascii="Arial" w:cs="Arial" w:eastAsia="Arial" w:hAnsi="Arial"/>
          <w:sz w:val="11"/>
          <w:szCs w:val="11"/>
          <w:color w:val="auto"/>
        </w:rPr>
        <w:t>We have entered into an agreement, or the Administration Agreement, with the Administrator, under which the Administrator furnishes us with office facilities, equipment and bookkeeping and clerical services. Under our Administration Agreement, the Administrator performs, or oversees the performance of, our required administrative services, which include amongst other things being responsible for the financial records we are required to maintain and preparing reports to our stockholders. PennantPark Investment, through the Administrator, provides similar services to our SBIC Funds under their administration agreements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 of the compensation and related expenses for our Chief Compliance Officer, Chief Financial Officer and their respective staffs. The Administrator also offers on PennantPark Investment’s behalf managerial assistance to portfolio companies to which PennantPark Investment is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85"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PennantPark Investment entered into an administration agreement with its controlled affiliate, SuttonPark Holdings, Inc. and its subsidiaries,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Duration and Termination of Administration Agreement</w:t>
      </w:r>
    </w:p>
    <w:p>
      <w:pPr>
        <w:spacing w:after="0" w:line="105" w:lineRule="exact"/>
        <w:rPr>
          <w:sz w:val="20"/>
          <w:szCs w:val="20"/>
          <w:color w:val="auto"/>
        </w:rPr>
      </w:pPr>
    </w:p>
    <w:p>
      <w:pPr>
        <w:ind w:right="120" w:firstLine="674"/>
        <w:spacing w:after="0"/>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PennantPark Investment,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upon not more than 60 days’ written notice to the other.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w:t>
      </w:r>
    </w:p>
    <w:p>
      <w:pPr>
        <w:spacing w:after="0" w:line="105" w:lineRule="exact"/>
        <w:rPr>
          <w:sz w:val="20"/>
          <w:szCs w:val="20"/>
          <w:color w:val="auto"/>
        </w:rPr>
      </w:pPr>
    </w:p>
    <w:p>
      <w:pPr>
        <w:ind w:firstLine="674"/>
        <w:spacing w:after="0" w:line="347" w:lineRule="auto"/>
        <w:rPr>
          <w:sz w:val="20"/>
          <w:szCs w:val="20"/>
          <w:color w:val="auto"/>
        </w:rPr>
      </w:pPr>
      <w:r>
        <w:rPr>
          <w:rFonts w:ascii="Arial" w:cs="Arial" w:eastAsia="Arial" w:hAnsi="Arial"/>
          <w:sz w:val="9"/>
          <w:szCs w:val="9"/>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w:t>
      </w:r>
    </w:p>
    <w:p>
      <w:pPr>
        <w:spacing w:after="0" w:line="105" w:lineRule="exact"/>
        <w:rPr>
          <w:sz w:val="20"/>
          <w:szCs w:val="20"/>
          <w:color w:val="auto"/>
        </w:rPr>
      </w:pPr>
    </w:p>
    <w:p>
      <w:pPr>
        <w:ind w:right="80" w:firstLine="674"/>
        <w:spacing w:after="0" w:line="243" w:lineRule="auto"/>
        <w:rPr>
          <w:sz w:val="20"/>
          <w:szCs w:val="20"/>
          <w:color w:val="auto"/>
        </w:rPr>
      </w:pPr>
      <w:r>
        <w:rPr>
          <w:rFonts w:ascii="Arial" w:cs="Arial" w:eastAsia="Arial" w:hAnsi="Arial"/>
          <w:sz w:val="12"/>
          <w:szCs w:val="12"/>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Regulated Investment Company and Business Development Company Regulations</w:t>
      </w:r>
    </w:p>
    <w:p>
      <w:pPr>
        <w:spacing w:after="0" w:line="105" w:lineRule="exact"/>
        <w:rPr>
          <w:sz w:val="20"/>
          <w:szCs w:val="20"/>
          <w:color w:val="auto"/>
        </w:rPr>
      </w:pPr>
    </w:p>
    <w:p>
      <w:pPr>
        <w:ind w:right="20" w:firstLine="674"/>
        <w:spacing w:after="0"/>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firstLine="674"/>
        <w:spacing w:after="0" w:line="263" w:lineRule="auto"/>
        <w:rPr>
          <w:sz w:val="20"/>
          <w:szCs w:val="20"/>
          <w:color w:val="auto"/>
        </w:rPr>
      </w:pPr>
      <w:r>
        <w:rPr>
          <w:rFonts w:ascii="Arial" w:cs="Arial" w:eastAsia="Arial" w:hAnsi="Arial"/>
          <w:sz w:val="11"/>
          <w:szCs w:val="11"/>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Qualifying Assets</w:t>
      </w:r>
    </w:p>
    <w:p>
      <w:pPr>
        <w:spacing w:after="0" w:line="105" w:lineRule="exact"/>
        <w:rPr>
          <w:sz w:val="20"/>
          <w:szCs w:val="20"/>
          <w:color w:val="auto"/>
        </w:rPr>
      </w:pPr>
    </w:p>
    <w:p>
      <w:pPr>
        <w:ind w:right="240" w:firstLine="786"/>
        <w:spacing w:after="0" w:line="252"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02" w:lineRule="exact"/>
        <w:rPr>
          <w:sz w:val="20"/>
          <w:szCs w:val="20"/>
          <w:color w:val="auto"/>
        </w:rPr>
      </w:pPr>
    </w:p>
    <w:p>
      <w:pPr>
        <w:jc w:val="both"/>
        <w:ind w:left="1240" w:right="40" w:hanging="449"/>
        <w:spacing w:after="0" w:line="243" w:lineRule="auto"/>
        <w:tabs>
          <w:tab w:leader="none" w:pos="1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07" w:lineRule="exact"/>
        <w:rPr>
          <w:rFonts w:ascii="Arial" w:cs="Arial" w:eastAsia="Arial" w:hAnsi="Arial"/>
          <w:sz w:val="12"/>
          <w:szCs w:val="12"/>
          <w:color w:val="auto"/>
        </w:rPr>
      </w:pPr>
    </w:p>
    <w:p>
      <w:pPr>
        <w:ind w:left="2120" w:hanging="438"/>
        <w:spacing w:after="0"/>
        <w:tabs>
          <w:tab w:leader="none" w:pos="2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is organized under the laws of, and has its principal place of business in, the United States</w:t>
      </w:r>
    </w:p>
    <w:p>
      <w:pPr>
        <w:spacing w:after="0" w:line="118" w:lineRule="exact"/>
        <w:rPr>
          <w:rFonts w:ascii="Arial" w:cs="Arial" w:eastAsia="Arial" w:hAnsi="Arial"/>
          <w:sz w:val="12"/>
          <w:szCs w:val="12"/>
          <w:color w:val="auto"/>
        </w:rPr>
      </w:pPr>
    </w:p>
    <w:p>
      <w:pPr>
        <w:ind w:left="2120" w:right="420" w:hanging="438"/>
        <w:spacing w:after="0" w:line="252" w:lineRule="auto"/>
        <w:tabs>
          <w:tab w:leader="none" w:pos="2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1" w:lineRule="exact"/>
        <w:rPr>
          <w:rFonts w:ascii="Arial" w:cs="Arial" w:eastAsia="Arial" w:hAnsi="Arial"/>
          <w:sz w:val="12"/>
          <w:szCs w:val="12"/>
          <w:color w:val="auto"/>
        </w:rPr>
      </w:pPr>
    </w:p>
    <w:p>
      <w:pPr>
        <w:ind w:left="2120" w:hanging="438"/>
        <w:spacing w:after="0"/>
        <w:tabs>
          <w:tab w:leader="none" w:pos="2120" w:val="left"/>
        </w:tabs>
        <w:numPr>
          <w:ilvl w:val="1"/>
          <w:numId w:val="18"/>
        </w:numPr>
        <w:rPr>
          <w:rFonts w:ascii="Arial" w:cs="Arial" w:eastAsia="Arial" w:hAnsi="Arial"/>
          <w:sz w:val="12"/>
          <w:szCs w:val="12"/>
          <w:color w:val="auto"/>
        </w:rPr>
      </w:pPr>
      <w:r>
        <w:rPr>
          <w:rFonts w:ascii="Arial" w:cs="Arial" w:eastAsia="Arial" w:hAnsi="Arial"/>
          <w:sz w:val="12"/>
          <w:szCs w:val="12"/>
          <w:color w:val="auto"/>
        </w:rPr>
        <w:t>satisfies any of the following:</w:t>
      </w:r>
    </w:p>
    <w:p>
      <w:pPr>
        <w:spacing w:after="0" w:line="118" w:lineRule="exact"/>
        <w:rPr>
          <w:rFonts w:ascii="Arial" w:cs="Arial" w:eastAsia="Arial" w:hAnsi="Arial"/>
          <w:sz w:val="12"/>
          <w:szCs w:val="12"/>
          <w:color w:val="auto"/>
        </w:rPr>
      </w:pPr>
    </w:p>
    <w:p>
      <w:pPr>
        <w:ind w:left="2920" w:hanging="442"/>
        <w:spacing w:after="0"/>
        <w:tabs>
          <w:tab w:leader="none" w:pos="2920" w:val="left"/>
        </w:tabs>
        <w:numPr>
          <w:ilvl w:val="2"/>
          <w:numId w:val="18"/>
        </w:numPr>
        <w:rPr>
          <w:rFonts w:ascii="Arial" w:cs="Arial" w:eastAsia="Arial" w:hAnsi="Arial"/>
          <w:sz w:val="12"/>
          <w:szCs w:val="12"/>
          <w:color w:val="auto"/>
        </w:rPr>
      </w:pPr>
      <w:r>
        <w:rPr>
          <w:rFonts w:ascii="Arial" w:cs="Arial" w:eastAsia="Arial" w:hAnsi="Arial"/>
          <w:sz w:val="12"/>
          <w:szCs w:val="12"/>
          <w:color w:val="auto"/>
        </w:rPr>
        <w:t>does not have any class of securities listed on a national securities exchange;</w:t>
      </w:r>
    </w:p>
    <w:p>
      <w:pPr>
        <w:spacing w:after="0" w:line="118" w:lineRule="exact"/>
        <w:rPr>
          <w:rFonts w:ascii="Arial" w:cs="Arial" w:eastAsia="Arial" w:hAnsi="Arial"/>
          <w:sz w:val="12"/>
          <w:szCs w:val="12"/>
          <w:color w:val="auto"/>
        </w:rPr>
      </w:pPr>
    </w:p>
    <w:p>
      <w:pPr>
        <w:ind w:left="2920" w:hanging="442"/>
        <w:spacing w:after="0"/>
        <w:tabs>
          <w:tab w:leader="none" w:pos="2920" w:val="left"/>
        </w:tabs>
        <w:numPr>
          <w:ilvl w:val="2"/>
          <w:numId w:val="18"/>
        </w:numPr>
        <w:rPr>
          <w:rFonts w:ascii="Arial" w:cs="Arial" w:eastAsia="Arial" w:hAnsi="Arial"/>
          <w:sz w:val="12"/>
          <w:szCs w:val="12"/>
          <w:color w:val="auto"/>
        </w:rPr>
      </w:pPr>
      <w:r>
        <w:rPr>
          <w:rFonts w:ascii="Arial" w:cs="Arial" w:eastAsia="Arial" w:hAnsi="Arial"/>
          <w:sz w:val="12"/>
          <w:szCs w:val="12"/>
          <w:color w:val="auto"/>
        </w:rPr>
        <w:t>has any class of securities listed on a national securities exchange subject to a maximum market capitalization of $250.0 million; or</w:t>
      </w:r>
    </w:p>
    <w:p>
      <w:pPr>
        <w:spacing w:after="0" w:line="118" w:lineRule="exact"/>
        <w:rPr>
          <w:rFonts w:ascii="Arial" w:cs="Arial" w:eastAsia="Arial" w:hAnsi="Arial"/>
          <w:sz w:val="12"/>
          <w:szCs w:val="12"/>
          <w:color w:val="auto"/>
        </w:rPr>
      </w:pPr>
    </w:p>
    <w:p>
      <w:pPr>
        <w:ind w:left="2920" w:right="20" w:hanging="442"/>
        <w:spacing w:after="0" w:line="252" w:lineRule="auto"/>
        <w:tabs>
          <w:tab w:leader="none" w:pos="2920" w:val="left"/>
        </w:tabs>
        <w:numPr>
          <w:ilvl w:val="2"/>
          <w:numId w:val="18"/>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01" w:lineRule="exact"/>
        <w:rPr>
          <w:rFonts w:ascii="Arial" w:cs="Arial" w:eastAsia="Arial" w:hAnsi="Arial"/>
          <w:sz w:val="12"/>
          <w:szCs w:val="12"/>
          <w:color w:val="auto"/>
        </w:rPr>
      </w:pPr>
    </w:p>
    <w:p>
      <w:pPr>
        <w:ind w:left="1240" w:hanging="449"/>
        <w:spacing w:after="0"/>
        <w:tabs>
          <w:tab w:leader="none" w:pos="1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Securities of any eligible portfolio company which we control.</w:t>
      </w:r>
    </w:p>
    <w:p>
      <w:pPr>
        <w:spacing w:after="0" w:line="118" w:lineRule="exact"/>
        <w:rPr>
          <w:rFonts w:ascii="Arial" w:cs="Arial" w:eastAsia="Arial" w:hAnsi="Arial"/>
          <w:sz w:val="12"/>
          <w:szCs w:val="12"/>
          <w:color w:val="auto"/>
        </w:rPr>
      </w:pPr>
    </w:p>
    <w:p>
      <w:pPr>
        <w:ind w:left="1240" w:right="420" w:hanging="449"/>
        <w:spacing w:after="0" w:line="243" w:lineRule="auto"/>
        <w:tabs>
          <w:tab w:leader="none" w:pos="1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07" w:lineRule="exact"/>
        <w:rPr>
          <w:rFonts w:ascii="Arial" w:cs="Arial" w:eastAsia="Arial" w:hAnsi="Arial"/>
          <w:sz w:val="12"/>
          <w:szCs w:val="12"/>
          <w:color w:val="auto"/>
        </w:rPr>
      </w:pPr>
    </w:p>
    <w:p>
      <w:pPr>
        <w:ind w:left="1240" w:right="380" w:hanging="449"/>
        <w:spacing w:after="0" w:line="252" w:lineRule="auto"/>
        <w:tabs>
          <w:tab w:leader="none" w:pos="1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1" w:lineRule="exact"/>
        <w:rPr>
          <w:rFonts w:ascii="Arial" w:cs="Arial" w:eastAsia="Arial" w:hAnsi="Arial"/>
          <w:sz w:val="12"/>
          <w:szCs w:val="12"/>
          <w:color w:val="auto"/>
        </w:rPr>
      </w:pPr>
    </w:p>
    <w:p>
      <w:pPr>
        <w:ind w:left="1240" w:hanging="449"/>
        <w:spacing w:after="0"/>
        <w:tabs>
          <w:tab w:leader="none" w:pos="12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Securities received in exchange for or distributed on or with respect to securities described in (1) through (4) above, or pursuant to the exercise of warrants or rights relating to such securities.</w:t>
      </w:r>
    </w:p>
    <w:p>
      <w:pPr>
        <w:spacing w:after="0" w:line="130" w:lineRule="exact"/>
        <w:rPr>
          <w:rFonts w:ascii="Arial" w:cs="Arial" w:eastAsia="Arial" w:hAnsi="Arial"/>
          <w:sz w:val="11"/>
          <w:szCs w:val="11"/>
          <w:color w:val="auto"/>
        </w:rPr>
      </w:pPr>
    </w:p>
    <w:p>
      <w:pPr>
        <w:ind w:left="1240" w:hanging="449"/>
        <w:spacing w:after="0"/>
        <w:tabs>
          <w:tab w:leader="none" w:pos="12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Cash, cash equivalents, U.S. Government securities or high-quality debt securities maturing in one year or less from the time of investment.</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9"/>
          <w:szCs w:val="9"/>
          <w:color w:val="auto"/>
        </w:rPr>
        <w:t>In addition, a BDC must have been organized and have its principal place of business in the United States and must be operated for the purpose of making investments in the types of securities described in (1), (2) or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(3) above.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Managerial Assistance to Portfolio Companies</w:t>
      </w:r>
    </w:p>
    <w:p>
      <w:pPr>
        <w:spacing w:after="0" w:line="105" w:lineRule="exact"/>
        <w:rPr>
          <w:sz w:val="20"/>
          <w:szCs w:val="20"/>
          <w:color w:val="auto"/>
        </w:rPr>
      </w:pPr>
    </w:p>
    <w:p>
      <w:pPr>
        <w:ind w:right="80" w:firstLine="786"/>
        <w:spacing w:after="0" w:line="347" w:lineRule="auto"/>
        <w:rPr>
          <w:sz w:val="20"/>
          <w:szCs w:val="20"/>
          <w:color w:val="auto"/>
        </w:rPr>
      </w:pPr>
      <w:r>
        <w:rPr>
          <w:rFonts w:ascii="Arial" w:cs="Arial" w:eastAsia="Arial" w:hAnsi="Arial"/>
          <w:sz w:val="9"/>
          <w:szCs w:val="9"/>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Temporary Investments</w:t>
      </w:r>
    </w:p>
    <w:p>
      <w:pPr>
        <w:spacing w:after="0" w:line="105" w:lineRule="exact"/>
        <w:rPr>
          <w:sz w:val="20"/>
          <w:szCs w:val="20"/>
          <w:color w:val="auto"/>
        </w:rPr>
      </w:pPr>
    </w:p>
    <w:p>
      <w:pPr>
        <w:ind w:right="40" w:firstLine="674"/>
        <w:spacing w:after="0" w:line="263" w:lineRule="auto"/>
        <w:rPr>
          <w:sz w:val="20"/>
          <w:szCs w:val="20"/>
          <w:color w:val="auto"/>
        </w:rPr>
      </w:pPr>
      <w:r>
        <w:rPr>
          <w:rFonts w:ascii="Arial" w:cs="Arial" w:eastAsia="Arial" w:hAnsi="Arial"/>
          <w:sz w:val="11"/>
          <w:szCs w:val="11"/>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Senior Securities</w:t>
      </w:r>
    </w:p>
    <w:p>
      <w:pPr>
        <w:spacing w:after="0" w:line="105" w:lineRule="exact"/>
        <w:rPr>
          <w:sz w:val="20"/>
          <w:szCs w:val="20"/>
          <w:color w:val="auto"/>
        </w:rPr>
      </w:pPr>
    </w:p>
    <w:p>
      <w:pPr>
        <w:ind w:right="40" w:firstLine="674"/>
        <w:spacing w:after="0" w:line="338" w:lineRule="auto"/>
        <w:rPr>
          <w:sz w:val="20"/>
          <w:szCs w:val="20"/>
          <w:color w:val="auto"/>
        </w:rPr>
      </w:pPr>
      <w:r>
        <w:rPr>
          <w:rFonts w:ascii="Arial" w:cs="Arial" w:eastAsia="Arial" w:hAnsi="Arial"/>
          <w:sz w:val="9"/>
          <w:szCs w:val="9"/>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Joint Code of Ethics and Code of Conduct</w:t>
      </w:r>
    </w:p>
    <w:p>
      <w:pPr>
        <w:spacing w:after="0" w:line="105" w:lineRule="exact"/>
        <w:rPr>
          <w:sz w:val="20"/>
          <w:szCs w:val="20"/>
          <w:color w:val="auto"/>
        </w:rPr>
      </w:pPr>
    </w:p>
    <w:p>
      <w:pPr>
        <w:ind w:right="100" w:firstLine="674"/>
        <w:spacing w:after="0" w:line="238"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xml:space="preserve"> , or by writing the SEC’s Public Reference Section, 100 F Street, N.E., Washington, D.C. 20549.</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Proxy Voting Policies and Procedures</w:t>
      </w:r>
    </w:p>
    <w:p>
      <w:pPr>
        <w:spacing w:after="0" w:line="105" w:lineRule="exact"/>
        <w:rPr>
          <w:sz w:val="20"/>
          <w:szCs w:val="20"/>
          <w:color w:val="auto"/>
        </w:rPr>
      </w:pPr>
    </w:p>
    <w:p>
      <w:pPr>
        <w:ind w:right="460" w:firstLine="674"/>
        <w:spacing w:after="0" w:line="416" w:lineRule="auto"/>
        <w:rPr>
          <w:sz w:val="20"/>
          <w:szCs w:val="20"/>
          <w:color w:val="auto"/>
        </w:rPr>
      </w:pPr>
      <w:r>
        <w:rPr>
          <w:rFonts w:ascii="Arial" w:cs="Arial" w:eastAsia="Arial" w:hAnsi="Arial"/>
          <w:sz w:val="9"/>
          <w:szCs w:val="9"/>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Introduction</w:t>
      </w:r>
    </w:p>
    <w:p>
      <w:pPr>
        <w:spacing w:after="0" w:line="105"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These policies and procedures for voting proxies for our investment advisory clients are intended to comply with Section 206 of, and Rule 206(4)-6 under, the Advisers Act.</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Proxy Policies</w:t>
      </w:r>
    </w:p>
    <w:p>
      <w:pPr>
        <w:spacing w:after="0" w:line="105" w:lineRule="exact"/>
        <w:rPr>
          <w:sz w:val="20"/>
          <w:szCs w:val="20"/>
          <w:color w:val="auto"/>
        </w:rPr>
      </w:pPr>
    </w:p>
    <w:p>
      <w:pPr>
        <w:jc w:val="both"/>
        <w:ind w:right="60" w:firstLine="674"/>
        <w:spacing w:after="0" w:line="243" w:lineRule="auto"/>
        <w:rPr>
          <w:sz w:val="20"/>
          <w:szCs w:val="20"/>
          <w:color w:val="auto"/>
        </w:rPr>
      </w:pPr>
      <w:r>
        <w:rPr>
          <w:rFonts w:ascii="Arial" w:cs="Arial" w:eastAsia="Arial" w:hAnsi="Arial"/>
          <w:sz w:val="12"/>
          <w:szCs w:val="12"/>
          <w:color w:val="auto"/>
        </w:rPr>
        <w:t>We vote proxies relating to PennantPark Investment’s portfolio securities in what we perceive to be the best interests of PennantPark Investment’s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94" w:lineRule="exact"/>
        <w:rPr>
          <w:sz w:val="20"/>
          <w:szCs w:val="20"/>
          <w:color w:val="auto"/>
        </w:rPr>
      </w:pPr>
    </w:p>
    <w:p>
      <w:pPr>
        <w:jc w:val="both"/>
        <w:ind w:right="160" w:firstLine="674"/>
        <w:spacing w:after="0" w:line="276" w:lineRule="auto"/>
        <w:rPr>
          <w:sz w:val="20"/>
          <w:szCs w:val="20"/>
          <w:color w:val="auto"/>
        </w:rPr>
      </w:pPr>
      <w:r>
        <w:rPr>
          <w:rFonts w:ascii="Arial" w:cs="Arial" w:eastAsia="Arial" w:hAnsi="Arial"/>
          <w:sz w:val="11"/>
          <w:szCs w:val="11"/>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Proxy Voting Records</w:t>
      </w:r>
    </w:p>
    <w:p>
      <w:pPr>
        <w:spacing w:after="0" w:line="105" w:lineRule="exact"/>
        <w:rPr>
          <w:sz w:val="20"/>
          <w:szCs w:val="20"/>
          <w:color w:val="auto"/>
        </w:rPr>
      </w:pPr>
    </w:p>
    <w:p>
      <w:pPr>
        <w:ind w:right="440" w:firstLine="674"/>
        <w:spacing w:after="0" w:line="252" w:lineRule="auto"/>
        <w:rPr>
          <w:sz w:val="20"/>
          <w:szCs w:val="20"/>
          <w:color w:val="auto"/>
        </w:rPr>
      </w:pPr>
      <w:r>
        <w:rPr>
          <w:rFonts w:ascii="Arial" w:cs="Arial" w:eastAsia="Arial" w:hAnsi="Arial"/>
          <w:sz w:val="12"/>
          <w:szCs w:val="12"/>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9"/>
          <w:szCs w:val="9"/>
          <w:color w:val="auto"/>
        </w:rPr>
        <w:t>th</w:t>
      </w:r>
      <w:r>
        <w:rPr>
          <w:rFonts w:ascii="Arial" w:cs="Arial" w:eastAsia="Arial" w:hAnsi="Arial"/>
          <w:sz w:val="12"/>
          <w:szCs w:val="12"/>
          <w:color w:val="auto"/>
        </w:rPr>
        <w:t xml:space="preserve"> Floor, New York, New York 10022.</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Privacy Protection Principles</w:t>
      </w:r>
    </w:p>
    <w:p>
      <w:pPr>
        <w:spacing w:after="0" w:line="105"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88" w:lineRule="exact"/>
        <w:rPr>
          <w:sz w:val="20"/>
          <w:szCs w:val="20"/>
          <w:color w:val="auto"/>
        </w:rPr>
      </w:pPr>
    </w:p>
    <w:p>
      <w:pPr>
        <w:ind w:right="160" w:firstLine="674"/>
        <w:spacing w:after="0" w:line="416" w:lineRule="auto"/>
        <w:rPr>
          <w:sz w:val="20"/>
          <w:szCs w:val="20"/>
          <w:color w:val="auto"/>
        </w:rPr>
      </w:pPr>
      <w:r>
        <w:rPr>
          <w:rFonts w:ascii="Arial" w:cs="Arial" w:eastAsia="Arial" w:hAnsi="Arial"/>
          <w:sz w:val="9"/>
          <w:szCs w:val="9"/>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9" w:lineRule="exact"/>
        <w:rPr>
          <w:sz w:val="20"/>
          <w:szCs w:val="20"/>
          <w:color w:val="auto"/>
        </w:rPr>
      </w:pPr>
    </w:p>
    <w:p>
      <w:pPr>
        <w:ind w:right="80" w:firstLine="674"/>
        <w:spacing w:after="0" w:line="252" w:lineRule="auto"/>
        <w:rPr>
          <w:sz w:val="20"/>
          <w:szCs w:val="20"/>
          <w:color w:val="auto"/>
        </w:rPr>
      </w:pPr>
      <w:r>
        <w:rPr>
          <w:rFonts w:ascii="Arial" w:cs="Arial" w:eastAsia="Arial" w:hAnsi="Arial"/>
          <w:sz w:val="12"/>
          <w:szCs w:val="12"/>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86" w:lineRule="exact"/>
        <w:rPr>
          <w:sz w:val="20"/>
          <w:szCs w:val="20"/>
          <w:color w:val="auto"/>
        </w:rPr>
      </w:pPr>
    </w:p>
    <w:p>
      <w:pPr>
        <w:ind w:right="60" w:firstLine="674"/>
        <w:spacing w:after="0" w:line="245"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b w:val="1"/>
          <w:bCs w:val="1"/>
          <w:color w:val="auto"/>
        </w:rPr>
        <w:t>.</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Other</w:t>
      </w:r>
    </w:p>
    <w:p>
      <w:pPr>
        <w:spacing w:after="0" w:line="105" w:lineRule="exact"/>
        <w:rPr>
          <w:sz w:val="20"/>
          <w:szCs w:val="20"/>
          <w:color w:val="auto"/>
        </w:rPr>
      </w:pPr>
    </w:p>
    <w:p>
      <w:pPr>
        <w:ind w:right="280" w:firstLine="674"/>
        <w:spacing w:after="0" w:line="252" w:lineRule="auto"/>
        <w:rPr>
          <w:sz w:val="20"/>
          <w:szCs w:val="20"/>
          <w:color w:val="auto"/>
        </w:rPr>
      </w:pPr>
      <w:r>
        <w:rPr>
          <w:rFonts w:ascii="Arial" w:cs="Arial" w:eastAsia="Arial" w:hAnsi="Arial"/>
          <w:sz w:val="12"/>
          <w:szCs w:val="12"/>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will be periodically examined by the SEC and SBA for compliance with the 1940 Act and 1958 Act, respectively.</w:t>
      </w:r>
    </w:p>
    <w:p>
      <w:pPr>
        <w:spacing w:after="0" w:line="105" w:lineRule="exact"/>
        <w:rPr>
          <w:sz w:val="20"/>
          <w:szCs w:val="20"/>
          <w:color w:val="auto"/>
        </w:rPr>
      </w:pPr>
    </w:p>
    <w:p>
      <w:pPr>
        <w:ind w:right="40" w:firstLine="674"/>
        <w:spacing w:after="0" w:line="416" w:lineRule="auto"/>
        <w:rPr>
          <w:sz w:val="20"/>
          <w:szCs w:val="20"/>
          <w:color w:val="auto"/>
        </w:rPr>
      </w:pPr>
      <w:r>
        <w:rPr>
          <w:rFonts w:ascii="Arial" w:cs="Arial" w:eastAsia="Arial" w:hAnsi="Arial"/>
          <w:sz w:val="9"/>
          <w:szCs w:val="9"/>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firstLine="674"/>
        <w:spacing w:after="0" w:line="297" w:lineRule="auto"/>
        <w:rPr>
          <w:sz w:val="20"/>
          <w:szCs w:val="20"/>
          <w:color w:val="auto"/>
        </w:rPr>
      </w:pPr>
      <w:r>
        <w:rPr>
          <w:rFonts w:ascii="Arial" w:cs="Arial" w:eastAsia="Arial" w:hAnsi="Arial"/>
          <w:sz w:val="11"/>
          <w:szCs w:val="11"/>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Sarbanes-Oxley Act of 2002</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Sarbanes-Oxley Act of 2002, or the Sarbanes-Oxley Act, imposes several regulatory requirements on publicly held companies and their insiders. Many of these requirements affect us.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 example:</w:t>
      </w:r>
    </w:p>
    <w:p>
      <w:pPr>
        <w:sectPr>
          <w:pgSz w:w="11900" w:h="16838" w:orient="portrait"/>
          <w:cols w:equalWidth="0" w:num="1">
            <w:col w:w="11240"/>
          </w:cols>
          <w:pgMar w:left="320" w:top="459" w:right="339" w:bottom="1440" w:gutter="0" w:footer="0" w:header="0"/>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380"/>
        <w:spacing w:after="0" w:line="252" w:lineRule="auto"/>
        <w:rPr>
          <w:sz w:val="20"/>
          <w:szCs w:val="20"/>
          <w:color w:val="auto"/>
        </w:rPr>
      </w:pPr>
      <w:r>
        <w:rPr>
          <w:rFonts w:ascii="Arial" w:cs="Arial" w:eastAsia="Arial" w:hAnsi="Arial"/>
          <w:sz w:val="12"/>
          <w:szCs w:val="12"/>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pursuant to Item 307 of Regulation S-K, our periodic reports must disclose our conclusions about the effectiveness of our disclosure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pursuant to Rule 13a-15 of the Exchange Act, our management must prepare an annual report regarding its assessment of our internal controls over financial reporting; and</w:t>
      </w:r>
    </w:p>
    <w:p>
      <w:pPr>
        <w:spacing w:after="0" w:line="200" w:lineRule="exact"/>
        <w:rPr>
          <w:sz w:val="20"/>
          <w:szCs w:val="20"/>
          <w:color w:val="auto"/>
        </w:rPr>
      </w:pPr>
    </w:p>
    <w:p>
      <w:pPr>
        <w:ind w:right="260"/>
        <w:spacing w:after="0" w:line="297" w:lineRule="auto"/>
        <w:rPr>
          <w:sz w:val="20"/>
          <w:szCs w:val="20"/>
          <w:color w:val="auto"/>
        </w:rPr>
      </w:pPr>
      <w:r>
        <w:rPr>
          <w:rFonts w:ascii="Arial" w:cs="Arial" w:eastAsia="Arial" w:hAnsi="Arial"/>
          <w:sz w:val="11"/>
          <w:szCs w:val="11"/>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65"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right="320" w:firstLine="674"/>
        <w:spacing w:after="0" w:line="252"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Election to be Taxed as a RIC</w:t>
      </w:r>
    </w:p>
    <w:p>
      <w:pPr>
        <w:spacing w:after="0" w:line="105" w:lineRule="exact"/>
        <w:rPr>
          <w:sz w:val="20"/>
          <w:szCs w:val="20"/>
          <w:color w:val="auto"/>
        </w:rPr>
      </w:pPr>
    </w:p>
    <w:p>
      <w:pPr>
        <w:ind w:firstLine="674"/>
        <w:spacing w:after="0" w:line="263" w:lineRule="auto"/>
        <w:rPr>
          <w:sz w:val="20"/>
          <w:szCs w:val="20"/>
          <w:color w:val="auto"/>
        </w:rPr>
      </w:pPr>
      <w:r>
        <w:rPr>
          <w:rFonts w:ascii="Arial" w:cs="Arial" w:eastAsia="Arial" w:hAnsi="Arial"/>
          <w:sz w:val="11"/>
          <w:szCs w:val="11"/>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ectPr>
          <w:pgSz w:w="11900" w:h="16838" w:orient="portrait"/>
          <w:cols w:equalWidth="0" w:num="1">
            <w:col w:w="11240"/>
          </w:cols>
          <w:pgMar w:left="320" w:top="459" w:right="339" w:bottom="1440" w:gutter="0" w:footer="0" w:header="0"/>
          <w:type w:val="continuous"/>
        </w:sect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In order to qualify as a RIC for federal income tax purposes, we must:</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2"/>
          <w:szCs w:val="12"/>
          <w:color w:val="auto"/>
        </w:rPr>
        <w:t>maintain an election to be treated as a BDC under the 1940 Act at all times during each taxable year</w:t>
      </w:r>
    </w:p>
    <w:p>
      <w:pPr>
        <w:spacing w:after="0" w:line="78" w:lineRule="exact"/>
        <w:rPr>
          <w:sz w:val="20"/>
          <w:szCs w:val="20"/>
          <w:color w:val="auto"/>
        </w:rPr>
      </w:pPr>
    </w:p>
    <w:p>
      <w:pPr>
        <w:ind w:left="80" w:right="360"/>
        <w:spacing w:after="0" w:line="243" w:lineRule="auto"/>
        <w:rPr>
          <w:sz w:val="20"/>
          <w:szCs w:val="20"/>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 diversify our holdings, or the Diversification Tests, so that at the end of each quarter of the taxable year:</w:t>
      </w:r>
    </w:p>
    <w:p>
      <w:pPr>
        <w:spacing w:after="0" w:line="188" w:lineRule="exact"/>
        <w:rPr>
          <w:sz w:val="20"/>
          <w:szCs w:val="20"/>
          <w:color w:val="auto"/>
        </w:rPr>
      </w:pPr>
    </w:p>
    <w:p>
      <w:pPr>
        <w:sectPr>
          <w:pgSz w:w="11900" w:h="16838" w:orient="portrait"/>
          <w:cols w:equalWidth="0" w:num="2">
            <w:col w:w="400" w:space="280"/>
            <w:col w:w="10560"/>
          </w:cols>
          <w:pgMar w:left="320" w:top="459" w:right="339" w:bottom="1440" w:gutter="0" w:footer="0" w:header="0"/>
          <w:type w:val="continuous"/>
        </w:sectPr>
      </w:pPr>
    </w:p>
    <w:p>
      <w:pPr>
        <w:ind w:left="1240" w:right="140" w:hanging="449"/>
        <w:spacing w:after="0" w:line="252" w:lineRule="auto"/>
        <w:tabs>
          <w:tab w:leader="none" w:pos="1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01" w:lineRule="exact"/>
        <w:rPr>
          <w:rFonts w:ascii="Arial" w:cs="Arial" w:eastAsia="Arial" w:hAnsi="Arial"/>
          <w:sz w:val="12"/>
          <w:szCs w:val="12"/>
          <w:color w:val="auto"/>
        </w:rPr>
      </w:pPr>
    </w:p>
    <w:p>
      <w:pPr>
        <w:ind w:left="1240" w:right="100" w:hanging="449"/>
        <w:spacing w:after="0" w:line="252" w:lineRule="auto"/>
        <w:tabs>
          <w:tab w:leader="none" w:pos="1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Taxation as a RIC</w:t>
      </w:r>
    </w:p>
    <w:p>
      <w:pPr>
        <w:spacing w:after="0" w:line="105" w:lineRule="exact"/>
        <w:rPr>
          <w:sz w:val="20"/>
          <w:szCs w:val="20"/>
          <w:color w:val="auto"/>
        </w:rPr>
      </w:pPr>
    </w:p>
    <w:p>
      <w:pPr>
        <w:ind w:right="100" w:firstLine="674"/>
        <w:spacing w:after="0" w:line="243" w:lineRule="auto"/>
        <w:rPr>
          <w:sz w:val="20"/>
          <w:szCs w:val="20"/>
          <w:color w:val="auto"/>
        </w:rPr>
      </w:pPr>
      <w:r>
        <w:rPr>
          <w:rFonts w:ascii="Arial" w:cs="Arial" w:eastAsia="Arial" w:hAnsi="Arial"/>
          <w:sz w:val="12"/>
          <w:szCs w:val="12"/>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94" w:lineRule="exact"/>
        <w:rPr>
          <w:sz w:val="20"/>
          <w:szCs w:val="20"/>
          <w:color w:val="auto"/>
        </w:rPr>
      </w:pPr>
    </w:p>
    <w:p>
      <w:pPr>
        <w:ind w:right="100" w:firstLine="674"/>
        <w:spacing w:after="0"/>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96" w:lineRule="exact"/>
        <w:rPr>
          <w:sz w:val="20"/>
          <w:szCs w:val="20"/>
          <w:color w:val="auto"/>
        </w:rPr>
      </w:pPr>
    </w:p>
    <w:p>
      <w:pPr>
        <w:ind w:right="60" w:firstLine="674"/>
        <w:spacing w:after="0" w:line="252" w:lineRule="auto"/>
        <w:rPr>
          <w:sz w:val="20"/>
          <w:szCs w:val="20"/>
          <w:color w:val="auto"/>
        </w:rPr>
      </w:pPr>
      <w:r>
        <w:rPr>
          <w:rFonts w:ascii="Arial" w:cs="Arial" w:eastAsia="Arial" w:hAnsi="Arial"/>
          <w:sz w:val="12"/>
          <w:szCs w:val="12"/>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8"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40"/>
          </w:cols>
          <w:pgMar w:left="32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40" w:firstLine="674"/>
        <w:spacing w:after="0" w:line="364" w:lineRule="auto"/>
        <w:rPr>
          <w:sz w:val="20"/>
          <w:szCs w:val="20"/>
          <w:color w:val="auto"/>
        </w:rPr>
      </w:pPr>
      <w:r>
        <w:rPr>
          <w:rFonts w:ascii="Arial" w:cs="Arial" w:eastAsia="Arial" w:hAnsi="Arial"/>
          <w:sz w:val="9"/>
          <w:szCs w:val="9"/>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Failure to Qualify as a RIC</w:t>
      </w:r>
    </w:p>
    <w:p>
      <w:pPr>
        <w:spacing w:after="0" w:line="105" w:lineRule="exact"/>
        <w:rPr>
          <w:sz w:val="20"/>
          <w:szCs w:val="20"/>
          <w:color w:val="auto"/>
        </w:rPr>
      </w:pPr>
    </w:p>
    <w:p>
      <w:pPr>
        <w:ind w:right="280" w:firstLine="674"/>
        <w:spacing w:after="0" w:line="276" w:lineRule="auto"/>
        <w:rPr>
          <w:sz w:val="20"/>
          <w:szCs w:val="20"/>
          <w:color w:val="auto"/>
        </w:rPr>
      </w:pPr>
      <w:r>
        <w:rPr>
          <w:rFonts w:ascii="Arial" w:cs="Arial" w:eastAsia="Arial" w:hAnsi="Arial"/>
          <w:sz w:val="11"/>
          <w:szCs w:val="11"/>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77" w:lineRule="exact"/>
        <w:rPr>
          <w:sz w:val="20"/>
          <w:szCs w:val="20"/>
          <w:color w:val="auto"/>
        </w:rPr>
      </w:pPr>
    </w:p>
    <w:p>
      <w:pPr>
        <w:ind w:right="100" w:firstLine="674"/>
        <w:spacing w:after="0" w:line="269" w:lineRule="auto"/>
        <w:rPr>
          <w:sz w:val="20"/>
          <w:szCs w:val="20"/>
          <w:color w:val="auto"/>
        </w:rPr>
      </w:pPr>
      <w:r>
        <w:rPr>
          <w:rFonts w:ascii="Arial" w:cs="Arial" w:eastAsia="Arial" w:hAnsi="Arial"/>
          <w:sz w:val="11"/>
          <w:szCs w:val="11"/>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distributions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SBA Regulations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Both SBIC LP and SBIC II are licensed under the SBA as SBICs, under Section 301(c) of the 1958 Act. SBIC LP and SBIC II received their licenses in July 2010 and January 2013, respectively.</w:t>
      </w:r>
    </w:p>
    <w:p>
      <w:pPr>
        <w:spacing w:after="0" w:line="105" w:lineRule="exact"/>
        <w:rPr>
          <w:sz w:val="20"/>
          <w:szCs w:val="20"/>
          <w:color w:val="auto"/>
        </w:rPr>
      </w:pPr>
    </w:p>
    <w:p>
      <w:pPr>
        <w:ind w:right="20" w:firstLine="674"/>
        <w:spacing w:after="0" w:line="263" w:lineRule="auto"/>
        <w:rPr>
          <w:sz w:val="20"/>
          <w:szCs w:val="20"/>
          <w:color w:val="auto"/>
        </w:rPr>
      </w:pPr>
      <w:r>
        <w:rPr>
          <w:rFonts w:ascii="Arial" w:cs="Arial" w:eastAsia="Arial" w:hAnsi="Arial"/>
          <w:sz w:val="11"/>
          <w:szCs w:val="11"/>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Eligible Small and Smaller Businesses</w:t>
      </w:r>
    </w:p>
    <w:p>
      <w:pPr>
        <w:spacing w:after="0" w:line="105" w:lineRule="exact"/>
        <w:rPr>
          <w:sz w:val="20"/>
          <w:szCs w:val="20"/>
          <w:color w:val="auto"/>
        </w:rPr>
      </w:pPr>
    </w:p>
    <w:p>
      <w:pPr>
        <w:ind w:firstLine="674"/>
        <w:spacing w:after="0" w:line="239" w:lineRule="auto"/>
        <w:rPr>
          <w:sz w:val="20"/>
          <w:szCs w:val="20"/>
          <w:color w:val="auto"/>
        </w:rPr>
      </w:pPr>
      <w:r>
        <w:rPr>
          <w:rFonts w:ascii="Arial" w:cs="Arial" w:eastAsia="Arial" w:hAnsi="Arial"/>
          <w:sz w:val="12"/>
          <w:szCs w:val="12"/>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Financing Limitations, Terms and Changes in Control</w:t>
      </w:r>
    </w:p>
    <w:p>
      <w:pPr>
        <w:spacing w:after="0" w:line="105" w:lineRule="exact"/>
        <w:rPr>
          <w:sz w:val="20"/>
          <w:szCs w:val="20"/>
          <w:color w:val="auto"/>
        </w:rPr>
      </w:pPr>
    </w:p>
    <w:p>
      <w:pPr>
        <w:ind w:right="140" w:firstLine="674"/>
        <w:spacing w:after="0"/>
        <w:rPr>
          <w:sz w:val="20"/>
          <w:szCs w:val="20"/>
          <w:color w:val="auto"/>
        </w:rPr>
      </w:pPr>
      <w:r>
        <w:rPr>
          <w:rFonts w:ascii="Arial" w:cs="Arial" w:eastAsia="Arial" w:hAnsi="Arial"/>
          <w:sz w:val="12"/>
          <w:szCs w:val="12"/>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6" w:lineRule="exact"/>
        <w:rPr>
          <w:sz w:val="20"/>
          <w:szCs w:val="20"/>
          <w:color w:val="auto"/>
        </w:rPr>
      </w:pPr>
    </w:p>
    <w:p>
      <w:pPr>
        <w:ind w:right="220" w:firstLine="674"/>
        <w:spacing w:after="0" w:line="243" w:lineRule="auto"/>
        <w:rPr>
          <w:sz w:val="20"/>
          <w:szCs w:val="20"/>
          <w:color w:val="auto"/>
        </w:rPr>
      </w:pPr>
      <w:r>
        <w:rPr>
          <w:rFonts w:ascii="Arial" w:cs="Arial" w:eastAsia="Arial" w:hAnsi="Arial"/>
          <w:sz w:val="12"/>
          <w:szCs w:val="12"/>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Idle Funds Limitation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SBA limits an SBIC from investing idle funds to the following types of securities: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direct obligations of, or obligations guaranteed as to principal and interest by, the United States government, which mature within 15 months from the date of the investment;</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9"/>
          <w:szCs w:val="9"/>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2"/>
          <w:szCs w:val="12"/>
          <w:color w:val="auto"/>
        </w:rPr>
        <w:t>certificates of deposit with a maturity of one year or less, issued by a federally insured institution; or</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a deposit account in a federally insured institution that is subject to withdrawal restriction of one year or less;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SBA Leverage or Debentures</w:t>
      </w:r>
    </w:p>
    <w:p>
      <w:pPr>
        <w:spacing w:after="0" w:line="105" w:lineRule="exact"/>
        <w:rPr>
          <w:sz w:val="20"/>
          <w:szCs w:val="20"/>
          <w:color w:val="auto"/>
        </w:rPr>
      </w:pPr>
    </w:p>
    <w:p>
      <w:pPr>
        <w:sectPr>
          <w:pgSz w:w="11900" w:h="16838" w:orient="portrait"/>
          <w:cols w:equalWidth="0" w:num="2">
            <w:col w:w="400" w:space="280"/>
            <w:col w:w="10560"/>
          </w:cols>
          <w:pgMar w:left="320" w:top="459" w:right="339" w:bottom="1440" w:gutter="0" w:footer="0" w:header="0"/>
          <w:type w:val="continuous"/>
        </w:sectPr>
      </w:pPr>
    </w:p>
    <w:p>
      <w:pPr>
        <w:ind w:right="120" w:firstLine="674"/>
        <w:spacing w:after="0" w:line="243" w:lineRule="auto"/>
        <w:rPr>
          <w:sz w:val="20"/>
          <w:szCs w:val="20"/>
          <w:color w:val="auto"/>
        </w:rPr>
      </w:pPr>
      <w:r>
        <w:rPr>
          <w:rFonts w:ascii="Arial" w:cs="Arial" w:eastAsia="Arial" w:hAnsi="Arial"/>
          <w:sz w:val="12"/>
          <w:szCs w:val="12"/>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40"/>
          </w:cols>
          <w:pgMar w:left="320" w:top="459"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9"/>
          <w:szCs w:val="9"/>
          <w:b w:val="1"/>
          <w:bCs w:val="1"/>
          <w:color w:val="auto"/>
        </w:rPr>
        <w:t>Risk Factors</w:t>
      </w:r>
    </w:p>
    <w:p>
      <w:pPr>
        <w:spacing w:after="0" w:line="215" w:lineRule="exact"/>
        <w:rPr>
          <w:sz w:val="20"/>
          <w:szCs w:val="20"/>
          <w:color w:val="auto"/>
        </w:rPr>
      </w:pPr>
    </w:p>
    <w:p>
      <w:pPr>
        <w:ind w:right="20" w:firstLine="786"/>
        <w:spacing w:after="0" w:line="269" w:lineRule="auto"/>
        <w:rPr>
          <w:sz w:val="20"/>
          <w:szCs w:val="20"/>
          <w:color w:val="auto"/>
        </w:rPr>
      </w:pPr>
      <w:r>
        <w:rPr>
          <w:rFonts w:ascii="Arial" w:cs="Arial" w:eastAsia="Arial" w:hAnsi="Arial"/>
          <w:sz w:val="11"/>
          <w:szCs w:val="11"/>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AND STRUCTURE</w:t>
      </w:r>
    </w:p>
    <w:p>
      <w:pPr>
        <w:spacing w:after="0" w:line="107" w:lineRule="exact"/>
        <w:rPr>
          <w:sz w:val="20"/>
          <w:szCs w:val="20"/>
          <w:color w:val="auto"/>
        </w:rPr>
      </w:pPr>
    </w:p>
    <w:p>
      <w:pPr>
        <w:ind w:left="120" w:right="240"/>
        <w:spacing w:after="0" w:line="252"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88" w:lineRule="exact"/>
        <w:rPr>
          <w:sz w:val="20"/>
          <w:szCs w:val="20"/>
          <w:color w:val="auto"/>
        </w:rPr>
      </w:pPr>
    </w:p>
    <w:p>
      <w:pPr>
        <w:ind w:right="20" w:firstLine="786"/>
        <w:spacing w:after="0" w:line="266" w:lineRule="auto"/>
        <w:rPr>
          <w:sz w:val="20"/>
          <w:szCs w:val="20"/>
          <w:color w:val="auto"/>
        </w:rPr>
      </w:pPr>
      <w:r>
        <w:rPr>
          <w:rFonts w:ascii="Arial" w:cs="Arial" w:eastAsia="Arial" w:hAnsi="Arial"/>
          <w:sz w:val="11"/>
          <w:szCs w:val="11"/>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Volatility or a prolonged disruption in the credit markets could materially damage our business.</w:t>
      </w:r>
    </w:p>
    <w:p>
      <w:pPr>
        <w:spacing w:after="0" w:line="105" w:lineRule="exact"/>
        <w:rPr>
          <w:sz w:val="20"/>
          <w:szCs w:val="20"/>
          <w:color w:val="auto"/>
        </w:rPr>
      </w:pPr>
    </w:p>
    <w:p>
      <w:pPr>
        <w:ind w:right="20" w:firstLine="674"/>
        <w:spacing w:after="0" w:line="263" w:lineRule="auto"/>
        <w:rPr>
          <w:sz w:val="20"/>
          <w:szCs w:val="20"/>
          <w:color w:val="auto"/>
        </w:rPr>
      </w:pPr>
      <w:r>
        <w:rPr>
          <w:rFonts w:ascii="Arial" w:cs="Arial" w:eastAsia="Arial" w:hAnsi="Arial"/>
          <w:sz w:val="11"/>
          <w:szCs w:val="11"/>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83" w:lineRule="exact"/>
        <w:rPr>
          <w:sz w:val="20"/>
          <w:szCs w:val="20"/>
          <w:color w:val="auto"/>
        </w:rPr>
      </w:pPr>
    </w:p>
    <w:p>
      <w:pPr>
        <w:jc w:val="both"/>
        <w:ind w:firstLine="674"/>
        <w:spacing w:after="0" w:line="320" w:lineRule="auto"/>
        <w:rPr>
          <w:sz w:val="20"/>
          <w:szCs w:val="20"/>
          <w:color w:val="auto"/>
        </w:rPr>
      </w:pPr>
      <w:r>
        <w:rPr>
          <w:rFonts w:ascii="Arial" w:cs="Arial" w:eastAsia="Arial" w:hAnsi="Arial"/>
          <w:sz w:val="9"/>
          <w:szCs w:val="9"/>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w:t>
      </w:r>
    </w:p>
    <w:p>
      <w:pPr>
        <w:spacing w:after="0" w:line="1" w:lineRule="exact"/>
        <w:rPr>
          <w:sz w:val="20"/>
          <w:szCs w:val="20"/>
          <w:color w:val="auto"/>
        </w:rPr>
      </w:pPr>
    </w:p>
    <w:p>
      <w:pPr>
        <w:ind w:right="120"/>
        <w:spacing w:after="0" w:line="278" w:lineRule="auto"/>
        <w:rPr>
          <w:sz w:val="20"/>
          <w:szCs w:val="20"/>
          <w:color w:val="auto"/>
        </w:rPr>
      </w:pPr>
      <w:r>
        <w:rPr>
          <w:rFonts w:ascii="Arial" w:cs="Arial" w:eastAsia="Arial" w:hAnsi="Arial"/>
          <w:sz w:val="11"/>
          <w:szCs w:val="11"/>
          <w:color w:val="auto"/>
        </w:rPr>
        <w:t>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117" w:lineRule="exact"/>
        <w:rPr>
          <w:sz w:val="20"/>
          <w:szCs w:val="20"/>
          <w:color w:val="auto"/>
        </w:rPr>
      </w:pPr>
    </w:p>
    <w:p>
      <w:pPr>
        <w:ind w:right="80" w:firstLine="674"/>
        <w:spacing w:after="0"/>
        <w:rPr>
          <w:sz w:val="20"/>
          <w:szCs w:val="20"/>
          <w:color w:val="auto"/>
        </w:rPr>
      </w:pPr>
      <w:r>
        <w:rPr>
          <w:rFonts w:ascii="Arial" w:cs="Arial" w:eastAsia="Arial" w:hAnsi="Arial"/>
          <w:sz w:val="12"/>
          <w:szCs w:val="12"/>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ectPr>
          <w:pgSz w:w="11900" w:h="16838" w:orient="portrait"/>
          <w:cols w:equalWidth="0" w:num="1">
            <w:col w:w="11240"/>
          </w:cols>
          <w:pgMar w:left="320" w:top="459" w:right="339" w:bottom="1440" w:gutter="0" w:footer="0" w:header="0"/>
        </w:sectPr>
      </w:pP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A requirement to retain our status as a RIC;</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 requirement to maintain a minimum amount of stockholder’s equity; and</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A requirement that our outstanding borrowings under the Credit Facility not exceed a certain percentage of the values of our portfolio companies.</w:t>
      </w:r>
    </w:p>
    <w:p>
      <w:pPr>
        <w:spacing w:after="0" w:line="220"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right="20" w:firstLine="674"/>
        <w:spacing w:after="0" w:line="243" w:lineRule="auto"/>
        <w:rPr>
          <w:sz w:val="20"/>
          <w:szCs w:val="20"/>
          <w:color w:val="auto"/>
        </w:rPr>
      </w:pPr>
      <w:r>
        <w:rPr>
          <w:rFonts w:ascii="Arial" w:cs="Arial" w:eastAsia="Arial" w:hAnsi="Arial"/>
          <w:sz w:val="12"/>
          <w:szCs w:val="12"/>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94" w:lineRule="exact"/>
        <w:rPr>
          <w:sz w:val="20"/>
          <w:szCs w:val="20"/>
          <w:color w:val="auto"/>
        </w:rPr>
      </w:pPr>
    </w:p>
    <w:p>
      <w:pPr>
        <w:ind w:right="20" w:firstLine="674"/>
        <w:spacing w:after="0" w:line="276" w:lineRule="auto"/>
        <w:rPr>
          <w:sz w:val="20"/>
          <w:szCs w:val="20"/>
          <w:color w:val="auto"/>
        </w:rPr>
      </w:pPr>
      <w:r>
        <w:rPr>
          <w:rFonts w:ascii="Arial" w:cs="Arial" w:eastAsia="Arial" w:hAnsi="Arial"/>
          <w:sz w:val="11"/>
          <w:szCs w:val="11"/>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105" w:lineRule="exact"/>
        <w:rPr>
          <w:sz w:val="20"/>
          <w:szCs w:val="20"/>
          <w:color w:val="auto"/>
        </w:rPr>
      </w:pPr>
    </w:p>
    <w:p>
      <w:pPr>
        <w:ind w:right="20" w:firstLine="674"/>
        <w:spacing w:after="0" w:line="276" w:lineRule="auto"/>
        <w:rPr>
          <w:sz w:val="20"/>
          <w:szCs w:val="20"/>
          <w:color w:val="auto"/>
        </w:rPr>
      </w:pPr>
      <w:r>
        <w:rPr>
          <w:rFonts w:ascii="Arial" w:cs="Arial" w:eastAsia="Arial" w:hAnsi="Arial"/>
          <w:sz w:val="11"/>
          <w:szCs w:val="11"/>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77"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240"/>
          </w:cols>
          <w:pgMar w:left="320" w:top="459"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Following periods of volatility in the market price of a company’s securities, securities class action litigation has often been brought against that company.</w:t>
      </w:r>
    </w:p>
    <w:p>
      <w:pPr>
        <w:spacing w:after="0" w:line="105" w:lineRule="exact"/>
        <w:rPr>
          <w:sz w:val="20"/>
          <w:szCs w:val="20"/>
          <w:color w:val="auto"/>
        </w:rPr>
      </w:pPr>
    </w:p>
    <w:p>
      <w:pPr>
        <w:ind w:right="320" w:firstLine="674"/>
        <w:spacing w:after="0" w:line="252" w:lineRule="auto"/>
        <w:rPr>
          <w:sz w:val="20"/>
          <w:szCs w:val="20"/>
          <w:color w:val="auto"/>
        </w:rPr>
      </w:pPr>
      <w:r>
        <w:rPr>
          <w:rFonts w:ascii="Arial" w:cs="Arial" w:eastAsia="Arial" w:hAnsi="Arial"/>
          <w:sz w:val="12"/>
          <w:szCs w:val="12"/>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borrowers may default on their payments, which may have a materially negative effect on our financial performance.</w:t>
      </w:r>
    </w:p>
    <w:p>
      <w:pPr>
        <w:spacing w:after="0" w:line="105" w:lineRule="exact"/>
        <w:rPr>
          <w:sz w:val="20"/>
          <w:szCs w:val="20"/>
          <w:color w:val="auto"/>
        </w:rPr>
      </w:pPr>
    </w:p>
    <w:p>
      <w:pPr>
        <w:ind w:right="140" w:firstLine="674"/>
        <w:spacing w:after="0" w:line="252" w:lineRule="auto"/>
        <w:rPr>
          <w:sz w:val="20"/>
          <w:szCs w:val="20"/>
          <w:color w:val="auto"/>
        </w:rPr>
      </w:pPr>
      <w:r>
        <w:rPr>
          <w:rFonts w:ascii="Arial" w:cs="Arial" w:eastAsia="Arial" w:hAnsi="Arial"/>
          <w:sz w:val="12"/>
          <w:szCs w:val="12"/>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8"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94" w:lineRule="exact"/>
        <w:rPr>
          <w:sz w:val="20"/>
          <w:szCs w:val="20"/>
          <w:color w:val="auto"/>
        </w:rPr>
      </w:pPr>
    </w:p>
    <w:p>
      <w:pPr>
        <w:ind w:right="20" w:firstLine="674"/>
        <w:spacing w:after="0" w:line="263" w:lineRule="auto"/>
        <w:rPr>
          <w:sz w:val="20"/>
          <w:szCs w:val="20"/>
          <w:color w:val="auto"/>
        </w:rPr>
      </w:pPr>
      <w:r>
        <w:rPr>
          <w:rFonts w:ascii="Arial" w:cs="Arial" w:eastAsia="Arial" w:hAnsi="Arial"/>
          <w:sz w:val="11"/>
          <w:szCs w:val="11"/>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17"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82" w:lineRule="exact"/>
        <w:rPr>
          <w:sz w:val="20"/>
          <w:szCs w:val="20"/>
          <w:color w:val="auto"/>
        </w:rPr>
      </w:pPr>
    </w:p>
    <w:p>
      <w:pPr>
        <w:ind w:right="620" w:firstLine="112"/>
        <w:spacing w:after="0" w:line="252" w:lineRule="auto"/>
        <w:rPr>
          <w:sz w:val="20"/>
          <w:szCs w:val="20"/>
          <w:color w:val="auto"/>
        </w:rPr>
      </w:pPr>
      <w:r>
        <w:rPr>
          <w:rFonts w:ascii="Arial" w:cs="Arial" w:eastAsia="Arial" w:hAnsi="Arial"/>
          <w:sz w:val="12"/>
          <w:szCs w:val="12"/>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88"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82" w:lineRule="exact"/>
        <w:rPr>
          <w:sz w:val="20"/>
          <w:szCs w:val="20"/>
          <w:color w:val="auto"/>
        </w:rPr>
      </w:pPr>
    </w:p>
    <w:p>
      <w:pPr>
        <w:ind w:right="160" w:firstLine="674"/>
        <w:spacing w:after="0" w:line="243" w:lineRule="auto"/>
        <w:rPr>
          <w:sz w:val="20"/>
          <w:szCs w:val="20"/>
          <w:color w:val="auto"/>
        </w:rPr>
      </w:pPr>
      <w:r>
        <w:rPr>
          <w:rFonts w:ascii="Arial" w:cs="Arial" w:eastAsia="Arial" w:hAnsi="Arial"/>
          <w:sz w:val="12"/>
          <w:szCs w:val="12"/>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are highly dependent on information systems and systems failures could have a material adverse effect on our business, financial condition and results of operations.</w:t>
      </w:r>
    </w:p>
    <w:p>
      <w:pPr>
        <w:spacing w:after="0" w:line="105"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financial condition and results of operation depend on our ability to manage future growth effectively.</w:t>
      </w:r>
    </w:p>
    <w:p>
      <w:pPr>
        <w:spacing w:after="0" w:line="105" w:lineRule="exact"/>
        <w:rPr>
          <w:sz w:val="20"/>
          <w:szCs w:val="20"/>
          <w:color w:val="auto"/>
        </w:rPr>
      </w:pPr>
    </w:p>
    <w:p>
      <w:pPr>
        <w:ind w:right="100" w:firstLine="674"/>
        <w:spacing w:after="0" w:line="337" w:lineRule="auto"/>
        <w:rPr>
          <w:sz w:val="20"/>
          <w:szCs w:val="20"/>
          <w:color w:val="auto"/>
        </w:rPr>
      </w:pPr>
      <w:r>
        <w:rPr>
          <w:rFonts w:ascii="Arial" w:cs="Arial" w:eastAsia="Arial" w:hAnsi="Arial"/>
          <w:sz w:val="9"/>
          <w:szCs w:val="9"/>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operate in a highly competitive market for investment opportunities.</w:t>
      </w:r>
    </w:p>
    <w:p>
      <w:pPr>
        <w:spacing w:after="0" w:line="105" w:lineRule="exact"/>
        <w:rPr>
          <w:sz w:val="20"/>
          <w:szCs w:val="20"/>
          <w:color w:val="auto"/>
        </w:rPr>
      </w:pPr>
    </w:p>
    <w:p>
      <w:pPr>
        <w:ind w:right="20" w:firstLine="674"/>
        <w:spacing w:after="0" w:line="332" w:lineRule="auto"/>
        <w:rPr>
          <w:sz w:val="20"/>
          <w:szCs w:val="20"/>
          <w:color w:val="auto"/>
        </w:rPr>
      </w:pPr>
      <w:r>
        <w:rPr>
          <w:rFonts w:ascii="Arial" w:cs="Arial" w:eastAsia="Arial" w:hAnsi="Arial"/>
          <w:sz w:val="9"/>
          <w:szCs w:val="9"/>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firstLine="674"/>
        <w:spacing w:after="0" w:line="276" w:lineRule="auto"/>
        <w:rPr>
          <w:sz w:val="20"/>
          <w:szCs w:val="20"/>
          <w:color w:val="auto"/>
        </w:rPr>
      </w:pPr>
      <w:r>
        <w:rPr>
          <w:rFonts w:ascii="Arial" w:cs="Arial" w:eastAsia="Arial" w:hAnsi="Arial"/>
          <w:sz w:val="11"/>
          <w:szCs w:val="11"/>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not replicate the historical performance of other investment companies with which our investment professionals have been affiliated.</w:t>
      </w:r>
    </w:p>
    <w:p>
      <w:pPr>
        <w:spacing w:after="0" w:line="105"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Any failure on our part to maintain our status as a business development company would reduce our operating flexibility.</w:t>
      </w:r>
    </w:p>
    <w:p>
      <w:pPr>
        <w:spacing w:after="0" w:line="105" w:lineRule="exact"/>
        <w:rPr>
          <w:sz w:val="20"/>
          <w:szCs w:val="20"/>
          <w:color w:val="auto"/>
        </w:rPr>
      </w:pPr>
    </w:p>
    <w:p>
      <w:pPr>
        <w:ind w:right="360" w:firstLine="674"/>
        <w:spacing w:after="0" w:line="252"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Loss of RIC tax status would substantially reduce net assets and income available for debt service and distributions.</w:t>
      </w:r>
    </w:p>
    <w:p>
      <w:pPr>
        <w:spacing w:after="0" w:line="105" w:lineRule="exact"/>
        <w:rPr>
          <w:sz w:val="20"/>
          <w:szCs w:val="20"/>
          <w:color w:val="auto"/>
        </w:rPr>
      </w:pPr>
    </w:p>
    <w:p>
      <w:pPr>
        <w:ind w:right="60" w:firstLine="674"/>
        <w:spacing w:after="0" w:line="263" w:lineRule="auto"/>
        <w:rPr>
          <w:sz w:val="20"/>
          <w:szCs w:val="20"/>
          <w:color w:val="auto"/>
        </w:rPr>
      </w:pPr>
      <w:r>
        <w:rPr>
          <w:rFonts w:ascii="Arial" w:cs="Arial" w:eastAsia="Arial" w:hAnsi="Arial"/>
          <w:sz w:val="11"/>
          <w:szCs w:val="11"/>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have difficulty paying our required distributions if we recognize income before or without receiving cash representing such income.</w:t>
      </w:r>
    </w:p>
    <w:p>
      <w:pPr>
        <w:spacing w:after="0" w:line="105" w:lineRule="exact"/>
        <w:rPr>
          <w:sz w:val="20"/>
          <w:szCs w:val="20"/>
          <w:color w:val="auto"/>
        </w:rPr>
      </w:pPr>
    </w:p>
    <w:p>
      <w:pPr>
        <w:ind w:right="180" w:firstLine="674"/>
        <w:spacing w:after="0" w:line="243"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94"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88" w:lineRule="exact"/>
        <w:rPr>
          <w:sz w:val="20"/>
          <w:szCs w:val="20"/>
          <w:color w:val="auto"/>
        </w:rPr>
      </w:pPr>
    </w:p>
    <w:p>
      <w:pPr>
        <w:ind w:right="20" w:firstLine="674"/>
        <w:spacing w:after="0"/>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96" w:lineRule="exact"/>
        <w:rPr>
          <w:sz w:val="20"/>
          <w:szCs w:val="20"/>
          <w:color w:val="auto"/>
        </w:rPr>
      </w:pPr>
    </w:p>
    <w:p>
      <w:pPr>
        <w:ind w:right="300" w:firstLine="112"/>
        <w:spacing w:after="0" w:line="252" w:lineRule="auto"/>
        <w:rPr>
          <w:sz w:val="20"/>
          <w:szCs w:val="20"/>
          <w:color w:val="auto"/>
        </w:rPr>
      </w:pPr>
      <w:r>
        <w:rPr>
          <w:rFonts w:ascii="Arial" w:cs="Arial" w:eastAsia="Arial" w:hAnsi="Arial"/>
          <w:sz w:val="12"/>
          <w:szCs w:val="12"/>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88" w:lineRule="exact"/>
        <w:rPr>
          <w:sz w:val="20"/>
          <w:szCs w:val="20"/>
          <w:color w:val="auto"/>
        </w:rPr>
      </w:pPr>
    </w:p>
    <w:p>
      <w:pPr>
        <w:ind w:right="40" w:firstLine="674"/>
        <w:spacing w:after="0" w:line="338" w:lineRule="auto"/>
        <w:rPr>
          <w:sz w:val="20"/>
          <w:szCs w:val="20"/>
          <w:color w:val="auto"/>
        </w:rPr>
      </w:pPr>
      <w:r>
        <w:rPr>
          <w:rFonts w:ascii="Arial" w:cs="Arial" w:eastAsia="Arial" w:hAnsi="Arial"/>
          <w:sz w:val="9"/>
          <w:szCs w:val="9"/>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54" w:lineRule="exact"/>
        <w:rPr>
          <w:sz w:val="20"/>
          <w:szCs w:val="20"/>
          <w:color w:val="auto"/>
        </w:rPr>
      </w:pPr>
    </w:p>
    <w:p>
      <w:pPr>
        <w:jc w:val="both"/>
        <w:ind w:right="40" w:firstLine="674"/>
        <w:spacing w:after="0" w:line="276" w:lineRule="auto"/>
        <w:rPr>
          <w:sz w:val="20"/>
          <w:szCs w:val="20"/>
          <w:color w:val="auto"/>
        </w:rPr>
      </w:pPr>
      <w:r>
        <w:rPr>
          <w:rFonts w:ascii="Arial" w:cs="Arial" w:eastAsia="Arial" w:hAnsi="Arial"/>
          <w:sz w:val="11"/>
          <w:szCs w:val="11"/>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Regulations governing our operation as a business development company will affect our ability to, and the way in which we, raise additional capital.</w:t>
      </w:r>
    </w:p>
    <w:p>
      <w:pPr>
        <w:spacing w:after="0" w:line="105" w:lineRule="exact"/>
        <w:rPr>
          <w:sz w:val="20"/>
          <w:szCs w:val="20"/>
          <w:color w:val="auto"/>
        </w:rPr>
      </w:pPr>
    </w:p>
    <w:p>
      <w:pPr>
        <w:ind w:right="20" w:firstLine="674"/>
        <w:spacing w:after="0" w:line="318" w:lineRule="auto"/>
        <w:rPr>
          <w:sz w:val="20"/>
          <w:szCs w:val="20"/>
          <w:color w:val="auto"/>
        </w:rPr>
      </w:pPr>
      <w:r>
        <w:rPr>
          <w:rFonts w:ascii="Arial" w:cs="Arial" w:eastAsia="Arial" w:hAnsi="Arial"/>
          <w:sz w:val="9"/>
          <w:szCs w:val="9"/>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9" w:lineRule="exact"/>
        <w:rPr>
          <w:sz w:val="20"/>
          <w:szCs w:val="20"/>
          <w:color w:val="auto"/>
        </w:rPr>
      </w:pPr>
    </w:p>
    <w:p>
      <w:pPr>
        <w:ind w:left="340" w:right="60" w:hanging="332"/>
        <w:spacing w:after="0" w:line="180" w:lineRule="auto"/>
        <w:tabs>
          <w:tab w:leader="none" w:pos="340" w:val="left"/>
        </w:tabs>
        <w:numPr>
          <w:ilvl w:val="0"/>
          <w:numId w:val="20"/>
        </w:numPr>
        <w:rPr>
          <w:rFonts w:ascii="Arial" w:cs="Arial" w:eastAsia="Arial" w:hAnsi="Arial"/>
          <w:sz w:val="31"/>
          <w:szCs w:val="31"/>
          <w:color w:val="auto"/>
          <w:vertAlign w:val="subscript"/>
        </w:rPr>
      </w:pPr>
      <w:r>
        <w:rPr>
          <w:rFonts w:ascii="Arial" w:cs="Arial" w:eastAsia="Arial" w:hAnsi="Arial"/>
          <w:sz w:val="11"/>
          <w:szCs w:val="11"/>
          <w:b w:val="1"/>
          <w:bCs w:val="1"/>
          <w:i w:val="1"/>
          <w:iCs w:val="1"/>
          <w:color w:val="auto"/>
        </w:rPr>
        <w:t xml:space="preserve">Senior Securities. </w:t>
      </w:r>
      <w:r>
        <w:rPr>
          <w:rFonts w:ascii="Arial" w:cs="Arial" w:eastAsia="Arial" w:hAnsi="Arial"/>
          <w:sz w:val="11"/>
          <w:szCs w:val="11"/>
          <w:color w:val="auto"/>
        </w:rPr>
        <w:t>As a result of issuing senior securities, we are exposed to typical risks associated with leverage, including an increased risk of loss. If we issue preferred securities, they would rank “senior” to common stock in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31"/>
          <w:szCs w:val="31"/>
          <w:color w:val="auto"/>
          <w:vertAlign w:val="subscript"/>
        </w:rPr>
      </w:pPr>
    </w:p>
    <w:p>
      <w:pPr>
        <w:ind w:left="340" w:right="40" w:hanging="332"/>
        <w:spacing w:after="0" w:line="210" w:lineRule="auto"/>
        <w:tabs>
          <w:tab w:leader="none" w:pos="340" w:val="left"/>
        </w:tabs>
        <w:numPr>
          <w:ilvl w:val="0"/>
          <w:numId w:val="20"/>
        </w:numPr>
        <w:rPr>
          <w:rFonts w:ascii="Arial" w:cs="Arial" w:eastAsia="Arial" w:hAnsi="Arial"/>
          <w:sz w:val="34"/>
          <w:szCs w:val="34"/>
          <w:color w:val="auto"/>
          <w:vertAlign w:val="subscript"/>
        </w:rPr>
      </w:pPr>
      <w:r>
        <w:rPr>
          <w:rFonts w:ascii="Arial" w:cs="Arial" w:eastAsia="Arial" w:hAnsi="Arial"/>
          <w:sz w:val="11"/>
          <w:szCs w:val="11"/>
          <w:b w:val="1"/>
          <w:bCs w:val="1"/>
          <w:i w:val="1"/>
          <w:iCs w:val="1"/>
          <w:color w:val="auto"/>
        </w:rPr>
        <w:t xml:space="preserve">Additional Common Stock. </w:t>
      </w:r>
      <w:r>
        <w:rPr>
          <w:rFonts w:ascii="Arial" w:cs="Arial" w:eastAsia="Arial" w:hAnsi="Arial"/>
          <w:sz w:val="11"/>
          <w:szCs w:val="11"/>
          <w:color w:val="auto"/>
        </w:rPr>
        <w:t>Our board of directors may decide to issue common stock to finance our operations rather than issuing debt or other senior securities. As a BDC, we are generally not able to issue our common stock at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09" w:lineRule="exact"/>
        <w:rPr>
          <w:rFonts w:ascii="Arial" w:cs="Arial" w:eastAsia="Arial" w:hAnsi="Arial"/>
          <w:sz w:val="34"/>
          <w:szCs w:val="34"/>
          <w:color w:val="auto"/>
          <w:vertAlign w:val="subscript"/>
        </w:rPr>
      </w:pPr>
    </w:p>
    <w:p>
      <w:pPr>
        <w:ind w:left="340" w:hanging="332"/>
        <w:spacing w:after="0" w:line="217" w:lineRule="auto"/>
        <w:tabs>
          <w:tab w:leader="none" w:pos="340" w:val="left"/>
        </w:tabs>
        <w:numPr>
          <w:ilvl w:val="0"/>
          <w:numId w:val="20"/>
        </w:numPr>
        <w:rPr>
          <w:rFonts w:ascii="Arial" w:cs="Arial" w:eastAsia="Arial" w:hAnsi="Arial"/>
          <w:sz w:val="34"/>
          <w:szCs w:val="34"/>
          <w:color w:val="auto"/>
          <w:vertAlign w:val="subscript"/>
        </w:rPr>
      </w:pPr>
      <w:r>
        <w:rPr>
          <w:rFonts w:ascii="Arial" w:cs="Arial" w:eastAsia="Arial" w:hAnsi="Arial"/>
          <w:sz w:val="11"/>
          <w:szCs w:val="11"/>
          <w:b w:val="1"/>
          <w:bCs w:val="1"/>
          <w:i w:val="1"/>
          <w:iCs w:val="1"/>
          <w:color w:val="auto"/>
        </w:rPr>
        <w:t xml:space="preserve">Securitization. </w:t>
      </w:r>
      <w:r>
        <w:rPr>
          <w:rFonts w:ascii="Arial" w:cs="Arial" w:eastAsia="Arial" w:hAnsi="Arial"/>
          <w:sz w:val="11"/>
          <w:szCs w:val="11"/>
          <w:color w:val="auto"/>
        </w:rPr>
        <w:t>In addition to issuing securities to raise capital as described above, we anticipate that in the future, as market conditions permit, we may securitize our loans to generate cash for funding new investments. To securitize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9" w:lineRule="exact"/>
        <w:rPr>
          <w:rFonts w:ascii="Arial" w:cs="Arial" w:eastAsia="Arial" w:hAnsi="Arial"/>
          <w:sz w:val="34"/>
          <w:szCs w:val="34"/>
          <w:color w:val="auto"/>
          <w:vertAlign w:val="subscript"/>
        </w:rPr>
      </w:pPr>
    </w:p>
    <w:p>
      <w:pPr>
        <w:ind w:left="340" w:right="80" w:hanging="332"/>
        <w:spacing w:after="0" w:line="181" w:lineRule="auto"/>
        <w:tabs>
          <w:tab w:leader="none" w:pos="340" w:val="left"/>
        </w:tabs>
        <w:numPr>
          <w:ilvl w:val="0"/>
          <w:numId w:val="20"/>
        </w:numPr>
        <w:rPr>
          <w:rFonts w:ascii="Arial" w:cs="Arial" w:eastAsia="Arial" w:hAnsi="Arial"/>
          <w:sz w:val="28"/>
          <w:szCs w:val="28"/>
          <w:color w:val="auto"/>
          <w:vertAlign w:val="subscript"/>
        </w:rPr>
      </w:pPr>
      <w:r>
        <w:rPr>
          <w:rFonts w:ascii="Arial" w:cs="Arial" w:eastAsia="Arial" w:hAnsi="Arial"/>
          <w:sz w:val="10"/>
          <w:szCs w:val="10"/>
          <w:b w:val="1"/>
          <w:bCs w:val="1"/>
          <w:i w:val="1"/>
          <w:iCs w:val="1"/>
          <w:color w:val="auto"/>
        </w:rPr>
        <w:t xml:space="preserve">SBA Debentures. </w:t>
      </w:r>
      <w:r>
        <w:rPr>
          <w:rFonts w:ascii="Arial" w:cs="Arial" w:eastAsia="Arial" w:hAnsi="Arial"/>
          <w:sz w:val="10"/>
          <w:szCs w:val="10"/>
          <w:color w:val="auto"/>
        </w:rPr>
        <w:t>In addition to issuing securities and using securitizations to raise capital as described above, we have issued and may in the future issue, as permitted under SBA regulations and through our wholly owned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SBIC Funds may be unable to make distributions to us that will enable us to meet or maintain RIC status.</w:t>
      </w:r>
    </w:p>
    <w:p>
      <w:pPr>
        <w:spacing w:after="0" w:line="105"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SBIC Funds are licensed by the SBA and are subject to SBA regulations.</w:t>
      </w:r>
    </w:p>
    <w:p>
      <w:pPr>
        <w:spacing w:after="0" w:line="105" w:lineRule="exact"/>
        <w:rPr>
          <w:sz w:val="20"/>
          <w:szCs w:val="20"/>
          <w:color w:val="auto"/>
        </w:rPr>
      </w:pPr>
    </w:p>
    <w:p>
      <w:pPr>
        <w:ind w:right="240" w:firstLine="674"/>
        <w:spacing w:after="0" w:line="243" w:lineRule="auto"/>
        <w:rPr>
          <w:sz w:val="20"/>
          <w:szCs w:val="20"/>
          <w:color w:val="auto"/>
        </w:rPr>
      </w:pPr>
      <w:r>
        <w:rPr>
          <w:rFonts w:ascii="Arial" w:cs="Arial" w:eastAsia="Arial" w:hAnsi="Arial"/>
          <w:sz w:val="12"/>
          <w:szCs w:val="12"/>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94"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96"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currently use borrowed funds to make investments and are exposed to the typical risks associated with leverage.</w:t>
      </w:r>
    </w:p>
    <w:p>
      <w:pPr>
        <w:spacing w:after="0" w:line="105"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94" w:lineRule="exact"/>
        <w:rPr>
          <w:sz w:val="20"/>
          <w:szCs w:val="20"/>
          <w:color w:val="auto"/>
        </w:rPr>
      </w:pPr>
    </w:p>
    <w:p>
      <w:pPr>
        <w:ind w:right="80" w:firstLine="674"/>
        <w:spacing w:after="0" w:line="243" w:lineRule="auto"/>
        <w:rPr>
          <w:sz w:val="20"/>
          <w:szCs w:val="20"/>
          <w:color w:val="auto"/>
        </w:rPr>
      </w:pPr>
      <w:r>
        <w:rPr>
          <w:rFonts w:ascii="Arial" w:cs="Arial" w:eastAsia="Arial" w:hAnsi="Arial"/>
          <w:sz w:val="12"/>
          <w:szCs w:val="12"/>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94" w:lineRule="exact"/>
        <w:rPr>
          <w:sz w:val="20"/>
          <w:szCs w:val="20"/>
          <w:color w:val="auto"/>
        </w:rPr>
      </w:pPr>
    </w:p>
    <w:p>
      <w:pPr>
        <w:ind w:firstLine="674"/>
        <w:spacing w:after="0" w:line="276" w:lineRule="auto"/>
        <w:rPr>
          <w:sz w:val="20"/>
          <w:szCs w:val="20"/>
          <w:color w:val="auto"/>
        </w:rPr>
      </w:pPr>
      <w:r>
        <w:rPr>
          <w:rFonts w:ascii="Arial" w:cs="Arial" w:eastAsia="Arial" w:hAnsi="Arial"/>
          <w:sz w:val="11"/>
          <w:szCs w:val="11"/>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incur additional debt, it could increase the risk of investing in our shares.</w:t>
      </w:r>
    </w:p>
    <w:p>
      <w:pPr>
        <w:spacing w:after="0" w:line="105" w:lineRule="exact"/>
        <w:rPr>
          <w:sz w:val="20"/>
          <w:szCs w:val="20"/>
          <w:color w:val="auto"/>
        </w:rPr>
      </w:pPr>
    </w:p>
    <w:p>
      <w:pPr>
        <w:ind w:right="20" w:firstLine="674"/>
        <w:spacing w:after="0" w:line="261" w:lineRule="auto"/>
        <w:rPr>
          <w:sz w:val="20"/>
          <w:szCs w:val="20"/>
          <w:color w:val="auto"/>
        </w:rPr>
      </w:pPr>
      <w:r>
        <w:rPr>
          <w:rFonts w:ascii="Arial" w:cs="Arial" w:eastAsia="Arial" w:hAnsi="Arial"/>
          <w:sz w:val="11"/>
          <w:szCs w:val="11"/>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85" w:lineRule="exact"/>
        <w:rPr>
          <w:sz w:val="20"/>
          <w:szCs w:val="20"/>
          <w:color w:val="auto"/>
        </w:rPr>
      </w:pPr>
    </w:p>
    <w:p>
      <w:pPr>
        <w:ind w:right="60" w:firstLine="674"/>
        <w:spacing w:after="0" w:line="239" w:lineRule="auto"/>
        <w:rPr>
          <w:sz w:val="20"/>
          <w:szCs w:val="20"/>
          <w:color w:val="auto"/>
        </w:rPr>
      </w:pPr>
      <w:r>
        <w:rPr>
          <w:rFonts w:ascii="Arial" w:cs="Arial" w:eastAsia="Arial" w:hAnsi="Arial"/>
          <w:sz w:val="12"/>
          <w:szCs w:val="12"/>
          <w:color w:val="auto"/>
        </w:rPr>
        <w:t>As of September 30, 2013, we had outstanding borrowings of $145.5 million under our Credit Facility, $71.3 million outstanding under our 2025 Notes and $150.0 million outstanding under the SBA debentures. Our 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96" w:lineRule="exact"/>
        <w:rPr>
          <w:sz w:val="20"/>
          <w:szCs w:val="20"/>
          <w:color w:val="auto"/>
        </w:rPr>
      </w:pPr>
    </w:p>
    <w:p>
      <w:pPr>
        <w:ind w:right="80" w:firstLine="674"/>
        <w:spacing w:after="0"/>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Assumed return on portfolio (net of expenses)</w:t>
            </w:r>
            <w:r>
              <w:rPr>
                <w:rFonts w:ascii="Arial" w:cs="Arial" w:eastAsia="Arial" w:hAnsi="Arial"/>
                <w:sz w:val="9"/>
                <w:szCs w:val="9"/>
                <w:color w:val="auto"/>
              </w:rPr>
              <w:t>(1)</w:t>
            </w: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(10.0)%</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5.0%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Corresponding return to common stockholders</w:t>
            </w:r>
            <w:r>
              <w:rPr>
                <w:rFonts w:ascii="Arial" w:cs="Arial" w:eastAsia="Arial" w:hAnsi="Arial"/>
                <w:sz w:val="9"/>
                <w:szCs w:val="9"/>
                <w:color w:val="auto"/>
              </w:rPr>
              <w:t>(2)</w:t>
            </w: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(18.7)%</w:t>
            </w:r>
          </w:p>
        </w:tc>
        <w:tc>
          <w:tcPr>
            <w:tcW w:w="860" w:type="dxa"/>
            <w:vAlign w:val="bottom"/>
          </w:tcPr>
          <w:p>
            <w:pPr>
              <w:jc w:val="right"/>
              <w:ind w:right="182"/>
              <w:spacing w:after="0"/>
              <w:rPr>
                <w:sz w:val="20"/>
                <w:szCs w:val="20"/>
                <w:color w:val="auto"/>
              </w:rPr>
            </w:pPr>
            <w:r>
              <w:rPr>
                <w:rFonts w:ascii="Arial" w:cs="Arial" w:eastAsia="Arial" w:hAnsi="Arial"/>
                <w:sz w:val="12"/>
                <w:szCs w:val="12"/>
                <w:color w:val="auto"/>
              </w:rPr>
              <w:t>(10.4)%</w:t>
            </w: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(2.1)%</w:t>
            </w:r>
          </w:p>
        </w:tc>
        <w:tc>
          <w:tcPr>
            <w:tcW w:w="740" w:type="dxa"/>
            <w:vAlign w:val="bottom"/>
          </w:tcPr>
          <w:p>
            <w:pPr>
              <w:jc w:val="right"/>
              <w:ind w:right="202"/>
              <w:spacing w:after="0"/>
              <w:rPr>
                <w:sz w:val="20"/>
                <w:szCs w:val="20"/>
                <w:color w:val="auto"/>
              </w:rPr>
            </w:pPr>
            <w:r>
              <w:rPr>
                <w:rFonts w:ascii="Arial" w:cs="Arial" w:eastAsia="Arial" w:hAnsi="Arial"/>
                <w:sz w:val="12"/>
                <w:szCs w:val="12"/>
                <w:color w:val="auto"/>
              </w:rPr>
              <w:t>6.2%</w:t>
            </w:r>
          </w:p>
        </w:tc>
        <w:tc>
          <w:tcPr>
            <w:tcW w:w="600" w:type="dxa"/>
            <w:vAlign w:val="bottom"/>
          </w:tcPr>
          <w:p>
            <w:pPr>
              <w:jc w:val="right"/>
              <w:spacing w:after="0"/>
              <w:rPr>
                <w:sz w:val="20"/>
                <w:szCs w:val="20"/>
                <w:color w:val="auto"/>
              </w:rPr>
            </w:pPr>
            <w:r>
              <w:rPr>
                <w:rFonts w:ascii="Arial" w:cs="Arial" w:eastAsia="Arial" w:hAnsi="Arial"/>
                <w:sz w:val="12"/>
                <w:szCs w:val="12"/>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2211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7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assumed portfolio return is required by regulation of the SEC and is not a prediction of, and does not represent, our projected or actual performance.</w:t>
      </w:r>
    </w:p>
    <w:p>
      <w:pPr>
        <w:spacing w:after="0" w:line="118" w:lineRule="exact"/>
        <w:rPr>
          <w:rFonts w:ascii="Arial" w:cs="Arial" w:eastAsia="Arial" w:hAnsi="Arial"/>
          <w:sz w:val="12"/>
          <w:szCs w:val="12"/>
          <w:color w:val="auto"/>
        </w:rPr>
      </w:pPr>
    </w:p>
    <w:p>
      <w:pPr>
        <w:ind w:left="340" w:right="240" w:hanging="332"/>
        <w:spacing w:after="0" w:line="243"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are exposed to risks associated with changes in interest rates that may affect our cost of capital and net investment income.</w:t>
      </w:r>
    </w:p>
    <w:p>
      <w:pPr>
        <w:spacing w:after="0" w:line="105" w:lineRule="exact"/>
        <w:rPr>
          <w:sz w:val="20"/>
          <w:szCs w:val="20"/>
          <w:color w:val="auto"/>
        </w:rPr>
      </w:pPr>
    </w:p>
    <w:p>
      <w:pPr>
        <w:ind w:right="20" w:firstLine="674"/>
        <w:spacing w:after="0" w:line="263" w:lineRule="auto"/>
        <w:rPr>
          <w:sz w:val="20"/>
          <w:szCs w:val="20"/>
          <w:color w:val="auto"/>
        </w:rPr>
      </w:pPr>
      <w:r>
        <w:rPr>
          <w:rFonts w:ascii="Arial" w:cs="Arial" w:eastAsia="Arial" w:hAnsi="Arial"/>
          <w:sz w:val="11"/>
          <w:szCs w:val="11"/>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83"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8" w:lineRule="exact"/>
        <w:rPr>
          <w:sz w:val="20"/>
          <w:szCs w:val="20"/>
          <w:color w:val="auto"/>
        </w:rPr>
      </w:pPr>
    </w:p>
    <w:p>
      <w:pPr>
        <w:ind w:right="160" w:firstLine="674"/>
        <w:spacing w:after="0"/>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have and may in the future determine to fund a portion of our investments with debt securities, which would magnify the potential for loss and the risks of investing in us.</w:t>
      </w:r>
    </w:p>
    <w:p>
      <w:pPr>
        <w:spacing w:after="0" w:line="105" w:lineRule="exact"/>
        <w:rPr>
          <w:sz w:val="20"/>
          <w:szCs w:val="20"/>
          <w:color w:val="auto"/>
        </w:rPr>
      </w:pPr>
    </w:p>
    <w:p>
      <w:pPr>
        <w:ind w:right="40" w:firstLine="674"/>
        <w:spacing w:after="0" w:line="239" w:lineRule="auto"/>
        <w:rPr>
          <w:sz w:val="20"/>
          <w:szCs w:val="20"/>
          <w:color w:val="auto"/>
        </w:rPr>
      </w:pPr>
      <w:r>
        <w:rPr>
          <w:rFonts w:ascii="Arial" w:cs="Arial" w:eastAsia="Arial" w:hAnsi="Arial"/>
          <w:sz w:val="12"/>
          <w:szCs w:val="12"/>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credit ratings may not reflect all risks of an investment in our debt securities.</w:t>
      </w:r>
    </w:p>
    <w:p>
      <w:pPr>
        <w:spacing w:after="0" w:line="105" w:lineRule="exact"/>
        <w:rPr>
          <w:sz w:val="20"/>
          <w:szCs w:val="20"/>
          <w:color w:val="auto"/>
        </w:rPr>
      </w:pPr>
    </w:p>
    <w:p>
      <w:pPr>
        <w:ind w:right="120" w:firstLine="674"/>
        <w:spacing w:after="0" w:line="416" w:lineRule="auto"/>
        <w:rPr>
          <w:sz w:val="20"/>
          <w:szCs w:val="20"/>
          <w:color w:val="auto"/>
        </w:rPr>
      </w:pPr>
      <w:r>
        <w:rPr>
          <w:rFonts w:ascii="Arial" w:cs="Arial" w:eastAsia="Arial" w:hAnsi="Arial"/>
          <w:sz w:val="9"/>
          <w:szCs w:val="9"/>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05" w:lineRule="exact"/>
        <w:rPr>
          <w:sz w:val="20"/>
          <w:szCs w:val="20"/>
          <w:color w:val="auto"/>
        </w:rPr>
      </w:pPr>
    </w:p>
    <w:p>
      <w:pPr>
        <w:ind w:right="20" w:firstLine="674"/>
        <w:spacing w:after="0" w:line="333" w:lineRule="auto"/>
        <w:rPr>
          <w:sz w:val="20"/>
          <w:szCs w:val="20"/>
          <w:color w:val="auto"/>
        </w:rPr>
      </w:pPr>
      <w:r>
        <w:rPr>
          <w:rFonts w:ascii="Arial" w:cs="Arial" w:eastAsia="Arial" w:hAnsi="Arial"/>
          <w:sz w:val="9"/>
          <w:szCs w:val="9"/>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issue preferred stock, debt securities, convertible debt securities or units, the NAV and market value of our common stock may become more volatile.</w:t>
      </w:r>
    </w:p>
    <w:p>
      <w:pPr>
        <w:spacing w:after="0" w:line="105" w:lineRule="exact"/>
        <w:rPr>
          <w:sz w:val="20"/>
          <w:szCs w:val="20"/>
          <w:color w:val="auto"/>
        </w:rPr>
      </w:pPr>
    </w:p>
    <w:p>
      <w:pPr>
        <w:ind w:right="120" w:firstLine="674"/>
        <w:spacing w:after="0" w:line="264" w:lineRule="auto"/>
        <w:rPr>
          <w:sz w:val="20"/>
          <w:szCs w:val="20"/>
          <w:color w:val="auto"/>
        </w:rPr>
      </w:pPr>
      <w:r>
        <w:rPr>
          <w:rFonts w:ascii="Arial" w:cs="Arial" w:eastAsia="Arial" w:hAnsi="Arial"/>
          <w:sz w:val="11"/>
          <w:szCs w:val="11"/>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83" w:lineRule="exact"/>
        <w:rPr>
          <w:sz w:val="20"/>
          <w:szCs w:val="20"/>
          <w:color w:val="auto"/>
        </w:rPr>
      </w:pPr>
    </w:p>
    <w:p>
      <w:pPr>
        <w:ind w:right="40" w:firstLine="674"/>
        <w:spacing w:after="0" w:line="338" w:lineRule="auto"/>
        <w:rPr>
          <w:sz w:val="20"/>
          <w:szCs w:val="20"/>
          <w:color w:val="auto"/>
        </w:rPr>
      </w:pPr>
      <w:r>
        <w:rPr>
          <w:rFonts w:ascii="Arial" w:cs="Arial" w:eastAsia="Arial" w:hAnsi="Arial"/>
          <w:sz w:val="9"/>
          <w:szCs w:val="9"/>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Holders of any preferred stock that we may issue will have the right to elect members of the board of directors and have class voting rights on certain matters.</w:t>
      </w:r>
    </w:p>
    <w:p>
      <w:pPr>
        <w:spacing w:after="0" w:line="105" w:lineRule="exact"/>
        <w:rPr>
          <w:sz w:val="20"/>
          <w:szCs w:val="20"/>
          <w:color w:val="auto"/>
        </w:rPr>
      </w:pPr>
    </w:p>
    <w:p>
      <w:pPr>
        <w:ind w:firstLine="674"/>
        <w:spacing w:after="0" w:line="239"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in the future issue securities for which there is no public market and for which we expect no public market to develop.</w:t>
      </w:r>
    </w:p>
    <w:p>
      <w:pPr>
        <w:spacing w:after="0" w:line="105" w:lineRule="exact"/>
        <w:rPr>
          <w:sz w:val="20"/>
          <w:szCs w:val="20"/>
          <w:color w:val="auto"/>
        </w:rPr>
      </w:pPr>
    </w:p>
    <w:p>
      <w:pPr>
        <w:ind w:right="80" w:firstLine="674"/>
        <w:spacing w:after="0" w:line="269" w:lineRule="auto"/>
        <w:rPr>
          <w:sz w:val="20"/>
          <w:szCs w:val="20"/>
          <w:color w:val="auto"/>
        </w:rPr>
      </w:pPr>
      <w:r>
        <w:rPr>
          <w:rFonts w:ascii="Arial" w:cs="Arial" w:eastAsia="Arial" w:hAnsi="Arial"/>
          <w:sz w:val="11"/>
          <w:szCs w:val="11"/>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There are significant potential conflicts of interest which could impact our investment returns.</w:t>
      </w:r>
    </w:p>
    <w:p>
      <w:pPr>
        <w:spacing w:after="0" w:line="105" w:lineRule="exact"/>
        <w:rPr>
          <w:sz w:val="20"/>
          <w:szCs w:val="20"/>
          <w:color w:val="auto"/>
        </w:rPr>
      </w:pPr>
    </w:p>
    <w:p>
      <w:pPr>
        <w:ind w:firstLine="674"/>
        <w:spacing w:after="0" w:line="260" w:lineRule="auto"/>
        <w:rPr>
          <w:sz w:val="20"/>
          <w:szCs w:val="20"/>
          <w:color w:val="auto"/>
        </w:rPr>
      </w:pPr>
      <w:r>
        <w:rPr>
          <w:rFonts w:ascii="Arial" w:cs="Arial" w:eastAsia="Arial" w:hAnsi="Arial"/>
          <w:sz w:val="11"/>
          <w:szCs w:val="11"/>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firstLine="674"/>
        <w:spacing w:after="0" w:line="243" w:lineRule="auto"/>
        <w:rPr>
          <w:sz w:val="20"/>
          <w:szCs w:val="20"/>
          <w:color w:val="auto"/>
        </w:rPr>
      </w:pPr>
      <w:r>
        <w:rPr>
          <w:rFonts w:ascii="Arial" w:cs="Arial" w:eastAsia="Arial" w:hAnsi="Arial"/>
          <w:sz w:val="12"/>
          <w:szCs w:val="12"/>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4"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We have entered into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6" w:lineRule="exact"/>
        <w:rPr>
          <w:sz w:val="20"/>
          <w:szCs w:val="20"/>
          <w:color w:val="auto"/>
        </w:rPr>
      </w:pPr>
    </w:p>
    <w:p>
      <w:pPr>
        <w:ind w:right="140" w:firstLine="674"/>
        <w:spacing w:after="0" w:line="243" w:lineRule="auto"/>
        <w:rPr>
          <w:sz w:val="20"/>
          <w:szCs w:val="20"/>
          <w:color w:val="auto"/>
        </w:rPr>
      </w:pPr>
      <w:r>
        <w:rPr>
          <w:rFonts w:ascii="Arial" w:cs="Arial" w:eastAsia="Arial" w:hAnsi="Arial"/>
          <w:sz w:val="12"/>
          <w:szCs w:val="12"/>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trading market or market value of any publicly issued debt or convertible debt securities may be volatile.</w:t>
      </w:r>
    </w:p>
    <w:p>
      <w:pPr>
        <w:spacing w:after="0" w:line="105" w:lineRule="exact"/>
        <w:rPr>
          <w:sz w:val="20"/>
          <w:szCs w:val="20"/>
          <w:color w:val="auto"/>
        </w:rPr>
      </w:pPr>
    </w:p>
    <w:p>
      <w:pPr>
        <w:ind w:firstLine="674"/>
        <w:spacing w:after="0" w:line="416" w:lineRule="auto"/>
        <w:rPr>
          <w:sz w:val="20"/>
          <w:szCs w:val="20"/>
          <w:color w:val="auto"/>
        </w:rPr>
      </w:pPr>
      <w:r>
        <w:rPr>
          <w:rFonts w:ascii="Arial" w:cs="Arial" w:eastAsia="Arial" w:hAnsi="Arial"/>
          <w:sz w:val="9"/>
          <w:szCs w:val="9"/>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These factors include the following:</w:t>
      </w:r>
    </w:p>
    <w:p>
      <w:pPr>
        <w:sectPr>
          <w:pgSz w:w="11900" w:h="16838" w:orient="portrait"/>
          <w:cols w:equalWidth="0" w:num="1">
            <w:col w:w="11240"/>
          </w:cols>
          <w:pgMar w:left="320" w:top="459" w:right="339" w:bottom="1440" w:gutter="0" w:footer="0" w:header="0"/>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The time remaining to the maturity of these debt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the outstanding principal amount of debt securities with terms identical to these debt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the supply of debt securities trading in the secondary market, if any;</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redemption, repayment or convertible features, if any, of these debt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level, direction and volatility of market interest rates; and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market rates of interest higher or lower than rates borne by the debt securities.</w:t>
      </w:r>
    </w:p>
    <w:p>
      <w:pPr>
        <w:spacing w:after="0" w:line="185"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right="200" w:firstLine="786"/>
        <w:spacing w:after="0" w:line="252" w:lineRule="auto"/>
        <w:rPr>
          <w:sz w:val="20"/>
          <w:szCs w:val="20"/>
          <w:color w:val="auto"/>
        </w:rPr>
      </w:pPr>
      <w:r>
        <w:rPr>
          <w:rFonts w:ascii="Arial" w:cs="Arial" w:eastAsia="Arial" w:hAnsi="Arial"/>
          <w:sz w:val="12"/>
          <w:szCs w:val="12"/>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Terms relating to redemption may have a material adverse effect on the return on any debt securities.</w:t>
      </w:r>
    </w:p>
    <w:p>
      <w:pPr>
        <w:spacing w:after="0" w:line="105" w:lineRule="exact"/>
        <w:rPr>
          <w:sz w:val="20"/>
          <w:szCs w:val="20"/>
          <w:color w:val="auto"/>
        </w:rPr>
      </w:pPr>
    </w:p>
    <w:p>
      <w:pPr>
        <w:ind w:right="40" w:firstLine="674"/>
        <w:spacing w:after="0" w:line="276" w:lineRule="auto"/>
        <w:rPr>
          <w:sz w:val="20"/>
          <w:szCs w:val="20"/>
          <w:color w:val="auto"/>
        </w:rPr>
      </w:pPr>
      <w:r>
        <w:rPr>
          <w:rFonts w:ascii="Arial" w:cs="Arial" w:eastAsia="Arial" w:hAnsi="Arial"/>
          <w:sz w:val="11"/>
          <w:szCs w:val="11"/>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issue subscription rights or warrants for our common stock, your interest in us may be diluted as a result of such rights or warrants offering.</w:t>
      </w:r>
    </w:p>
    <w:p>
      <w:pPr>
        <w:spacing w:after="0" w:line="105"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94"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experience fluctuations in our quarterly results.</w:t>
      </w:r>
    </w:p>
    <w:p>
      <w:pPr>
        <w:spacing w:after="0" w:line="105" w:lineRule="exact"/>
        <w:rPr>
          <w:sz w:val="20"/>
          <w:szCs w:val="20"/>
          <w:color w:val="auto"/>
        </w:rPr>
      </w:pPr>
    </w:p>
    <w:p>
      <w:pPr>
        <w:ind w:right="100" w:firstLine="674"/>
        <w:spacing w:after="0" w:line="266" w:lineRule="auto"/>
        <w:rPr>
          <w:sz w:val="20"/>
          <w:szCs w:val="20"/>
          <w:color w:val="auto"/>
        </w:rPr>
      </w:pPr>
      <w:r>
        <w:rPr>
          <w:rFonts w:ascii="Arial" w:cs="Arial" w:eastAsia="Arial" w:hAnsi="Arial"/>
          <w:sz w:val="11"/>
          <w:szCs w:val="11"/>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impact of recent financial reform legislation on us is uncertain.</w:t>
      </w:r>
    </w:p>
    <w:p>
      <w:pPr>
        <w:spacing w:after="0" w:line="105" w:lineRule="exact"/>
        <w:rPr>
          <w:sz w:val="20"/>
          <w:szCs w:val="20"/>
          <w:color w:val="auto"/>
        </w:rPr>
      </w:pPr>
    </w:p>
    <w:p>
      <w:pPr>
        <w:ind w:right="20" w:firstLine="674"/>
        <w:spacing w:after="0" w:line="269" w:lineRule="auto"/>
        <w:rPr>
          <w:sz w:val="20"/>
          <w:szCs w:val="20"/>
          <w:color w:val="auto"/>
        </w:rPr>
      </w:pPr>
      <w:r>
        <w:rPr>
          <w:rFonts w:ascii="Arial" w:cs="Arial" w:eastAsia="Arial" w:hAnsi="Arial"/>
          <w:sz w:val="11"/>
          <w:szCs w:val="11"/>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Changes in laws or regulations governing our operations may adversely affect our business.</w:t>
      </w:r>
    </w:p>
    <w:p>
      <w:pPr>
        <w:spacing w:after="0" w:line="105"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“Business—Regulation” for more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40"/>
          </w:cols>
          <w:pgMar w:left="320" w:top="459"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board of directors may change our investment objectives, operating policies and strategies without prior notice or stockholder approval.</w:t>
      </w:r>
    </w:p>
    <w:p>
      <w:pPr>
        <w:spacing w:after="0" w:line="105" w:lineRule="exact"/>
        <w:rPr>
          <w:sz w:val="20"/>
          <w:szCs w:val="20"/>
          <w:color w:val="auto"/>
        </w:rPr>
      </w:pPr>
    </w:p>
    <w:p>
      <w:pPr>
        <w:ind w:right="280" w:firstLine="674"/>
        <w:spacing w:after="0" w:line="276" w:lineRule="auto"/>
        <w:rPr>
          <w:sz w:val="20"/>
          <w:szCs w:val="20"/>
          <w:color w:val="auto"/>
        </w:rPr>
      </w:pPr>
      <w:r>
        <w:rPr>
          <w:rFonts w:ascii="Arial" w:cs="Arial" w:eastAsia="Arial" w:hAnsi="Arial"/>
          <w:sz w:val="11"/>
          <w:szCs w:val="11"/>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RISKS RELATING TO THE ILLIQUID NATURE OF OUR PORTFOLIO ASSETS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9"/>
          <w:szCs w:val="9"/>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40" w:lineRule="exact"/>
        <w:rPr>
          <w:sz w:val="20"/>
          <w:szCs w:val="20"/>
          <w:color w:val="auto"/>
        </w:rPr>
      </w:pPr>
    </w:p>
    <w:p>
      <w:pPr>
        <w:ind w:right="60" w:firstLine="674"/>
        <w:spacing w:after="0" w:line="338" w:lineRule="auto"/>
        <w:rPr>
          <w:sz w:val="20"/>
          <w:szCs w:val="20"/>
          <w:color w:val="auto"/>
        </w:rPr>
      </w:pPr>
      <w:r>
        <w:rPr>
          <w:rFonts w:ascii="Arial" w:cs="Arial" w:eastAsia="Arial" w:hAnsi="Arial"/>
          <w:sz w:val="9"/>
          <w:szCs w:val="9"/>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54" w:lineRule="exact"/>
        <w:rPr>
          <w:sz w:val="20"/>
          <w:szCs w:val="20"/>
          <w:color w:val="auto"/>
        </w:rPr>
      </w:pPr>
    </w:p>
    <w:p>
      <w:pPr>
        <w:ind w:firstLine="674"/>
        <w:spacing w:after="0" w:line="347" w:lineRule="auto"/>
        <w:rPr>
          <w:sz w:val="20"/>
          <w:szCs w:val="20"/>
          <w:color w:val="auto"/>
        </w:rPr>
      </w:pPr>
      <w:r>
        <w:rPr>
          <w:rFonts w:ascii="Arial" w:cs="Arial" w:eastAsia="Arial" w:hAnsi="Arial"/>
          <w:sz w:val="9"/>
          <w:szCs w:val="9"/>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50" w:lineRule="exact"/>
        <w:rPr>
          <w:sz w:val="20"/>
          <w:szCs w:val="20"/>
          <w:color w:val="auto"/>
        </w:rPr>
      </w:pPr>
    </w:p>
    <w:p>
      <w:pPr>
        <w:ind w:right="160" w:firstLine="674"/>
        <w:spacing w:after="0" w:line="252" w:lineRule="auto"/>
        <w:rPr>
          <w:sz w:val="20"/>
          <w:szCs w:val="20"/>
          <w:color w:val="auto"/>
        </w:rPr>
      </w:pPr>
      <w:r>
        <w:rPr>
          <w:rFonts w:ascii="Arial" w:cs="Arial" w:eastAsia="Arial" w:hAnsi="Arial"/>
          <w:sz w:val="12"/>
          <w:szCs w:val="12"/>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88" w:lineRule="exact"/>
        <w:rPr>
          <w:sz w:val="20"/>
          <w:szCs w:val="20"/>
          <w:color w:val="auto"/>
        </w:rPr>
      </w:pPr>
    </w:p>
    <w:p>
      <w:pPr>
        <w:ind w:right="80" w:firstLine="674"/>
        <w:spacing w:after="0" w:line="338" w:lineRule="auto"/>
        <w:rPr>
          <w:sz w:val="20"/>
          <w:szCs w:val="20"/>
          <w:color w:val="auto"/>
        </w:rPr>
      </w:pPr>
      <w:r>
        <w:rPr>
          <w:rFonts w:ascii="Arial" w:cs="Arial" w:eastAsia="Arial" w:hAnsi="Arial"/>
          <w:sz w:val="9"/>
          <w:szCs w:val="9"/>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lack of liquidity in our investments may adversely affect our business.</w:t>
      </w:r>
    </w:p>
    <w:p>
      <w:pPr>
        <w:spacing w:after="0" w:line="105" w:lineRule="exact"/>
        <w:rPr>
          <w:sz w:val="20"/>
          <w:szCs w:val="20"/>
          <w:color w:val="auto"/>
        </w:rPr>
      </w:pPr>
    </w:p>
    <w:p>
      <w:pPr>
        <w:ind w:right="220" w:firstLine="674"/>
        <w:spacing w:after="0" w:line="297" w:lineRule="auto"/>
        <w:rPr>
          <w:sz w:val="20"/>
          <w:szCs w:val="20"/>
          <w:color w:val="auto"/>
        </w:rPr>
      </w:pPr>
      <w:r>
        <w:rPr>
          <w:rFonts w:ascii="Arial" w:cs="Arial" w:eastAsia="Arial" w:hAnsi="Arial"/>
          <w:sz w:val="11"/>
          <w:szCs w:val="11"/>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65" w:lineRule="exact"/>
        <w:rPr>
          <w:sz w:val="20"/>
          <w:szCs w:val="20"/>
          <w:color w:val="auto"/>
        </w:rPr>
      </w:pPr>
    </w:p>
    <w:p>
      <w:pPr>
        <w:jc w:val="both"/>
        <w:ind w:right="80" w:firstLine="674"/>
        <w:spacing w:after="0" w:line="364" w:lineRule="auto"/>
        <w:rPr>
          <w:sz w:val="20"/>
          <w:szCs w:val="20"/>
          <w:color w:val="auto"/>
        </w:rPr>
      </w:pPr>
      <w:r>
        <w:rPr>
          <w:rFonts w:ascii="Arial" w:cs="Arial" w:eastAsia="Arial" w:hAnsi="Arial"/>
          <w:sz w:val="9"/>
          <w:szCs w:val="9"/>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42" w:lineRule="exact"/>
        <w:rPr>
          <w:sz w:val="20"/>
          <w:szCs w:val="20"/>
          <w:color w:val="auto"/>
        </w:rPr>
      </w:pPr>
    </w:p>
    <w:p>
      <w:pPr>
        <w:ind w:right="140" w:firstLine="674"/>
        <w:spacing w:after="0" w:line="243"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A general disruption in the credit markets could materially damage our business.</w:t>
      </w:r>
    </w:p>
    <w:p>
      <w:pPr>
        <w:spacing w:after="0" w:line="105" w:lineRule="exact"/>
        <w:rPr>
          <w:sz w:val="20"/>
          <w:szCs w:val="20"/>
          <w:color w:val="auto"/>
        </w:rPr>
      </w:pPr>
    </w:p>
    <w:p>
      <w:pPr>
        <w:ind w:right="20" w:firstLine="674"/>
        <w:spacing w:after="0" w:line="276" w:lineRule="auto"/>
        <w:rPr>
          <w:sz w:val="20"/>
          <w:szCs w:val="20"/>
          <w:color w:val="auto"/>
        </w:rPr>
      </w:pPr>
      <w:r>
        <w:rPr>
          <w:rFonts w:ascii="Arial" w:cs="Arial" w:eastAsia="Arial" w:hAnsi="Arial"/>
          <w:sz w:val="11"/>
          <w:szCs w:val="11"/>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77" w:lineRule="exact"/>
        <w:rPr>
          <w:sz w:val="20"/>
          <w:szCs w:val="20"/>
          <w:color w:val="auto"/>
        </w:rPr>
      </w:pPr>
    </w:p>
    <w:p>
      <w:pPr>
        <w:ind w:right="160" w:firstLine="674"/>
        <w:spacing w:after="0" w:line="276" w:lineRule="auto"/>
        <w:rPr>
          <w:sz w:val="20"/>
          <w:szCs w:val="20"/>
          <w:color w:val="auto"/>
        </w:rPr>
      </w:pPr>
      <w:r>
        <w:rPr>
          <w:rFonts w:ascii="Arial" w:cs="Arial" w:eastAsia="Arial" w:hAnsi="Arial"/>
          <w:sz w:val="11"/>
          <w:szCs w:val="11"/>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rely in part on our over-the-counter securities, which faced liquidity constraints under recent market conditions, to provide us with additional liquidity.</w:t>
      </w:r>
    </w:p>
    <w:p>
      <w:pPr>
        <w:spacing w:after="0" w:line="105" w:lineRule="exact"/>
        <w:rPr>
          <w:sz w:val="20"/>
          <w:szCs w:val="20"/>
          <w:color w:val="auto"/>
        </w:rPr>
      </w:pPr>
    </w:p>
    <w:p>
      <w:pPr>
        <w:ind w:right="320" w:firstLine="674"/>
        <w:spacing w:after="0" w:line="252" w:lineRule="auto"/>
        <w:rPr>
          <w:sz w:val="20"/>
          <w:szCs w:val="20"/>
          <w:color w:val="auto"/>
        </w:rPr>
      </w:pPr>
      <w:r>
        <w:rPr>
          <w:rFonts w:ascii="Arial" w:cs="Arial" w:eastAsia="Arial" w:hAnsi="Arial"/>
          <w:sz w:val="12"/>
          <w:szCs w:val="12"/>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INVESTMENTS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investments in prospective portfolio companies may be risky, and you could lose all or part of your investment.</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intend to invest primarily in senior secured loans, mezzanine debt and selected equity investments issued by U.S. middle-market companies.</w:t>
      </w:r>
    </w:p>
    <w:p>
      <w:pPr>
        <w:spacing w:after="0" w:line="119" w:lineRule="exact"/>
        <w:rPr>
          <w:sz w:val="20"/>
          <w:szCs w:val="20"/>
          <w:color w:val="auto"/>
        </w:rPr>
      </w:pPr>
    </w:p>
    <w:p>
      <w:pPr>
        <w:ind w:left="1120" w:hanging="451"/>
        <w:spacing w:after="0" w:line="333" w:lineRule="auto"/>
        <w:tabs>
          <w:tab w:leader="none" w:pos="1120" w:val="left"/>
        </w:tabs>
        <w:numPr>
          <w:ilvl w:val="0"/>
          <w:numId w:val="22"/>
        </w:numPr>
        <w:rPr>
          <w:rFonts w:ascii="Arial" w:cs="Arial" w:eastAsia="Arial" w:hAnsi="Arial"/>
          <w:sz w:val="9"/>
          <w:szCs w:val="9"/>
          <w:color w:val="auto"/>
        </w:rPr>
      </w:pPr>
      <w:r>
        <w:rPr>
          <w:rFonts w:ascii="Arial" w:cs="Arial" w:eastAsia="Arial" w:hAnsi="Arial"/>
          <w:sz w:val="9"/>
          <w:szCs w:val="9"/>
          <w:b w:val="1"/>
          <w:bCs w:val="1"/>
          <w:i w:val="1"/>
          <w:iCs w:val="1"/>
          <w:color w:val="auto"/>
        </w:rPr>
        <w:t xml:space="preserve">Senior Secured Loans: </w:t>
      </w:r>
      <w:r>
        <w:rPr>
          <w:rFonts w:ascii="Arial" w:cs="Arial" w:eastAsia="Arial" w:hAnsi="Arial"/>
          <w:sz w:val="9"/>
          <w:szCs w:val="9"/>
          <w:color w:val="auto"/>
        </w:rPr>
        <w:t>When we extend senior secured loans, which we define to include first lien debt, we will generally take a security interest in the available assets of these portfolio companies, including the</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69" w:lineRule="exact"/>
        <w:rPr>
          <w:rFonts w:ascii="Arial" w:cs="Arial" w:eastAsia="Arial" w:hAnsi="Arial"/>
          <w:sz w:val="9"/>
          <w:szCs w:val="9"/>
          <w:color w:val="auto"/>
        </w:rPr>
      </w:pPr>
    </w:p>
    <w:p>
      <w:pPr>
        <w:ind w:left="1120" w:right="40" w:hanging="451"/>
        <w:spacing w:after="0" w:line="266" w:lineRule="auto"/>
        <w:tabs>
          <w:tab w:leader="none" w:pos="1120" w:val="left"/>
        </w:tabs>
        <w:numPr>
          <w:ilvl w:val="0"/>
          <w:numId w:val="2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Mezzanine Debt: </w:t>
      </w:r>
      <w:r>
        <w:rPr>
          <w:rFonts w:ascii="Arial" w:cs="Arial" w:eastAsia="Arial" w:hAnsi="Arial"/>
          <w:sz w:val="11"/>
          <w:szCs w:val="11"/>
          <w:color w:val="auto"/>
        </w:rPr>
        <w:t>Our mezzanine debt investments, which we define to include second lien secured and subordinated debt, will generally be subordinated to senior secured loans and will generally be unsecured.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95" w:lineRule="exact"/>
        <w:rPr>
          <w:rFonts w:ascii="Arial" w:cs="Arial" w:eastAsia="Arial" w:hAnsi="Arial"/>
          <w:sz w:val="11"/>
          <w:szCs w:val="11"/>
          <w:color w:val="auto"/>
        </w:rPr>
      </w:pPr>
    </w:p>
    <w:p>
      <w:pPr>
        <w:ind w:left="1120" w:right="40" w:hanging="451"/>
        <w:spacing w:after="0"/>
        <w:tabs>
          <w:tab w:leader="none" w:pos="1120" w:val="left"/>
        </w:tabs>
        <w:numPr>
          <w:ilvl w:val="0"/>
          <w:numId w:val="2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Equity Investments: </w:t>
      </w:r>
      <w:r>
        <w:rPr>
          <w:rFonts w:ascii="Arial" w:cs="Arial" w:eastAsia="Arial" w:hAnsi="Arial"/>
          <w:sz w:val="12"/>
          <w:szCs w:val="12"/>
          <w:color w:val="auto"/>
        </w:rPr>
        <w:t>We have made and expect to continue to make select equity investments. In addition, when we invest in senior secured loans or mezzanine debt, we may acquire warrants to purchase equity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addition, investing in middle-market companies involves a number of significant risks, including:</w:t>
      </w:r>
    </w:p>
    <w:p>
      <w:pPr>
        <w:sectPr>
          <w:pgSz w:w="11900" w:h="16838" w:orient="portrait"/>
          <w:cols w:equalWidth="0" w:num="1">
            <w:col w:w="11200"/>
          </w:cols>
          <w:pgMar w:left="320" w:top="459" w:right="379" w:bottom="1440" w:gutter="0" w:footer="0" w:header="0"/>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2" w:lineRule="exact"/>
        <w:rPr>
          <w:sz w:val="20"/>
          <w:szCs w:val="20"/>
          <w:color w:val="auto"/>
        </w:rPr>
      </w:pPr>
    </w:p>
    <w:p>
      <w:pPr>
        <w:ind w:right="360"/>
        <w:spacing w:after="0" w:line="252" w:lineRule="auto"/>
        <w:rPr>
          <w:sz w:val="20"/>
          <w:szCs w:val="20"/>
          <w:color w:val="auto"/>
        </w:rPr>
      </w:pPr>
      <w:r>
        <w:rPr>
          <w:rFonts w:ascii="Arial" w:cs="Arial" w:eastAsia="Arial" w:hAnsi="Arial"/>
          <w:sz w:val="12"/>
          <w:szCs w:val="12"/>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02" w:lineRule="exact"/>
        <w:rPr>
          <w:sz w:val="20"/>
          <w:szCs w:val="20"/>
          <w:color w:val="auto"/>
        </w:rPr>
      </w:pPr>
    </w:p>
    <w:p>
      <w:pPr>
        <w:ind w:right="300"/>
        <w:spacing w:after="0" w:line="252" w:lineRule="auto"/>
        <w:rPr>
          <w:sz w:val="20"/>
          <w:szCs w:val="20"/>
          <w:color w:val="auto"/>
        </w:rPr>
      </w:pPr>
      <w:r>
        <w:rPr>
          <w:rFonts w:ascii="Arial" w:cs="Arial" w:eastAsia="Arial" w:hAnsi="Arial"/>
          <w:sz w:val="12"/>
          <w:szCs w:val="12"/>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 w:lineRule="exact"/>
        <w:rPr>
          <w:sz w:val="20"/>
          <w:szCs w:val="20"/>
          <w:color w:val="auto"/>
        </w:rPr>
      </w:pPr>
    </w:p>
    <w:p>
      <w:pPr>
        <w:sectPr>
          <w:pgSz w:w="11900" w:h="16838" w:orient="portrait"/>
          <w:cols w:equalWidth="0" w:num="2">
            <w:col w:w="740" w:space="360"/>
            <w:col w:w="10100"/>
          </w:cols>
          <w:pgMar w:left="320" w:top="459" w:right="379" w:bottom="1440" w:gutter="0" w:footer="0" w:header="0"/>
          <w:type w:val="continuous"/>
        </w:sectPr>
      </w:pPr>
    </w:p>
    <w:p>
      <w:pPr>
        <w:ind w:left="1100" w:hanging="431"/>
        <w:spacing w:after="0" w:line="191" w:lineRule="auto"/>
        <w:tabs>
          <w:tab w:leader="none" w:pos="1100" w:val="left"/>
        </w:tabs>
        <w:numPr>
          <w:ilvl w:val="0"/>
          <w:numId w:val="23"/>
        </w:numPr>
        <w:rPr>
          <w:rFonts w:ascii="Arial" w:cs="Arial" w:eastAsia="Arial" w:hAnsi="Arial"/>
          <w:sz w:val="28"/>
          <w:szCs w:val="28"/>
          <w:color w:val="auto"/>
          <w:vertAlign w:val="subscript"/>
        </w:rPr>
      </w:pPr>
      <w:r>
        <w:rPr>
          <w:rFonts w:ascii="Arial" w:cs="Arial" w:eastAsia="Arial" w:hAnsi="Arial"/>
          <w:sz w:val="10"/>
          <w:szCs w:val="10"/>
          <w:color w:val="auto"/>
        </w:rPr>
        <w:t>they may have difficulty accessing the capital markets to meet future capital needs, which may limit their ability to grow or to repay their outstanding indebtedness upon maturity.</w:t>
      </w:r>
    </w:p>
    <w:p>
      <w:pPr>
        <w:spacing w:after="0" w:line="177" w:lineRule="exact"/>
        <w:rPr>
          <w:sz w:val="20"/>
          <w:szCs w:val="20"/>
          <w:color w:val="auto"/>
        </w:rPr>
      </w:pPr>
    </w:p>
    <w:p>
      <w:pPr>
        <w:ind w:right="240" w:firstLine="112"/>
        <w:spacing w:after="0" w:line="252" w:lineRule="auto"/>
        <w:rPr>
          <w:sz w:val="20"/>
          <w:szCs w:val="20"/>
          <w:color w:val="auto"/>
        </w:rPr>
      </w:pPr>
      <w:r>
        <w:rPr>
          <w:rFonts w:ascii="Arial" w:cs="Arial" w:eastAsia="Arial" w:hAnsi="Arial"/>
          <w:sz w:val="12"/>
          <w:szCs w:val="12"/>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88" w:lineRule="exact"/>
        <w:rPr>
          <w:sz w:val="20"/>
          <w:szCs w:val="20"/>
          <w:color w:val="auto"/>
        </w:rPr>
      </w:pPr>
    </w:p>
    <w:p>
      <w:pPr>
        <w:ind w:right="20" w:firstLine="674"/>
        <w:spacing w:after="0" w:line="276" w:lineRule="auto"/>
        <w:rPr>
          <w:sz w:val="20"/>
          <w:szCs w:val="20"/>
          <w:color w:val="auto"/>
        </w:rPr>
      </w:pPr>
      <w:r>
        <w:rPr>
          <w:rFonts w:ascii="Arial" w:cs="Arial" w:eastAsia="Arial" w:hAnsi="Arial"/>
          <w:sz w:val="11"/>
          <w:szCs w:val="11"/>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77" w:lineRule="exact"/>
        <w:rPr>
          <w:sz w:val="20"/>
          <w:szCs w:val="20"/>
          <w:color w:val="auto"/>
        </w:rPr>
      </w:pPr>
    </w:p>
    <w:p>
      <w:pPr>
        <w:ind w:right="20" w:firstLine="674"/>
        <w:spacing w:after="0" w:line="239" w:lineRule="auto"/>
        <w:rPr>
          <w:sz w:val="20"/>
          <w:szCs w:val="20"/>
          <w:color w:val="auto"/>
        </w:rPr>
      </w:pPr>
      <w:r>
        <w:rPr>
          <w:rFonts w:ascii="Arial" w:cs="Arial" w:eastAsia="Arial" w:hAnsi="Arial"/>
          <w:sz w:val="12"/>
          <w:szCs w:val="12"/>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9"/>
          <w:szCs w:val="9"/>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40" w:lineRule="exact"/>
        <w:rPr>
          <w:sz w:val="20"/>
          <w:szCs w:val="20"/>
          <w:color w:val="auto"/>
        </w:rPr>
      </w:pPr>
    </w:p>
    <w:p>
      <w:pPr>
        <w:ind w:right="20" w:firstLine="674"/>
        <w:spacing w:after="0" w:line="269" w:lineRule="auto"/>
        <w:rPr>
          <w:sz w:val="20"/>
          <w:szCs w:val="20"/>
          <w:color w:val="auto"/>
        </w:rPr>
      </w:pPr>
      <w:r>
        <w:rPr>
          <w:rFonts w:ascii="Arial" w:cs="Arial" w:eastAsia="Arial" w:hAnsi="Arial"/>
          <w:sz w:val="11"/>
          <w:szCs w:val="11"/>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Economic recessions or downturns could impair our portfolio companies and harm our operating results.</w:t>
      </w:r>
    </w:p>
    <w:p>
      <w:pPr>
        <w:spacing w:after="0" w:line="105"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00"/>
          </w:cols>
          <w:pgMar w:left="320" w:top="459" w:right="3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firstLine="674"/>
        <w:spacing w:after="0" w:line="347" w:lineRule="auto"/>
        <w:rPr>
          <w:sz w:val="20"/>
          <w:szCs w:val="20"/>
          <w:color w:val="auto"/>
        </w:rPr>
      </w:pPr>
      <w:r>
        <w:rPr>
          <w:rFonts w:ascii="Arial" w:cs="Arial" w:eastAsia="Arial" w:hAnsi="Arial"/>
          <w:sz w:val="9"/>
          <w:szCs w:val="9"/>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If we fail to make follow-on investments in our portfolio companies, this could materially impair the value of our portfolio.</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Following an initial investment in a portfolio company, we may make additional investments in that portfolio company as “follow-on” investments, in order to:</w:t>
      </w:r>
    </w:p>
    <w:p>
      <w:pPr>
        <w:sectPr>
          <w:pgSz w:w="11900" w:h="16838" w:orient="portrait"/>
          <w:cols w:equalWidth="0" w:num="1">
            <w:col w:w="11220"/>
          </w:cols>
          <w:pgMar w:left="320" w:top="459" w:right="359" w:bottom="1440" w:gutter="0" w:footer="0" w:header="0"/>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increase or maintain in whole or in part our equity ownership percentage;</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exercise warrants, options or convertible securities that were acquired in the original or subsequent financing; or</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attempt to preserve or enhance the value of our investment.</w:t>
      </w:r>
    </w:p>
    <w:p>
      <w:pPr>
        <w:spacing w:after="0" w:line="185" w:lineRule="exact"/>
        <w:rPr>
          <w:sz w:val="20"/>
          <w:szCs w:val="20"/>
          <w:color w:val="auto"/>
        </w:rPr>
      </w:pPr>
    </w:p>
    <w:p>
      <w:pPr>
        <w:sectPr>
          <w:pgSz w:w="11900" w:h="16838" w:orient="portrait"/>
          <w:cols w:equalWidth="0" w:num="2">
            <w:col w:w="740" w:space="360"/>
            <w:col w:w="10120"/>
          </w:cols>
          <w:pgMar w:left="320" w:top="459" w:right="359" w:bottom="1440" w:gutter="0" w:footer="0" w:header="0"/>
          <w:type w:val="continuous"/>
        </w:sectPr>
      </w:pPr>
    </w:p>
    <w:p>
      <w:pPr>
        <w:ind w:firstLine="786"/>
        <w:spacing w:after="0" w:line="269" w:lineRule="auto"/>
        <w:rPr>
          <w:sz w:val="20"/>
          <w:szCs w:val="20"/>
          <w:color w:val="auto"/>
        </w:rPr>
      </w:pPr>
      <w:r>
        <w:rPr>
          <w:rFonts w:ascii="Arial" w:cs="Arial" w:eastAsia="Arial" w:hAnsi="Arial"/>
          <w:sz w:val="11"/>
          <w:szCs w:val="11"/>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81" w:lineRule="exact"/>
        <w:rPr>
          <w:sz w:val="20"/>
          <w:szCs w:val="20"/>
          <w:color w:val="auto"/>
        </w:rPr>
      </w:pPr>
    </w:p>
    <w:p>
      <w:pPr>
        <w:ind w:right="120" w:firstLine="112"/>
        <w:spacing w:after="0" w:line="252" w:lineRule="auto"/>
        <w:rPr>
          <w:sz w:val="20"/>
          <w:szCs w:val="20"/>
          <w:color w:val="auto"/>
        </w:rPr>
      </w:pPr>
      <w:r>
        <w:rPr>
          <w:rFonts w:ascii="Arial" w:cs="Arial" w:eastAsia="Arial" w:hAnsi="Arial"/>
          <w:sz w:val="12"/>
          <w:szCs w:val="12"/>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88" w:lineRule="exact"/>
        <w:rPr>
          <w:sz w:val="20"/>
          <w:szCs w:val="20"/>
          <w:color w:val="auto"/>
        </w:rPr>
      </w:pPr>
    </w:p>
    <w:p>
      <w:pPr>
        <w:ind w:right="100" w:firstLine="674"/>
        <w:spacing w:after="0" w:line="276" w:lineRule="auto"/>
        <w:rPr>
          <w:sz w:val="20"/>
          <w:szCs w:val="20"/>
          <w:color w:val="auto"/>
        </w:rPr>
      </w:pPr>
      <w:r>
        <w:rPr>
          <w:rFonts w:ascii="Arial" w:cs="Arial" w:eastAsia="Arial" w:hAnsi="Arial"/>
          <w:sz w:val="11"/>
          <w:szCs w:val="11"/>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77" w:lineRule="exact"/>
        <w:rPr>
          <w:sz w:val="20"/>
          <w:szCs w:val="20"/>
          <w:color w:val="auto"/>
        </w:rPr>
      </w:pPr>
    </w:p>
    <w:p>
      <w:pPr>
        <w:ind w:right="500" w:firstLine="112"/>
        <w:spacing w:after="0" w:line="252"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88" w:lineRule="exact"/>
        <w:rPr>
          <w:sz w:val="20"/>
          <w:szCs w:val="20"/>
          <w:color w:val="auto"/>
        </w:rPr>
      </w:pPr>
    </w:p>
    <w:p>
      <w:pPr>
        <w:ind w:right="20" w:firstLine="674"/>
        <w:spacing w:after="0"/>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portfolio companies may incur debt that ranks equally with, or senior to, our investments in such companies.</w:t>
      </w:r>
    </w:p>
    <w:p>
      <w:pPr>
        <w:spacing w:after="0" w:line="105" w:lineRule="exact"/>
        <w:rPr>
          <w:sz w:val="20"/>
          <w:szCs w:val="20"/>
          <w:color w:val="auto"/>
        </w:rPr>
      </w:pPr>
    </w:p>
    <w:p>
      <w:pPr>
        <w:ind w:right="80" w:firstLine="786"/>
        <w:spacing w:after="0" w:line="238" w:lineRule="auto"/>
        <w:rPr>
          <w:sz w:val="20"/>
          <w:szCs w:val="20"/>
          <w:color w:val="auto"/>
        </w:rPr>
      </w:pPr>
      <w:r>
        <w:rPr>
          <w:rFonts w:ascii="Arial" w:cs="Arial" w:eastAsia="Arial" w:hAnsi="Arial"/>
          <w:sz w:val="12"/>
          <w:szCs w:val="12"/>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incentive fee may induce the Investment Adviser to make speculative investments.</w:t>
      </w:r>
    </w:p>
    <w:p>
      <w:pPr>
        <w:spacing w:after="0" w:line="105" w:lineRule="exact"/>
        <w:rPr>
          <w:sz w:val="20"/>
          <w:szCs w:val="20"/>
          <w:color w:val="auto"/>
        </w:rPr>
      </w:pPr>
    </w:p>
    <w:p>
      <w:pPr>
        <w:ind w:right="80" w:firstLine="674"/>
        <w:spacing w:after="0" w:line="264" w:lineRule="auto"/>
        <w:rPr>
          <w:sz w:val="20"/>
          <w:szCs w:val="20"/>
          <w:color w:val="auto"/>
        </w:rPr>
      </w:pPr>
      <w:r>
        <w:rPr>
          <w:rFonts w:ascii="Arial" w:cs="Arial" w:eastAsia="Arial" w:hAnsi="Arial"/>
          <w:sz w:val="11"/>
          <w:szCs w:val="11"/>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83" w:lineRule="exact"/>
        <w:rPr>
          <w:sz w:val="20"/>
          <w:szCs w:val="20"/>
          <w:color w:val="auto"/>
        </w:rPr>
      </w:pPr>
    </w:p>
    <w:p>
      <w:pPr>
        <w:ind w:right="60" w:firstLine="674"/>
        <w:spacing w:after="0" w:line="243" w:lineRule="auto"/>
        <w:rPr>
          <w:sz w:val="20"/>
          <w:szCs w:val="20"/>
          <w:color w:val="auto"/>
        </w:rPr>
      </w:pPr>
      <w:r>
        <w:rPr>
          <w:rFonts w:ascii="Arial" w:cs="Arial" w:eastAsia="Arial" w:hAnsi="Arial"/>
          <w:sz w:val="12"/>
          <w:szCs w:val="12"/>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105" w:lineRule="exact"/>
        <w:rPr>
          <w:sz w:val="20"/>
          <w:szCs w:val="20"/>
          <w:color w:val="auto"/>
        </w:rPr>
      </w:pPr>
    </w:p>
    <w:p>
      <w:pPr>
        <w:ind w:right="120" w:firstLine="674"/>
        <w:spacing w:after="0" w:line="239"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20"/>
          </w:cols>
          <w:pgMar w:left="320" w:top="459" w:right="3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be obligated to pay our Investment Adviser incentive compensation even if we incur a loss.</w:t>
      </w:r>
    </w:p>
    <w:p>
      <w:pPr>
        <w:spacing w:after="0" w:line="105"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effect of global climate change may impact the operations of our portfolio companies.</w:t>
      </w:r>
    </w:p>
    <w:p>
      <w:pPr>
        <w:spacing w:after="0" w:line="105" w:lineRule="exact"/>
        <w:rPr>
          <w:sz w:val="20"/>
          <w:szCs w:val="20"/>
          <w:color w:val="auto"/>
        </w:rPr>
      </w:pPr>
    </w:p>
    <w:p>
      <w:pPr>
        <w:ind w:right="20" w:firstLine="674"/>
        <w:spacing w:after="0" w:line="239"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investments in foreign securities may involve significant risks in addition to the risks inherent in U.S. investments.</w:t>
      </w:r>
    </w:p>
    <w:p>
      <w:pPr>
        <w:spacing w:after="0" w:line="105" w:lineRule="exact"/>
        <w:rPr>
          <w:sz w:val="20"/>
          <w:szCs w:val="20"/>
          <w:color w:val="auto"/>
        </w:rPr>
      </w:pPr>
    </w:p>
    <w:p>
      <w:pPr>
        <w:ind w:right="80" w:firstLine="674"/>
        <w:spacing w:after="0" w:line="269" w:lineRule="auto"/>
        <w:rPr>
          <w:sz w:val="20"/>
          <w:szCs w:val="20"/>
          <w:color w:val="auto"/>
        </w:rPr>
      </w:pPr>
      <w:r>
        <w:rPr>
          <w:rFonts w:ascii="Arial" w:cs="Arial" w:eastAsia="Arial" w:hAnsi="Arial"/>
          <w:sz w:val="11"/>
          <w:szCs w:val="11"/>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81" w:lineRule="exact"/>
        <w:rPr>
          <w:sz w:val="20"/>
          <w:szCs w:val="20"/>
          <w:color w:val="auto"/>
        </w:rPr>
      </w:pPr>
    </w:p>
    <w:p>
      <w:pPr>
        <w:jc w:val="both"/>
        <w:ind w:right="160" w:firstLine="674"/>
        <w:spacing w:after="0" w:line="364" w:lineRule="auto"/>
        <w:rPr>
          <w:sz w:val="20"/>
          <w:szCs w:val="20"/>
          <w:color w:val="auto"/>
        </w:rPr>
      </w:pPr>
      <w:r>
        <w:rPr>
          <w:rFonts w:ascii="Arial" w:cs="Arial" w:eastAsia="Arial" w:hAnsi="Arial"/>
          <w:sz w:val="9"/>
          <w:szCs w:val="9"/>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expose ourselves to risks if we engage in hedging transactions.</w:t>
      </w:r>
    </w:p>
    <w:p>
      <w:pPr>
        <w:spacing w:after="0" w:line="105" w:lineRule="exact"/>
        <w:rPr>
          <w:sz w:val="20"/>
          <w:szCs w:val="20"/>
          <w:color w:val="auto"/>
        </w:rPr>
      </w:pPr>
    </w:p>
    <w:p>
      <w:pPr>
        <w:ind w:right="40" w:firstLine="674"/>
        <w:spacing w:after="0" w:line="264" w:lineRule="auto"/>
        <w:rPr>
          <w:sz w:val="20"/>
          <w:szCs w:val="20"/>
          <w:color w:val="auto"/>
        </w:rPr>
      </w:pPr>
      <w:r>
        <w:rPr>
          <w:rFonts w:ascii="Arial" w:cs="Arial" w:eastAsia="Arial" w:hAnsi="Arial"/>
          <w:sz w:val="11"/>
          <w:szCs w:val="11"/>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3" w:lineRule="exact"/>
        <w:rPr>
          <w:sz w:val="20"/>
          <w:szCs w:val="20"/>
          <w:color w:val="auto"/>
        </w:rPr>
      </w:pPr>
    </w:p>
    <w:p>
      <w:pPr>
        <w:ind w:firstLine="674"/>
        <w:spacing w:after="0" w:line="338" w:lineRule="auto"/>
        <w:rPr>
          <w:sz w:val="20"/>
          <w:szCs w:val="20"/>
          <w:color w:val="auto"/>
        </w:rPr>
      </w:pPr>
      <w:r>
        <w:rPr>
          <w:rFonts w:ascii="Arial" w:cs="Arial" w:eastAsia="Arial" w:hAnsi="Arial"/>
          <w:sz w:val="9"/>
          <w:szCs w:val="9"/>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Any investments in distressed debt may not produce income and may require us to bear large expenses in order to protect and recover our investment.</w:t>
      </w:r>
    </w:p>
    <w:p>
      <w:pPr>
        <w:spacing w:after="0" w:line="105" w:lineRule="exact"/>
        <w:rPr>
          <w:sz w:val="20"/>
          <w:szCs w:val="20"/>
          <w:color w:val="auto"/>
        </w:rPr>
      </w:pPr>
    </w:p>
    <w:p>
      <w:pPr>
        <w:ind w:right="120" w:firstLine="674"/>
        <w:spacing w:after="0" w:line="337" w:lineRule="auto"/>
        <w:rPr>
          <w:sz w:val="20"/>
          <w:szCs w:val="20"/>
          <w:color w:val="auto"/>
        </w:rPr>
      </w:pPr>
      <w:r>
        <w:rPr>
          <w:rFonts w:ascii="Arial" w:cs="Arial" w:eastAsia="Arial" w:hAnsi="Arial"/>
          <w:sz w:val="9"/>
          <w:szCs w:val="9"/>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AN INVESTMENT IN OUR COMMON STOCK</w:t>
      </w:r>
    </w:p>
    <w:p>
      <w:pPr>
        <w:spacing w:after="0" w:line="107" w:lineRule="exact"/>
        <w:rPr>
          <w:sz w:val="20"/>
          <w:szCs w:val="20"/>
          <w:color w:val="auto"/>
        </w:rPr>
      </w:pPr>
    </w:p>
    <w:p>
      <w:pPr>
        <w:ind w:right="80" w:firstLine="112"/>
        <w:spacing w:after="0" w:line="416" w:lineRule="auto"/>
        <w:rPr>
          <w:sz w:val="20"/>
          <w:szCs w:val="20"/>
          <w:color w:val="auto"/>
        </w:rPr>
      </w:pPr>
      <w:r>
        <w:rPr>
          <w:rFonts w:ascii="Arial" w:cs="Arial" w:eastAsia="Arial" w:hAnsi="Arial"/>
          <w:sz w:val="9"/>
          <w:szCs w:val="9"/>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19" w:lineRule="exact"/>
        <w:rPr>
          <w:sz w:val="20"/>
          <w:szCs w:val="20"/>
          <w:color w:val="auto"/>
        </w:rPr>
      </w:pPr>
    </w:p>
    <w:p>
      <w:pPr>
        <w:ind w:right="340" w:firstLine="674"/>
        <w:spacing w:after="0" w:line="416" w:lineRule="auto"/>
        <w:rPr>
          <w:sz w:val="20"/>
          <w:szCs w:val="20"/>
          <w:color w:val="auto"/>
        </w:rPr>
      </w:pPr>
      <w:r>
        <w:rPr>
          <w:rFonts w:ascii="Arial" w:cs="Arial" w:eastAsia="Arial" w:hAnsi="Arial"/>
          <w:sz w:val="9"/>
          <w:szCs w:val="9"/>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9"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There is a risk that our stockholders may not receive distributions or that our distributions may not grow over time.</w:t>
      </w:r>
    </w:p>
    <w:p>
      <w:pPr>
        <w:spacing w:after="0" w:line="105"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Investing in our shares may involve an above average degree of risk.</w:t>
      </w:r>
    </w:p>
    <w:p>
      <w:pPr>
        <w:spacing w:after="0" w:line="105"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allocate the net proceeds from an offering of securities in ways with which you may not agree.</w:t>
      </w:r>
    </w:p>
    <w:p>
      <w:pPr>
        <w:spacing w:after="0" w:line="105"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Our shares may trade at discounts from NAV or at premiums that are unsustainable over the long term.</w:t>
      </w:r>
    </w:p>
    <w:p>
      <w:pPr>
        <w:spacing w:after="0" w:line="105" w:lineRule="exact"/>
        <w:rPr>
          <w:sz w:val="20"/>
          <w:szCs w:val="20"/>
          <w:color w:val="auto"/>
        </w:rPr>
      </w:pPr>
    </w:p>
    <w:p>
      <w:pPr>
        <w:jc w:val="both"/>
        <w:ind w:right="80" w:firstLine="674"/>
        <w:spacing w:after="0" w:line="364" w:lineRule="auto"/>
        <w:rPr>
          <w:sz w:val="20"/>
          <w:szCs w:val="20"/>
          <w:color w:val="auto"/>
        </w:rPr>
      </w:pPr>
      <w:r>
        <w:rPr>
          <w:rFonts w:ascii="Arial" w:cs="Arial" w:eastAsia="Arial" w:hAnsi="Arial"/>
          <w:sz w:val="9"/>
          <w:szCs w:val="9"/>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market price of our common stock may fluctuate significantly.</w:t>
      </w:r>
    </w:p>
    <w:p>
      <w:pPr>
        <w:spacing w:after="0" w:line="105" w:lineRule="exact"/>
        <w:rPr>
          <w:sz w:val="20"/>
          <w:szCs w:val="20"/>
          <w:color w:val="auto"/>
        </w:rPr>
      </w:pPr>
    </w:p>
    <w:p>
      <w:pPr>
        <w:ind w:right="480" w:firstLine="674"/>
        <w:spacing w:after="0" w:line="252" w:lineRule="auto"/>
        <w:rPr>
          <w:sz w:val="20"/>
          <w:szCs w:val="20"/>
          <w:color w:val="auto"/>
        </w:rPr>
      </w:pPr>
      <w:r>
        <w:rPr>
          <w:rFonts w:ascii="Arial" w:cs="Arial" w:eastAsia="Arial" w:hAnsi="Arial"/>
          <w:sz w:val="12"/>
          <w:szCs w:val="12"/>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ectPr>
          <w:pgSz w:w="11900" w:h="16838" w:orient="portrait"/>
          <w:cols w:equalWidth="0" w:num="1">
            <w:col w:w="11200"/>
          </w:cols>
          <w:pgMar w:left="320" w:top="459" w:right="379" w:bottom="1440" w:gutter="0" w:footer="0" w:header="0"/>
        </w:sectPr>
      </w:pP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color w:val="auto"/>
        </w:rPr>
        <w:t>significant volatility in the market price and trading volume of securities of BDCs or other companies in our sector, which are not necessarily related to the operating performance of these companies;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changes in regulatory policies or tax guidelines, particularly with respect to RICs, BDCs or SBICs;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any loss of our BDC or RIC status or any loss of our subsidiaries’ SBIC licenses;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changes in earnings or variations in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value of our portfolio of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any shortfall in revenue or net income or any increase in losses from levels expected by investors or securities analysts;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inability of our Investment Adviser to employ additional experienced investment professionals or the departure of any of the Investment Adviser’s key personnel;</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operating performance of companies comparable to us;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general economic trends and other external factors;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conversion features of subscription rights, warrants or convertible debt; and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loss of a major funding source.</w:t>
      </w:r>
    </w:p>
    <w:p>
      <w:pPr>
        <w:spacing w:after="0" w:line="185" w:lineRule="exact"/>
        <w:rPr>
          <w:sz w:val="20"/>
          <w:szCs w:val="20"/>
          <w:color w:val="auto"/>
        </w:rPr>
      </w:pPr>
    </w:p>
    <w:p>
      <w:pPr>
        <w:sectPr>
          <w:pgSz w:w="11900" w:h="16838" w:orient="portrait"/>
          <w:cols w:equalWidth="0" w:num="2">
            <w:col w:w="740" w:space="360"/>
            <w:col w:w="10100"/>
          </w:cols>
          <w:pgMar w:left="320" w:top="459" w:right="379" w:bottom="1440" w:gutter="0" w:footer="0" w:header="0"/>
          <w:type w:val="continuous"/>
        </w:sectPr>
      </w:pPr>
    </w:p>
    <w:p>
      <w:pPr>
        <w:ind w:right="60" w:firstLine="674"/>
        <w:spacing w:after="0" w:line="252" w:lineRule="auto"/>
        <w:rPr>
          <w:sz w:val="20"/>
          <w:szCs w:val="20"/>
          <w:color w:val="auto"/>
        </w:rPr>
      </w:pPr>
      <w:r>
        <w:rPr>
          <w:rFonts w:ascii="Arial" w:cs="Arial" w:eastAsia="Arial" w:hAnsi="Arial"/>
          <w:sz w:val="12"/>
          <w:szCs w:val="12"/>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may be unable to invest the net proceeds raised from offerings on acceptable terms, which would harm our financial condition and operating results.</w:t>
      </w:r>
    </w:p>
    <w:p>
      <w:pPr>
        <w:spacing w:after="0" w:line="105" w:lineRule="exact"/>
        <w:rPr>
          <w:sz w:val="20"/>
          <w:szCs w:val="20"/>
          <w:color w:val="auto"/>
        </w:rPr>
      </w:pPr>
    </w:p>
    <w:p>
      <w:pPr>
        <w:jc w:val="both"/>
        <w:ind w:firstLine="674"/>
        <w:spacing w:after="0" w:line="243"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SBA also limits an SBIC’s choices to invest idle funds to the following types of securities:</w:t>
      </w:r>
    </w:p>
    <w:p>
      <w:pPr>
        <w:sectPr>
          <w:pgSz w:w="11900" w:h="16838" w:orient="portrait"/>
          <w:cols w:equalWidth="0" w:num="1">
            <w:col w:w="11200"/>
          </w:cols>
          <w:pgMar w:left="320" w:top="459" w:right="379" w:bottom="1440" w:gutter="0" w:footer="0" w:header="0"/>
          <w:type w:val="continuous"/>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direct obligations of, or obligations guaranteed as to principal and interest by, the U.S. government, which mature within 15 months from the date of the investment;</w:t>
      </w:r>
    </w:p>
    <w:p>
      <w:pPr>
        <w:spacing w:after="0" w:line="200" w:lineRule="exact"/>
        <w:rPr>
          <w:sz w:val="20"/>
          <w:szCs w:val="20"/>
          <w:color w:val="auto"/>
        </w:rPr>
      </w:pPr>
    </w:p>
    <w:p>
      <w:pPr>
        <w:ind w:right="320"/>
        <w:spacing w:after="0" w:line="252" w:lineRule="auto"/>
        <w:rPr>
          <w:sz w:val="20"/>
          <w:szCs w:val="20"/>
          <w:color w:val="auto"/>
        </w:rPr>
      </w:pPr>
      <w:r>
        <w:rPr>
          <w:rFonts w:ascii="Arial" w:cs="Arial" w:eastAsia="Arial" w:hAnsi="Arial"/>
          <w:sz w:val="12"/>
          <w:szCs w:val="12"/>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certificates of deposit with a maturity of one year or less, issued by a federally insured institution; or</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a deposit account in a federally insured institution that is subject to a withdrawal restriction of one year or less.</w:t>
      </w:r>
    </w:p>
    <w:p>
      <w:pPr>
        <w:spacing w:after="0" w:line="185" w:lineRule="exact"/>
        <w:rPr>
          <w:sz w:val="20"/>
          <w:szCs w:val="20"/>
          <w:color w:val="auto"/>
        </w:rPr>
      </w:pPr>
    </w:p>
    <w:p>
      <w:pPr>
        <w:sectPr>
          <w:pgSz w:w="11900" w:h="16838" w:orient="portrait"/>
          <w:cols w:equalWidth="0" w:num="2">
            <w:col w:w="740" w:space="360"/>
            <w:col w:w="10100"/>
          </w:cols>
          <w:pgMar w:left="320" w:top="459" w:right="379" w:bottom="1440" w:gutter="0" w:footer="0" w:header="0"/>
          <w:type w:val="continuous"/>
        </w:sectPr>
      </w:pPr>
    </w:p>
    <w:p>
      <w:pPr>
        <w:ind w:left="120"/>
        <w:spacing w:after="0"/>
        <w:rPr>
          <w:sz w:val="20"/>
          <w:szCs w:val="20"/>
          <w:color w:val="auto"/>
        </w:rPr>
      </w:pPr>
      <w:r>
        <w:rPr>
          <w:rFonts w:ascii="Arial" w:cs="Arial" w:eastAsia="Arial" w:hAnsi="Arial"/>
          <w:sz w:val="12"/>
          <w:szCs w:val="12"/>
          <w:b w:val="1"/>
          <w:bCs w:val="1"/>
          <w:i w:val="1"/>
          <w:iCs w:val="1"/>
          <w:color w:val="auto"/>
        </w:rPr>
        <w:t>Sales of substantial amounts of our securities may have an adverse effect on the market price of our securities.</w:t>
      </w:r>
    </w:p>
    <w:p>
      <w:pPr>
        <w:spacing w:after="0" w:line="105" w:lineRule="exact"/>
        <w:rPr>
          <w:sz w:val="20"/>
          <w:szCs w:val="20"/>
          <w:color w:val="auto"/>
        </w:rPr>
      </w:pPr>
    </w:p>
    <w:p>
      <w:pPr>
        <w:ind w:right="120" w:firstLine="674"/>
        <w:spacing w:after="0" w:line="252" w:lineRule="auto"/>
        <w:rPr>
          <w:sz w:val="20"/>
          <w:szCs w:val="20"/>
          <w:color w:val="auto"/>
        </w:rPr>
      </w:pPr>
      <w:r>
        <w:rPr>
          <w:rFonts w:ascii="Arial" w:cs="Arial" w:eastAsia="Arial" w:hAnsi="Arial"/>
          <w:sz w:val="12"/>
          <w:szCs w:val="12"/>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200"/>
          </w:cols>
          <w:pgMar w:left="320" w:top="459" w:right="3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You may have current tax liabilities on distributions you reinvest in our common stock.</w:t>
      </w:r>
    </w:p>
    <w:p>
      <w:pPr>
        <w:spacing w:after="0" w:line="105" w:lineRule="exact"/>
        <w:rPr>
          <w:sz w:val="20"/>
          <w:szCs w:val="20"/>
          <w:color w:val="auto"/>
        </w:rPr>
      </w:pPr>
    </w:p>
    <w:p>
      <w:pPr>
        <w:ind w:right="20" w:firstLine="674"/>
        <w:spacing w:after="0" w:line="239" w:lineRule="auto"/>
        <w:rPr>
          <w:sz w:val="20"/>
          <w:szCs w:val="20"/>
          <w:color w:val="auto"/>
        </w:rPr>
      </w:pPr>
      <w:r>
        <w:rPr>
          <w:rFonts w:ascii="Arial" w:cs="Arial" w:eastAsia="Arial" w:hAnsi="Arial"/>
          <w:sz w:val="12"/>
          <w:szCs w:val="12"/>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distributions in which case they may be required to pay taxes in excess of the cash they receive.</w:t>
      </w:r>
    </w:p>
    <w:p>
      <w:pPr>
        <w:spacing w:after="0" w:line="105" w:lineRule="exact"/>
        <w:rPr>
          <w:sz w:val="20"/>
          <w:szCs w:val="20"/>
          <w:color w:val="auto"/>
        </w:rPr>
      </w:pPr>
    </w:p>
    <w:p>
      <w:pPr>
        <w:jc w:val="both"/>
        <w:ind w:right="20" w:firstLine="674"/>
        <w:spacing w:after="0" w:line="364" w:lineRule="auto"/>
        <w:rPr>
          <w:sz w:val="20"/>
          <w:szCs w:val="20"/>
          <w:color w:val="auto"/>
        </w:rPr>
      </w:pPr>
      <w:r>
        <w:rPr>
          <w:rFonts w:ascii="Arial" w:cs="Arial" w:eastAsia="Arial" w:hAnsi="Arial"/>
          <w:sz w:val="9"/>
          <w:szCs w:val="9"/>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We incur significant costs as a result of being a publicly traded company.</w:t>
      </w:r>
    </w:p>
    <w:p>
      <w:pPr>
        <w:spacing w:after="0" w:line="105" w:lineRule="exact"/>
        <w:rPr>
          <w:sz w:val="20"/>
          <w:szCs w:val="20"/>
          <w:color w:val="auto"/>
        </w:rPr>
      </w:pPr>
    </w:p>
    <w:p>
      <w:pPr>
        <w:ind w:right="160" w:firstLine="674"/>
        <w:spacing w:after="0" w:line="416" w:lineRule="auto"/>
        <w:rPr>
          <w:sz w:val="20"/>
          <w:szCs w:val="20"/>
          <w:color w:val="auto"/>
        </w:rPr>
      </w:pPr>
      <w:r>
        <w:rPr>
          <w:rFonts w:ascii="Arial" w:cs="Arial" w:eastAsia="Arial" w:hAnsi="Arial"/>
          <w:sz w:val="9"/>
          <w:szCs w:val="9"/>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 Oxley Act, and other rules implemented by the SEC and the listing standards of the NASDAQ Stock Market LLC and NYSE.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105" w:lineRule="exact"/>
        <w:rPr>
          <w:sz w:val="20"/>
          <w:szCs w:val="20"/>
          <w:color w:val="auto"/>
        </w:rPr>
      </w:pPr>
    </w:p>
    <w:p>
      <w:pPr>
        <w:ind w:right="360" w:firstLine="674"/>
        <w:spacing w:after="0" w:line="347" w:lineRule="auto"/>
        <w:rPr>
          <w:sz w:val="20"/>
          <w:szCs w:val="20"/>
          <w:color w:val="auto"/>
        </w:rPr>
      </w:pPr>
      <w:r>
        <w:rPr>
          <w:rFonts w:ascii="Arial" w:cs="Arial" w:eastAsia="Arial" w:hAnsi="Arial"/>
          <w:sz w:val="9"/>
          <w:szCs w:val="9"/>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50" w:lineRule="exact"/>
        <w:rPr>
          <w:sz w:val="20"/>
          <w:szCs w:val="20"/>
          <w:color w:val="auto"/>
        </w:rPr>
      </w:pPr>
    </w:p>
    <w:p>
      <w:pPr>
        <w:jc w:val="both"/>
        <w:ind w:right="20" w:firstLine="674"/>
        <w:spacing w:after="0" w:line="269" w:lineRule="auto"/>
        <w:rPr>
          <w:sz w:val="20"/>
          <w:szCs w:val="20"/>
          <w:color w:val="auto"/>
        </w:rPr>
      </w:pPr>
      <w:r>
        <w:rPr>
          <w:rFonts w:ascii="Arial" w:cs="Arial" w:eastAsia="Arial" w:hAnsi="Arial"/>
          <w:sz w:val="11"/>
          <w:szCs w:val="11"/>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These anti-takeover provisions may inhibit a change of control in circumstances that could give our stockholders the opportunity to realize a premium over the market price for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AN INVESTMENT IN OUR DEBT SECURITIES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2025 Notes are unsecured and therefore are effectively subordinated to any secured indebtedness we have currently incurred or may incur in the future.</w:t>
      </w:r>
    </w:p>
    <w:p>
      <w:pPr>
        <w:spacing w:after="0" w:line="105" w:lineRule="exact"/>
        <w:rPr>
          <w:sz w:val="20"/>
          <w:szCs w:val="20"/>
          <w:color w:val="auto"/>
        </w:rPr>
      </w:pPr>
    </w:p>
    <w:p>
      <w:pPr>
        <w:ind w:right="20" w:firstLine="674"/>
        <w:spacing w:after="0" w:line="238" w:lineRule="auto"/>
        <w:rPr>
          <w:sz w:val="20"/>
          <w:szCs w:val="20"/>
          <w:color w:val="auto"/>
        </w:rPr>
      </w:pPr>
      <w:r>
        <w:rPr>
          <w:rFonts w:ascii="Arial" w:cs="Arial" w:eastAsia="Arial" w:hAnsi="Arial"/>
          <w:sz w:val="12"/>
          <w:szCs w:val="12"/>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2025 Notes are structurally subordinated to the indebtedness and other liabilities of our subsidiaries.</w:t>
      </w:r>
    </w:p>
    <w:p>
      <w:pPr>
        <w:spacing w:after="0" w:line="105" w:lineRule="exact"/>
        <w:rPr>
          <w:sz w:val="20"/>
          <w:szCs w:val="20"/>
          <w:color w:val="auto"/>
        </w:rPr>
      </w:pPr>
    </w:p>
    <w:p>
      <w:pPr>
        <w:jc w:val="both"/>
        <w:ind w:right="20" w:firstLine="674"/>
        <w:spacing w:after="0" w:line="243" w:lineRule="auto"/>
        <w:rPr>
          <w:sz w:val="20"/>
          <w:szCs w:val="20"/>
          <w:color w:val="auto"/>
        </w:rPr>
      </w:pPr>
      <w:r>
        <w:rPr>
          <w:rFonts w:ascii="Arial" w:cs="Arial" w:eastAsia="Arial" w:hAnsi="Arial"/>
          <w:sz w:val="12"/>
          <w:szCs w:val="12"/>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94" w:lineRule="exact"/>
        <w:rPr>
          <w:sz w:val="20"/>
          <w:szCs w:val="20"/>
          <w:color w:val="auto"/>
        </w:rPr>
      </w:pPr>
    </w:p>
    <w:p>
      <w:pPr>
        <w:ind w:firstLine="674"/>
        <w:spacing w:after="0" w:line="238" w:lineRule="auto"/>
        <w:rPr>
          <w:sz w:val="20"/>
          <w:szCs w:val="20"/>
          <w:color w:val="auto"/>
        </w:rPr>
      </w:pPr>
      <w:r>
        <w:rPr>
          <w:rFonts w:ascii="Arial" w:cs="Arial" w:eastAsia="Arial" w:hAnsi="Arial"/>
          <w:sz w:val="12"/>
          <w:szCs w:val="12"/>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The indenture under which the 2025 Notes were issued contains limited protection for holders of the 2025 Notes.</w:t>
      </w:r>
    </w:p>
    <w:p>
      <w:pPr>
        <w:spacing w:after="0" w:line="105" w:lineRule="exact"/>
        <w:rPr>
          <w:sz w:val="20"/>
          <w:szCs w:val="20"/>
          <w:color w:val="auto"/>
        </w:rPr>
      </w:pPr>
    </w:p>
    <w:p>
      <w:pPr>
        <w:jc w:val="both"/>
        <w:ind w:firstLine="674"/>
        <w:spacing w:after="0" w:line="242" w:lineRule="auto"/>
        <w:rPr>
          <w:sz w:val="20"/>
          <w:szCs w:val="20"/>
          <w:color w:val="auto"/>
        </w:rPr>
      </w:pPr>
      <w:r>
        <w:rPr>
          <w:rFonts w:ascii="Arial" w:cs="Arial" w:eastAsia="Arial" w:hAnsi="Arial"/>
          <w:sz w:val="12"/>
          <w:szCs w:val="12"/>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109" w:lineRule="exact"/>
        <w:rPr>
          <w:sz w:val="20"/>
          <w:szCs w:val="20"/>
          <w:color w:val="auto"/>
        </w:rPr>
      </w:pPr>
    </w:p>
    <w:p>
      <w:pPr>
        <w:ind w:left="1100" w:hanging="431"/>
        <w:spacing w:after="0" w:line="211" w:lineRule="auto"/>
        <w:tabs>
          <w:tab w:leader="none" w:pos="1100" w:val="left"/>
        </w:tabs>
        <w:numPr>
          <w:ilvl w:val="0"/>
          <w:numId w:val="24"/>
        </w:numPr>
        <w:rPr>
          <w:rFonts w:ascii="Arial" w:cs="Arial" w:eastAsia="Arial" w:hAnsi="Arial"/>
          <w:sz w:val="28"/>
          <w:szCs w:val="28"/>
          <w:color w:val="auto"/>
          <w:vertAlign w:val="subscript"/>
        </w:rPr>
      </w:pPr>
      <w:r>
        <w:rPr>
          <w:rFonts w:ascii="Arial" w:cs="Arial" w:eastAsia="Arial" w:hAnsi="Arial"/>
          <w:sz w:val="10"/>
          <w:szCs w:val="10"/>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9"/>
          <w:szCs w:val="9"/>
          <w:color w:val="auto"/>
        </w:rPr>
        <w:t>pay distributions on, or purchase or redeem or make any payments in respect of, capital stock or other securities ranking junior in right of payment to the 2025 Notes;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sell assets (other than certain limited restrictions on our ability to consolidate, merge or sell all or substantially all of our assets);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enter into transactions with affiliates;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create liens (including liens on the shares of our subsidiaries) or enter into sale and leaseback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make investments; or</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create restrictions on the payment of distributions or other amounts to us from our subsidiaries.</w:t>
      </w:r>
    </w:p>
    <w:p>
      <w:pPr>
        <w:spacing w:after="0" w:line="185" w:lineRule="exact"/>
        <w:rPr>
          <w:sz w:val="20"/>
          <w:szCs w:val="20"/>
          <w:color w:val="auto"/>
        </w:rPr>
      </w:pPr>
    </w:p>
    <w:p>
      <w:pPr>
        <w:sectPr>
          <w:pgSz w:w="11900" w:h="16838" w:orient="portrait"/>
          <w:cols w:equalWidth="0" w:num="2">
            <w:col w:w="740" w:space="360"/>
            <w:col w:w="10140"/>
          </w:cols>
          <w:pgMar w:left="320" w:top="459" w:right="33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In addition, the indenture does not require us to offer to purchase the 2025 Notes in connection with a change of control or any other event.</w:t>
      </w:r>
    </w:p>
    <w:p>
      <w:pPr>
        <w:spacing w:after="0" w:line="105" w:lineRule="exact"/>
        <w:rPr>
          <w:sz w:val="20"/>
          <w:szCs w:val="20"/>
          <w:color w:val="auto"/>
        </w:rPr>
      </w:pPr>
    </w:p>
    <w:p>
      <w:pPr>
        <w:ind w:right="420" w:firstLine="674"/>
        <w:spacing w:after="0" w:line="416" w:lineRule="auto"/>
        <w:rPr>
          <w:sz w:val="20"/>
          <w:szCs w:val="20"/>
          <w:color w:val="auto"/>
        </w:rPr>
      </w:pPr>
      <w:r>
        <w:rPr>
          <w:rFonts w:ascii="Arial" w:cs="Arial" w:eastAsia="Arial" w:hAnsi="Arial"/>
          <w:sz w:val="9"/>
          <w:szCs w:val="9"/>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9" w:lineRule="exact"/>
        <w:rPr>
          <w:sz w:val="20"/>
          <w:szCs w:val="20"/>
          <w:color w:val="auto"/>
        </w:rPr>
      </w:pPr>
    </w:p>
    <w:p>
      <w:pPr>
        <w:ind w:right="260" w:firstLine="674"/>
        <w:spacing w:after="0" w:line="252" w:lineRule="auto"/>
        <w:rPr>
          <w:sz w:val="20"/>
          <w:szCs w:val="20"/>
          <w:color w:val="auto"/>
        </w:rPr>
      </w:pPr>
      <w:r>
        <w:rPr>
          <w:rFonts w:ascii="Arial" w:cs="Arial" w:eastAsia="Arial" w:hAnsi="Arial"/>
          <w:sz w:val="12"/>
          <w:szCs w:val="12"/>
          <w:color w:val="auto"/>
        </w:rPr>
        <w:t>Our ability to recapitalize, incur additional debt and take a number of other actions that are not limited by the terms of the 2025 Notes may have important consequences for a holder of the 2025 Notes, including making it more difficult for us to satisfy our obligations with respect to the 2025 Notes or negatively affecting the trading value of the 2025 Notes.</w:t>
      </w:r>
    </w:p>
    <w:p>
      <w:pPr>
        <w:spacing w:after="0" w:line="88" w:lineRule="exact"/>
        <w:rPr>
          <w:sz w:val="20"/>
          <w:szCs w:val="20"/>
          <w:color w:val="auto"/>
        </w:rPr>
      </w:pPr>
    </w:p>
    <w:p>
      <w:pPr>
        <w:ind w:right="40" w:firstLine="674"/>
        <w:spacing w:after="0" w:line="416" w:lineRule="auto"/>
        <w:rPr>
          <w:sz w:val="20"/>
          <w:szCs w:val="20"/>
          <w:color w:val="auto"/>
        </w:rPr>
      </w:pPr>
      <w:r>
        <w:rPr>
          <w:rFonts w:ascii="Arial" w:cs="Arial" w:eastAsia="Arial" w:hAnsi="Arial"/>
          <w:sz w:val="9"/>
          <w:szCs w:val="9"/>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19" w:lineRule="exact"/>
        <w:rPr>
          <w:sz w:val="20"/>
          <w:szCs w:val="20"/>
          <w:color w:val="auto"/>
        </w:rPr>
      </w:pPr>
    </w:p>
    <w:p>
      <w:pPr>
        <w:ind w:right="100" w:firstLine="112"/>
        <w:spacing w:after="0" w:line="252" w:lineRule="auto"/>
        <w:rPr>
          <w:sz w:val="20"/>
          <w:szCs w:val="20"/>
          <w:color w:val="auto"/>
        </w:rPr>
      </w:pPr>
      <w:r>
        <w:rPr>
          <w:rFonts w:ascii="Arial" w:cs="Arial" w:eastAsia="Arial" w:hAnsi="Arial"/>
          <w:sz w:val="12"/>
          <w:szCs w:val="12"/>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88"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FATCA withholding may apply to payments to certain foreign entities.</w:t>
      </w:r>
    </w:p>
    <w:p>
      <w:pPr>
        <w:spacing w:after="0" w:line="105" w:lineRule="exact"/>
        <w:rPr>
          <w:sz w:val="20"/>
          <w:szCs w:val="20"/>
          <w:color w:val="auto"/>
        </w:rPr>
      </w:pPr>
    </w:p>
    <w:p>
      <w:pPr>
        <w:ind w:right="100" w:firstLine="674"/>
        <w:spacing w:after="0"/>
        <w:rPr>
          <w:sz w:val="20"/>
          <w:szCs w:val="20"/>
          <w:color w:val="auto"/>
        </w:rPr>
      </w:pPr>
      <w:r>
        <w:rPr>
          <w:rFonts w:ascii="Arial" w:cs="Arial" w:eastAsia="Arial" w:hAnsi="Arial"/>
          <w:sz w:val="12"/>
          <w:szCs w:val="12"/>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240"/>
          </w:cols>
          <w:pgMar w:left="320" w:top="459"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9"/>
          <w:szCs w:val="9"/>
          <w:b w:val="1"/>
          <w:bCs w:val="1"/>
          <w:color w:val="auto"/>
        </w:rPr>
        <w:t>Unresolved Staff Comments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None.</w:t>
      </w:r>
    </w:p>
    <w:p>
      <w:pPr>
        <w:spacing w:after="0" w:line="238"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9"/>
          <w:szCs w:val="9"/>
          <w:b w:val="1"/>
          <w:bCs w:val="1"/>
          <w:color w:val="auto"/>
        </w:rPr>
        <w:t>Properties</w:t>
      </w:r>
    </w:p>
    <w:p>
      <w:pPr>
        <w:spacing w:after="0" w:line="107" w:lineRule="exact"/>
        <w:rPr>
          <w:sz w:val="20"/>
          <w:szCs w:val="20"/>
          <w:color w:val="auto"/>
        </w:rPr>
      </w:pPr>
    </w:p>
    <w:p>
      <w:pPr>
        <w:ind w:right="200" w:firstLine="674"/>
        <w:spacing w:after="0" w:line="252" w:lineRule="auto"/>
        <w:rPr>
          <w:sz w:val="20"/>
          <w:szCs w:val="20"/>
          <w:color w:val="auto"/>
        </w:rPr>
      </w:pPr>
      <w:r>
        <w:rPr>
          <w:rFonts w:ascii="Arial" w:cs="Arial" w:eastAsia="Arial" w:hAnsi="Arial"/>
          <w:sz w:val="12"/>
          <w:szCs w:val="12"/>
          <w:color w:val="auto"/>
        </w:rPr>
        <w:t>As of September 30, 2013,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9"/>
          <w:szCs w:val="9"/>
          <w:b w:val="1"/>
          <w:bCs w:val="1"/>
          <w:color w:val="auto"/>
        </w:rPr>
        <w:t>Legal Proceedings</w:t>
      </w:r>
    </w:p>
    <w:p>
      <w:pPr>
        <w:spacing w:after="0" w:line="107" w:lineRule="exact"/>
        <w:rPr>
          <w:sz w:val="20"/>
          <w:szCs w:val="20"/>
          <w:color w:val="auto"/>
        </w:rPr>
      </w:pPr>
    </w:p>
    <w:p>
      <w:pPr>
        <w:ind w:firstLine="674"/>
        <w:spacing w:after="0" w:line="364" w:lineRule="auto"/>
        <w:rPr>
          <w:sz w:val="20"/>
          <w:szCs w:val="20"/>
          <w:color w:val="auto"/>
        </w:rPr>
      </w:pPr>
      <w:r>
        <w:rPr>
          <w:rFonts w:ascii="Arial" w:cs="Arial" w:eastAsia="Arial" w:hAnsi="Arial"/>
          <w:sz w:val="9"/>
          <w:szCs w:val="9"/>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5"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9"/>
          <w:szCs w:val="9"/>
          <w:b w:val="1"/>
          <w:bCs w:val="1"/>
          <w:color w:val="auto"/>
        </w:rPr>
        <w:t>Mine Safety Disclosures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w:t>
      </w:r>
    </w:p>
    <w:p>
      <w:pPr>
        <w:spacing w:after="0" w:line="240"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9"/>
          <w:szCs w:val="9"/>
          <w:b w:val="1"/>
          <w:bCs w:val="1"/>
          <w:color w:val="auto"/>
        </w:rPr>
        <w:t>Market for Registrant’s Common Equity, Related Stockholder Matters and Issuer Purchases of Equity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PRICE RANGE OF COMMON STOCK</w:t>
      </w:r>
    </w:p>
    <w:p>
      <w:pPr>
        <w:spacing w:after="0" w:line="107" w:lineRule="exact"/>
        <w:rPr>
          <w:sz w:val="20"/>
          <w:szCs w:val="20"/>
          <w:color w:val="auto"/>
        </w:rPr>
      </w:pPr>
    </w:p>
    <w:p>
      <w:pPr>
        <w:ind w:right="320" w:firstLine="674"/>
        <w:spacing w:after="0" w:line="252" w:lineRule="auto"/>
        <w:rPr>
          <w:sz w:val="20"/>
          <w:szCs w:val="20"/>
          <w:color w:val="auto"/>
        </w:rPr>
      </w:pPr>
      <w:r>
        <w:rPr>
          <w:rFonts w:ascii="Arial" w:cs="Arial" w:eastAsia="Arial" w:hAnsi="Arial"/>
          <w:sz w:val="12"/>
          <w:szCs w:val="12"/>
          <w:color w:val="auto"/>
        </w:rPr>
        <w:t>Our common stock is traded on the NASDAQ Global Select Market under the symbol “PNNT.” The following table lists the high and low closing sale price for our common stock, the closing sale price as a premium or (discount) to our NAV per share and quarterly distributions per share since October 1, 2011.</w:t>
      </w:r>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Period</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Fiscal Year Ended September 30, 2013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Fourth quarter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Third quarter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Second quarter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First quarter</w:t>
      </w:r>
    </w:p>
    <w:p>
      <w:pPr>
        <w:spacing w:after="0" w:line="1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Fiscal Year Ended September 30, 2012</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Fourth quarter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Third quarter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Second quarter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2211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Closing Sales Price</w:t>
            </w: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Premium / (Discount)</w:t>
            </w:r>
          </w:p>
        </w:tc>
        <w:tc>
          <w:tcPr>
            <w:tcW w:w="1560" w:type="dxa"/>
            <w:vAlign w:val="bottom"/>
            <w:gridSpan w:val="3"/>
            <w:vMerge w:val="restart"/>
          </w:tcPr>
          <w:p>
            <w:pPr>
              <w:jc w:val="right"/>
              <w:ind w:right="360"/>
              <w:spacing w:after="0"/>
              <w:rPr>
                <w:sz w:val="20"/>
                <w:szCs w:val="20"/>
                <w:color w:val="auto"/>
              </w:rPr>
            </w:pPr>
            <w:r>
              <w:rPr>
                <w:rFonts w:ascii="Arial" w:cs="Arial" w:eastAsia="Arial" w:hAnsi="Arial"/>
                <w:sz w:val="12"/>
                <w:szCs w:val="12"/>
                <w:b w:val="1"/>
                <w:bCs w:val="1"/>
                <w:color w:val="auto"/>
              </w:rPr>
              <w:t>Premium/(Discount)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89"/>
              </w:rPr>
              <w:t>of High Sales</w:t>
            </w:r>
          </w:p>
        </w:tc>
        <w:tc>
          <w:tcPr>
            <w:tcW w:w="320" w:type="dxa"/>
            <w:vAlign w:val="bottom"/>
          </w:tcPr>
          <w:p>
            <w:pPr>
              <w:spacing w:after="0"/>
              <w:rPr>
                <w:sz w:val="12"/>
                <w:szCs w:val="12"/>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w w:val="89"/>
              </w:rPr>
              <w:t>of Low Sales</w:t>
            </w: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Distributions</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80" w:type="dxa"/>
            <w:vAlign w:val="bottom"/>
            <w:gridSpan w:val="2"/>
          </w:tcPr>
          <w:p>
            <w:pPr>
              <w:jc w:val="right"/>
              <w:ind w:right="500"/>
              <w:spacing w:after="0" w:line="115" w:lineRule="exact"/>
              <w:rPr>
                <w:sz w:val="20"/>
                <w:szCs w:val="20"/>
                <w:color w:val="auto"/>
              </w:rPr>
            </w:pPr>
            <w:r>
              <w:rPr>
                <w:rFonts w:ascii="Arial" w:cs="Arial" w:eastAsia="Arial" w:hAnsi="Arial"/>
                <w:sz w:val="12"/>
                <w:szCs w:val="12"/>
                <w:b w:val="1"/>
                <w:bCs w:val="1"/>
                <w:color w:val="auto"/>
                <w:w w:val="98"/>
              </w:rPr>
              <w:t>NAV</w:t>
            </w:r>
            <w:r>
              <w:rPr>
                <w:rFonts w:ascii="Arial" w:cs="Arial" w:eastAsia="Arial" w:hAnsi="Arial"/>
                <w:sz w:val="9"/>
                <w:szCs w:val="9"/>
                <w:b w:val="1"/>
                <w:bCs w:val="1"/>
                <w:color w:val="auto"/>
                <w:w w:val="98"/>
              </w:rPr>
              <w:t>(1)</w:t>
            </w:r>
          </w:p>
        </w:tc>
        <w:tc>
          <w:tcPr>
            <w:tcW w:w="660" w:type="dxa"/>
            <w:vAlign w:val="bottom"/>
            <w:gridSpan w:val="2"/>
          </w:tcPr>
          <w:p>
            <w:pPr>
              <w:ind w:left="100"/>
              <w:spacing w:after="0" w:line="115" w:lineRule="exact"/>
              <w:rPr>
                <w:sz w:val="20"/>
                <w:szCs w:val="20"/>
                <w:color w:val="auto"/>
              </w:rPr>
            </w:pPr>
            <w:r>
              <w:rPr>
                <w:rFonts w:ascii="Arial" w:cs="Arial" w:eastAsia="Arial" w:hAnsi="Arial"/>
                <w:sz w:val="12"/>
                <w:szCs w:val="12"/>
                <w:b w:val="1"/>
                <w:bCs w:val="1"/>
                <w:color w:val="auto"/>
              </w:rPr>
              <w:t>High</w:t>
            </w:r>
          </w:p>
        </w:tc>
        <w:tc>
          <w:tcPr>
            <w:tcW w:w="220" w:type="dxa"/>
            <w:vAlign w:val="bottom"/>
          </w:tcPr>
          <w:p>
            <w:pPr>
              <w:spacing w:after="0"/>
              <w:rPr>
                <w:sz w:val="11"/>
                <w:szCs w:val="11"/>
                <w:color w:val="auto"/>
              </w:rPr>
            </w:pPr>
          </w:p>
        </w:tc>
        <w:tc>
          <w:tcPr>
            <w:tcW w:w="64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rPr>
              <w:t>Low</w:t>
            </w:r>
          </w:p>
        </w:tc>
        <w:tc>
          <w:tcPr>
            <w:tcW w:w="1440" w:type="dxa"/>
            <w:vAlign w:val="bottom"/>
            <w:gridSpan w:val="3"/>
          </w:tcPr>
          <w:p>
            <w:pPr>
              <w:jc w:val="right"/>
              <w:ind w:right="300"/>
              <w:spacing w:after="0" w:line="115" w:lineRule="exact"/>
              <w:rPr>
                <w:sz w:val="20"/>
                <w:szCs w:val="20"/>
                <w:color w:val="auto"/>
              </w:rPr>
            </w:pPr>
            <w:r>
              <w:rPr>
                <w:rFonts w:ascii="Arial" w:cs="Arial" w:eastAsia="Arial" w:hAnsi="Arial"/>
                <w:sz w:val="12"/>
                <w:szCs w:val="12"/>
                <w:b w:val="1"/>
                <w:bCs w:val="1"/>
                <w:color w:val="auto"/>
              </w:rPr>
              <w:t>Price to NAV</w:t>
            </w:r>
            <w:r>
              <w:rPr>
                <w:rFonts w:ascii="Arial" w:cs="Arial" w:eastAsia="Arial" w:hAnsi="Arial"/>
                <w:sz w:val="9"/>
                <w:szCs w:val="9"/>
                <w:b w:val="1"/>
                <w:bCs w:val="1"/>
                <w:color w:val="auto"/>
              </w:rPr>
              <w:t>(2)</w:t>
            </w:r>
          </w:p>
        </w:tc>
        <w:tc>
          <w:tcPr>
            <w:tcW w:w="1560" w:type="dxa"/>
            <w:vAlign w:val="bottom"/>
            <w:gridSpan w:val="3"/>
          </w:tcPr>
          <w:p>
            <w:pPr>
              <w:jc w:val="right"/>
              <w:ind w:right="440"/>
              <w:spacing w:after="0" w:line="115" w:lineRule="exact"/>
              <w:rPr>
                <w:sz w:val="20"/>
                <w:szCs w:val="20"/>
                <w:color w:val="auto"/>
              </w:rPr>
            </w:pPr>
            <w:r>
              <w:rPr>
                <w:rFonts w:ascii="Arial" w:cs="Arial" w:eastAsia="Arial" w:hAnsi="Arial"/>
                <w:sz w:val="12"/>
                <w:szCs w:val="12"/>
                <w:b w:val="1"/>
                <w:bCs w:val="1"/>
                <w:color w:val="auto"/>
              </w:rPr>
              <w:t>Price to NAV</w:t>
            </w: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600" w:type="dxa"/>
            <w:vAlign w:val="bottom"/>
          </w:tcPr>
          <w:p>
            <w:pPr>
              <w:jc w:val="right"/>
              <w:ind w:right="62"/>
              <w:spacing w:after="0" w:line="115" w:lineRule="exact"/>
              <w:rPr>
                <w:sz w:val="20"/>
                <w:szCs w:val="20"/>
                <w:color w:val="auto"/>
              </w:rPr>
            </w:pPr>
            <w:r>
              <w:rPr>
                <w:rFonts w:ascii="Arial" w:cs="Arial" w:eastAsia="Arial" w:hAnsi="Arial"/>
                <w:sz w:val="12"/>
                <w:szCs w:val="12"/>
                <w:b w:val="1"/>
                <w:bCs w:val="1"/>
                <w:color w:val="auto"/>
                <w:w w:val="90"/>
              </w:rPr>
              <w:t>Declared</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10.49</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w w:val="96"/>
              </w:rPr>
              <w:t>$  11.83</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   10.97</w:t>
            </w:r>
          </w:p>
        </w:tc>
        <w:tc>
          <w:tcPr>
            <w:tcW w:w="1440" w:type="dxa"/>
            <w:vAlign w:val="bottom"/>
            <w:gridSpan w:val="3"/>
          </w:tcPr>
          <w:p>
            <w:pPr>
              <w:jc w:val="right"/>
              <w:ind w:right="180"/>
              <w:spacing w:after="0"/>
              <w:rPr>
                <w:sz w:val="20"/>
                <w:szCs w:val="20"/>
                <w:color w:val="auto"/>
              </w:rPr>
            </w:pPr>
            <w:r>
              <w:rPr>
                <w:rFonts w:ascii="Arial" w:cs="Arial" w:eastAsia="Arial" w:hAnsi="Arial"/>
                <w:sz w:val="12"/>
                <w:szCs w:val="12"/>
                <w:color w:val="auto"/>
              </w:rPr>
              <w:t>13%</w:t>
            </w:r>
          </w:p>
        </w:tc>
        <w:tc>
          <w:tcPr>
            <w:tcW w:w="1560" w:type="dxa"/>
            <w:vAlign w:val="bottom"/>
            <w:gridSpan w:val="3"/>
          </w:tcPr>
          <w:p>
            <w:pPr>
              <w:jc w:val="right"/>
              <w:ind w:right="360"/>
              <w:spacing w:after="0"/>
              <w:rPr>
                <w:sz w:val="20"/>
                <w:szCs w:val="20"/>
                <w:color w:val="auto"/>
              </w:rPr>
            </w:pPr>
            <w:r>
              <w:rPr>
                <w:rFonts w:ascii="Arial" w:cs="Arial" w:eastAsia="Arial" w:hAnsi="Arial"/>
                <w:sz w:val="12"/>
                <w:szCs w:val="12"/>
                <w:color w:val="auto"/>
              </w:rPr>
              <w:t>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10.43</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11.83</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10.45</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13</w:t>
            </w:r>
          </w:p>
        </w:tc>
        <w:tc>
          <w:tcPr>
            <w:tcW w:w="1560" w:type="dxa"/>
            <w:vAlign w:val="bottom"/>
            <w:gridSpan w:val="3"/>
          </w:tcPr>
          <w:p>
            <w:pPr>
              <w:jc w:val="right"/>
              <w:ind w:right="440"/>
              <w:spacing w:after="0"/>
              <w:rPr>
                <w:sz w:val="20"/>
                <w:szCs w:val="20"/>
                <w:color w:val="auto"/>
              </w:rPr>
            </w:pPr>
            <w:r>
              <w:rPr>
                <w:rFonts w:ascii="Arial" w:cs="Arial" w:eastAsia="Arial" w:hAnsi="Arial"/>
                <w:sz w:val="12"/>
                <w:szCs w:val="12"/>
                <w:color w:val="auto"/>
              </w:rPr>
              <w:t>0</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10.50</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12.18</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11.01</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16</w:t>
            </w:r>
          </w:p>
        </w:tc>
        <w:tc>
          <w:tcPr>
            <w:tcW w:w="1560" w:type="dxa"/>
            <w:vAlign w:val="bottom"/>
            <w:gridSpan w:val="3"/>
          </w:tcPr>
          <w:p>
            <w:pPr>
              <w:jc w:val="right"/>
              <w:ind w:right="44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10.38</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11.10</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10.07</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7</w:t>
            </w:r>
          </w:p>
        </w:tc>
        <w:tc>
          <w:tcPr>
            <w:tcW w:w="1560" w:type="dxa"/>
            <w:vAlign w:val="bottom"/>
            <w:gridSpan w:val="3"/>
          </w:tcPr>
          <w:p>
            <w:pPr>
              <w:jc w:val="right"/>
              <w:ind w:right="4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10.22</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11.44</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10.36</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12</w:t>
            </w:r>
          </w:p>
        </w:tc>
        <w:tc>
          <w:tcPr>
            <w:tcW w:w="1560" w:type="dxa"/>
            <w:vAlign w:val="bottom"/>
            <w:gridSpan w:val="3"/>
          </w:tcPr>
          <w:p>
            <w:pPr>
              <w:jc w:val="right"/>
              <w:ind w:right="4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10.16</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10.70</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9.27</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5</w:t>
            </w:r>
          </w:p>
        </w:tc>
        <w:tc>
          <w:tcPr>
            <w:tcW w:w="1560" w:type="dxa"/>
            <w:vAlign w:val="bottom"/>
            <w:gridSpan w:val="3"/>
          </w:tcPr>
          <w:p>
            <w:pPr>
              <w:jc w:val="right"/>
              <w:ind w:right="42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10.38</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11.23</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10.31</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8</w:t>
            </w:r>
          </w:p>
        </w:tc>
        <w:tc>
          <w:tcPr>
            <w:tcW w:w="1560" w:type="dxa"/>
            <w:vAlign w:val="bottom"/>
            <w:gridSpan w:val="3"/>
          </w:tcPr>
          <w:p>
            <w:pPr>
              <w:jc w:val="right"/>
              <w:ind w:right="4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10.19</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11.02</w:t>
            </w:r>
          </w:p>
        </w:tc>
        <w:tc>
          <w:tcPr>
            <w:tcW w:w="860" w:type="dxa"/>
            <w:vAlign w:val="bottom"/>
            <w:gridSpan w:val="3"/>
          </w:tcPr>
          <w:p>
            <w:pPr>
              <w:jc w:val="right"/>
              <w:ind w:right="200"/>
              <w:spacing w:after="0"/>
              <w:rPr>
                <w:sz w:val="20"/>
                <w:szCs w:val="20"/>
                <w:color w:val="auto"/>
              </w:rPr>
            </w:pPr>
            <w:r>
              <w:rPr>
                <w:rFonts w:ascii="Arial" w:cs="Arial" w:eastAsia="Arial" w:hAnsi="Arial"/>
                <w:sz w:val="12"/>
                <w:szCs w:val="12"/>
                <w:color w:val="auto"/>
              </w:rPr>
              <w:t>8.57</w:t>
            </w:r>
          </w:p>
        </w:tc>
        <w:tc>
          <w:tcPr>
            <w:tcW w:w="1440" w:type="dxa"/>
            <w:vAlign w:val="bottom"/>
            <w:gridSpan w:val="3"/>
          </w:tcPr>
          <w:p>
            <w:pPr>
              <w:jc w:val="right"/>
              <w:ind w:right="280"/>
              <w:spacing w:after="0"/>
              <w:rPr>
                <w:sz w:val="20"/>
                <w:szCs w:val="20"/>
                <w:color w:val="auto"/>
              </w:rPr>
            </w:pPr>
            <w:r>
              <w:rPr>
                <w:rFonts w:ascii="Arial" w:cs="Arial" w:eastAsia="Arial" w:hAnsi="Arial"/>
                <w:sz w:val="12"/>
                <w:szCs w:val="12"/>
                <w:color w:val="auto"/>
              </w:rPr>
              <w:t>8</w:t>
            </w:r>
          </w:p>
        </w:tc>
        <w:tc>
          <w:tcPr>
            <w:tcW w:w="1560" w:type="dxa"/>
            <w:vAlign w:val="bottom"/>
            <w:gridSpan w:val="3"/>
          </w:tcPr>
          <w:p>
            <w:pPr>
              <w:jc w:val="right"/>
              <w:ind w:right="42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-758190</wp:posOffset>
            </wp:positionV>
            <wp:extent cx="6703695"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-569595</wp:posOffset>
            </wp:positionV>
            <wp:extent cx="6703695"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-381000</wp:posOffset>
            </wp:positionV>
            <wp:extent cx="6703695"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-192405</wp:posOffset>
            </wp:positionV>
            <wp:extent cx="6703695"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3695"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-946785</wp:posOffset>
            </wp:positionV>
            <wp:extent cx="670369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3695"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880"/>
          </w:cols>
          <w:pgMar w:left="320" w:top="459" w:right="379" w:bottom="1440" w:gutter="0" w:footer="0" w:header="0"/>
          <w:type w:val="continuous"/>
        </w:sectPr>
      </w:pPr>
    </w:p>
    <w:p>
      <w:pPr>
        <w:spacing w:after="0" w:line="97" w:lineRule="exact"/>
        <w:rPr>
          <w:sz w:val="20"/>
          <w:szCs w:val="20"/>
          <w:color w:val="auto"/>
        </w:rPr>
      </w:pPr>
    </w:p>
    <w:p>
      <w:pPr>
        <w:ind w:left="340" w:right="60" w:hanging="332"/>
        <w:spacing w:after="0" w:line="243" w:lineRule="auto"/>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Calculated as of the respective high or low closing sales price less NAV per share, divided by the quarter-end NAV per share.</w:t>
      </w:r>
    </w:p>
    <w:p>
      <w:pPr>
        <w:spacing w:after="0" w:line="95" w:lineRule="exact"/>
        <w:rPr>
          <w:sz w:val="20"/>
          <w:szCs w:val="20"/>
          <w:color w:val="auto"/>
        </w:rPr>
      </w:pPr>
    </w:p>
    <w:p>
      <w:pPr>
        <w:ind w:firstLine="674"/>
        <w:spacing w:after="0"/>
        <w:rPr>
          <w:sz w:val="20"/>
          <w:szCs w:val="20"/>
          <w:color w:val="auto"/>
        </w:rPr>
      </w:pPr>
      <w:r>
        <w:rPr>
          <w:rFonts w:ascii="Arial" w:cs="Arial" w:eastAsia="Arial" w:hAnsi="Arial"/>
          <w:sz w:val="12"/>
          <w:szCs w:val="12"/>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13, 2013, we had 12 stockholders of record.</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200"/>
          </w:cols>
          <w:pgMar w:left="320" w:top="459" w:right="3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DISTRIBUTIONS</w:t>
      </w:r>
    </w:p>
    <w:p>
      <w:pPr>
        <w:spacing w:after="0" w:line="107" w:lineRule="exact"/>
        <w:rPr>
          <w:sz w:val="20"/>
          <w:szCs w:val="20"/>
          <w:color w:val="auto"/>
        </w:rPr>
      </w:pPr>
    </w:p>
    <w:p>
      <w:pPr>
        <w:jc w:val="both"/>
        <w:ind w:firstLine="674"/>
        <w:spacing w:after="0"/>
        <w:rPr>
          <w:sz w:val="20"/>
          <w:szCs w:val="20"/>
          <w:color w:val="auto"/>
        </w:rPr>
      </w:pPr>
      <w:r>
        <w:rPr>
          <w:rFonts w:ascii="Arial" w:cs="Arial" w:eastAsia="Arial" w:hAnsi="Arial"/>
          <w:sz w:val="12"/>
          <w:szCs w:val="12"/>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distributions and returns of capital per share that we have declared on our common stock in the last two fiscal years (See Note 8 to our Consolidated Financial Statements):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6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Record Dates</w:t>
            </w:r>
          </w:p>
        </w:tc>
        <w:tc>
          <w:tcPr>
            <w:tcW w:w="2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Payment Dates</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w w:val="97"/>
              </w:rPr>
              <w:t>Distributions</w:t>
            </w:r>
          </w:p>
        </w:tc>
        <w:tc>
          <w:tcPr>
            <w:tcW w:w="0" w:type="dxa"/>
            <w:vAlign w:val="bottom"/>
          </w:tcPr>
          <w:p>
            <w:pPr>
              <w:spacing w:after="0"/>
              <w:rPr>
                <w:sz w:val="1"/>
                <w:szCs w:val="1"/>
                <w:color w:val="auto"/>
              </w:rPr>
            </w:pPr>
          </w:p>
        </w:tc>
      </w:tr>
      <w:tr>
        <w:trPr>
          <w:trHeight w:val="143"/>
        </w:trPr>
        <w:tc>
          <w:tcPr>
            <w:tcW w:w="690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28"/>
        </w:trPr>
        <w:tc>
          <w:tcPr>
            <w:tcW w:w="59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Fiscal year ended September 30, 2013</w:t>
            </w:r>
          </w:p>
        </w:tc>
        <w:tc>
          <w:tcPr>
            <w:tcW w:w="96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00" w:type="dxa"/>
            <w:vAlign w:val="bottom"/>
            <w:gridSpan w:val="2"/>
          </w:tcPr>
          <w:p>
            <w:pPr>
              <w:ind w:left="440"/>
              <w:spacing w:after="0"/>
              <w:rPr>
                <w:sz w:val="20"/>
                <w:szCs w:val="20"/>
                <w:color w:val="auto"/>
              </w:rPr>
            </w:pPr>
            <w:r>
              <w:rPr>
                <w:rFonts w:ascii="Arial" w:cs="Arial" w:eastAsia="Arial" w:hAnsi="Arial"/>
                <w:sz w:val="12"/>
                <w:szCs w:val="12"/>
                <w:color w:val="auto"/>
              </w:rPr>
              <w:t>September 20, 2013</w:t>
            </w:r>
          </w:p>
        </w:tc>
        <w:tc>
          <w:tcPr>
            <w:tcW w:w="2460" w:type="dxa"/>
            <w:vAlign w:val="bottom"/>
            <w:gridSpan w:val="2"/>
          </w:tcPr>
          <w:p>
            <w:pPr>
              <w:spacing w:after="0"/>
              <w:rPr>
                <w:sz w:val="20"/>
                <w:szCs w:val="20"/>
                <w:color w:val="auto"/>
              </w:rPr>
            </w:pPr>
            <w:r>
              <w:rPr>
                <w:rFonts w:ascii="Arial" w:cs="Arial" w:eastAsia="Arial" w:hAnsi="Arial"/>
                <w:sz w:val="12"/>
                <w:szCs w:val="12"/>
                <w:color w:val="auto"/>
              </w:rPr>
              <w:t>October 1, 2013</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June 21, 2013</w:t>
            </w:r>
          </w:p>
        </w:tc>
        <w:tc>
          <w:tcPr>
            <w:tcW w:w="2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1, 2013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tcPr>
          <w:p>
            <w:pPr>
              <w:ind w:left="440"/>
              <w:spacing w:after="0"/>
              <w:rPr>
                <w:sz w:val="20"/>
                <w:szCs w:val="20"/>
                <w:color w:val="auto"/>
              </w:rPr>
            </w:pPr>
            <w:r>
              <w:rPr>
                <w:rFonts w:ascii="Arial" w:cs="Arial" w:eastAsia="Arial" w:hAnsi="Arial"/>
                <w:sz w:val="12"/>
                <w:szCs w:val="12"/>
                <w:color w:val="auto"/>
              </w:rPr>
              <w:t>March 22, 2013</w:t>
            </w:r>
          </w:p>
        </w:tc>
        <w:tc>
          <w:tcPr>
            <w:tcW w:w="2460" w:type="dxa"/>
            <w:vAlign w:val="bottom"/>
            <w:gridSpan w:val="2"/>
          </w:tcPr>
          <w:p>
            <w:pPr>
              <w:spacing w:after="0"/>
              <w:rPr>
                <w:sz w:val="20"/>
                <w:szCs w:val="20"/>
                <w:color w:val="auto"/>
              </w:rPr>
            </w:pPr>
            <w:r>
              <w:rPr>
                <w:rFonts w:ascii="Arial" w:cs="Arial" w:eastAsia="Arial" w:hAnsi="Arial"/>
                <w:sz w:val="12"/>
                <w:szCs w:val="12"/>
                <w:color w:val="auto"/>
              </w:rPr>
              <w:t>April 1, 2013</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December 21, 2012</w:t>
            </w:r>
          </w:p>
        </w:tc>
        <w:tc>
          <w:tcPr>
            <w:tcW w:w="2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January 2, 2013</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00" w:type="dxa"/>
            <w:vAlign w:val="bottom"/>
            <w:gridSpan w:val="2"/>
          </w:tcPr>
          <w:p>
            <w:pPr>
              <w:ind w:left="440"/>
              <w:spacing w:after="0"/>
              <w:rPr>
                <w:sz w:val="20"/>
                <w:szCs w:val="20"/>
                <w:color w:val="auto"/>
              </w:rPr>
            </w:pPr>
            <w:r>
              <w:rPr>
                <w:rFonts w:ascii="Arial" w:cs="Arial" w:eastAsia="Arial" w:hAnsi="Arial"/>
                <w:sz w:val="12"/>
                <w:szCs w:val="12"/>
                <w:b w:val="1"/>
                <w:bCs w:val="1"/>
                <w:color w:val="auto"/>
              </w:rPr>
              <w:t>Total</w:t>
            </w:r>
          </w:p>
        </w:tc>
        <w:tc>
          <w:tcPr>
            <w:tcW w:w="1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year ended September 30, 2012</w:t>
            </w:r>
          </w:p>
        </w:tc>
        <w:tc>
          <w:tcPr>
            <w:tcW w:w="1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gridSpan w:val="2"/>
          </w:tcPr>
          <w:p>
            <w:pPr>
              <w:ind w:left="440"/>
              <w:spacing w:after="0"/>
              <w:rPr>
                <w:sz w:val="20"/>
                <w:szCs w:val="20"/>
                <w:color w:val="auto"/>
              </w:rPr>
            </w:pPr>
            <w:r>
              <w:rPr>
                <w:rFonts w:ascii="Arial" w:cs="Arial" w:eastAsia="Arial" w:hAnsi="Arial"/>
                <w:sz w:val="12"/>
                <w:szCs w:val="12"/>
                <w:color w:val="auto"/>
              </w:rPr>
              <w:t>September 20, 2012</w:t>
            </w:r>
          </w:p>
        </w:tc>
        <w:tc>
          <w:tcPr>
            <w:tcW w:w="2460" w:type="dxa"/>
            <w:vAlign w:val="bottom"/>
            <w:gridSpan w:val="2"/>
          </w:tcPr>
          <w:p>
            <w:pPr>
              <w:spacing w:after="0"/>
              <w:rPr>
                <w:sz w:val="20"/>
                <w:szCs w:val="20"/>
                <w:color w:val="auto"/>
              </w:rPr>
            </w:pPr>
            <w:r>
              <w:rPr>
                <w:rFonts w:ascii="Arial" w:cs="Arial" w:eastAsia="Arial" w:hAnsi="Arial"/>
                <w:sz w:val="12"/>
                <w:szCs w:val="12"/>
                <w:color w:val="auto"/>
              </w:rPr>
              <w:t>October 1, 2012</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June 21, 2012</w:t>
            </w:r>
          </w:p>
        </w:tc>
        <w:tc>
          <w:tcPr>
            <w:tcW w:w="2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2, 2012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tcPr>
          <w:p>
            <w:pPr>
              <w:ind w:left="440"/>
              <w:spacing w:after="0"/>
              <w:rPr>
                <w:sz w:val="20"/>
                <w:szCs w:val="20"/>
                <w:color w:val="auto"/>
              </w:rPr>
            </w:pPr>
            <w:r>
              <w:rPr>
                <w:rFonts w:ascii="Arial" w:cs="Arial" w:eastAsia="Arial" w:hAnsi="Arial"/>
                <w:sz w:val="12"/>
                <w:szCs w:val="12"/>
                <w:color w:val="auto"/>
              </w:rPr>
              <w:t>March 22, 2012</w:t>
            </w:r>
          </w:p>
        </w:tc>
        <w:tc>
          <w:tcPr>
            <w:tcW w:w="2460" w:type="dxa"/>
            <w:vAlign w:val="bottom"/>
            <w:gridSpan w:val="2"/>
          </w:tcPr>
          <w:p>
            <w:pPr>
              <w:spacing w:after="0"/>
              <w:rPr>
                <w:sz w:val="20"/>
                <w:szCs w:val="20"/>
                <w:color w:val="auto"/>
              </w:rPr>
            </w:pPr>
            <w:r>
              <w:rPr>
                <w:rFonts w:ascii="Arial" w:cs="Arial" w:eastAsia="Arial" w:hAnsi="Arial"/>
                <w:sz w:val="12"/>
                <w:szCs w:val="12"/>
                <w:color w:val="auto"/>
              </w:rPr>
              <w:t>April 2, 2012</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December 23, 2011</w:t>
            </w:r>
          </w:p>
        </w:tc>
        <w:tc>
          <w:tcPr>
            <w:tcW w:w="2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January 3, 2012</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00" w:type="dxa"/>
            <w:vAlign w:val="bottom"/>
            <w:gridSpan w:val="2"/>
          </w:tcPr>
          <w:p>
            <w:pPr>
              <w:ind w:left="440"/>
              <w:spacing w:after="0"/>
              <w:rPr>
                <w:sz w:val="20"/>
                <w:szCs w:val="20"/>
                <w:color w:val="auto"/>
              </w:rPr>
            </w:pPr>
            <w:r>
              <w:rPr>
                <w:rFonts w:ascii="Arial" w:cs="Arial" w:eastAsia="Arial" w:hAnsi="Arial"/>
                <w:sz w:val="12"/>
                <w:szCs w:val="12"/>
                <w:b w:val="1"/>
                <w:bCs w:val="1"/>
                <w:color w:val="auto"/>
              </w:rPr>
              <w:t>Total</w:t>
            </w:r>
          </w:p>
        </w:tc>
        <w:tc>
          <w:tcPr>
            <w:tcW w:w="1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 January 2014, a Form 1099-DIV will be sent to stockholders that will state the amount and composition of distributions and provide information with respect to appropriate tax treatment of our distributions.</w:t>
      </w:r>
    </w:p>
    <w:p>
      <w:pPr>
        <w:spacing w:after="0" w:line="117"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8" w:lineRule="exact"/>
        <w:rPr>
          <w:sz w:val="20"/>
          <w:szCs w:val="20"/>
          <w:color w:val="auto"/>
        </w:rPr>
      </w:pPr>
    </w:p>
    <w:p>
      <w:pPr>
        <w:ind w:right="20" w:firstLine="674"/>
        <w:spacing w:after="0" w:line="276" w:lineRule="auto"/>
        <w:rPr>
          <w:sz w:val="20"/>
          <w:szCs w:val="20"/>
          <w:color w:val="auto"/>
        </w:rPr>
      </w:pPr>
      <w:r>
        <w:rPr>
          <w:rFonts w:ascii="Arial" w:cs="Arial" w:eastAsia="Arial" w:hAnsi="Arial"/>
          <w:sz w:val="11"/>
          <w:szCs w:val="11"/>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distributions or distributions at a particular level.</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of Unregistered Securities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did not engage in any sales of unregistered securities during the fiscal year ended September 30, 2013.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Performance Graph</w:t>
      </w:r>
    </w:p>
    <w:p>
      <w:pPr>
        <w:spacing w:after="0" w:line="105"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last five fiscal years. The graph assumes that, on September 30, 2008,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72390</wp:posOffset>
            </wp:positionV>
            <wp:extent cx="5194935" cy="2245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9493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firstLine="674"/>
        <w:spacing w:after="0" w:line="252" w:lineRule="auto"/>
        <w:rPr>
          <w:sz w:val="20"/>
          <w:szCs w:val="20"/>
          <w:color w:val="auto"/>
        </w:rPr>
      </w:pPr>
      <w:r>
        <w:rPr>
          <w:rFonts w:ascii="Arial" w:cs="Arial" w:eastAsia="Arial" w:hAnsi="Arial"/>
          <w:sz w:val="12"/>
          <w:szCs w:val="12"/>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180"/>
          </w:cols>
          <w:pgMar w:left="32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9"/>
          <w:szCs w:val="9"/>
          <w:b w:val="1"/>
          <w:bCs w:val="1"/>
          <w:color w:val="auto"/>
        </w:rPr>
        <w:t>Selected Financial Data</w:t>
      </w:r>
    </w:p>
    <w:p>
      <w:pPr>
        <w:spacing w:after="0" w:line="107" w:lineRule="exact"/>
        <w:rPr>
          <w:sz w:val="20"/>
          <w:szCs w:val="20"/>
          <w:color w:val="auto"/>
        </w:rPr>
      </w:pPr>
    </w:p>
    <w:p>
      <w:pPr>
        <w:ind w:right="180" w:firstLine="674"/>
        <w:spacing w:after="0"/>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(Dollar amounts in thousands, except per share data)</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Operations data:</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Total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Total expenses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realized and unrealized gain (loss)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Net increase in net assets resulting from operations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 data:</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asset value (at year end)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investment income</w:t>
      </w:r>
      <w:r>
        <w:rPr>
          <w:rFonts w:ascii="Arial" w:cs="Arial" w:eastAsia="Arial" w:hAnsi="Arial"/>
          <w:sz w:val="9"/>
          <w:szCs w:val="9"/>
          <w:color w:val="auto"/>
        </w:rPr>
        <w:t>(1)</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realized and unrealized gain (loss)</w:t>
      </w:r>
      <w:r>
        <w:rPr>
          <w:rFonts w:ascii="Arial" w:cs="Arial" w:eastAsia="Arial" w:hAnsi="Arial"/>
          <w:sz w:val="9"/>
          <w:szCs w:val="9"/>
          <w:color w:val="auto"/>
        </w:rPr>
        <w:t>(1)</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Net increase in net assets resulting from operations</w:t>
      </w:r>
      <w:r>
        <w:rPr>
          <w:rFonts w:ascii="Arial" w:cs="Arial" w:eastAsia="Arial" w:hAnsi="Arial"/>
          <w:sz w:val="8"/>
          <w:szCs w:val="8"/>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Distributions declared</w:t>
      </w:r>
      <w:r>
        <w:rPr>
          <w:rFonts w:ascii="Arial" w:cs="Arial" w:eastAsia="Arial" w:hAnsi="Arial"/>
          <w:sz w:val="9"/>
          <w:szCs w:val="9"/>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Consolidated Statement of Assets and Liabilities data:</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Total assets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Total investment portfolio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Borrowings outstanding</w:t>
      </w:r>
      <w:r>
        <w:rPr>
          <w:rFonts w:ascii="Arial" w:cs="Arial" w:eastAsia="Arial" w:hAnsi="Arial"/>
          <w:sz w:val="9"/>
          <w:szCs w:val="9"/>
          <w:color w:val="auto"/>
        </w:rPr>
        <w:t>(3)</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Total net asset value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data:</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12"/>
          <w:szCs w:val="12"/>
          <w:b w:val="1"/>
          <w:bCs w:val="1"/>
          <w:color w:val="auto"/>
        </w:rPr>
        <w:t>For the years ended 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40" w:type="dxa"/>
            <w:vAlign w:val="bottom"/>
            <w:tcBorders>
              <w:top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2013</w:t>
            </w:r>
          </w:p>
        </w:tc>
        <w:tc>
          <w:tcPr>
            <w:tcW w:w="1280" w:type="dxa"/>
            <w:vAlign w:val="bottom"/>
            <w:tcBorders>
              <w:top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2012</w:t>
            </w:r>
          </w:p>
        </w:tc>
        <w:tc>
          <w:tcPr>
            <w:tcW w:w="1240" w:type="dxa"/>
            <w:vAlign w:val="bottom"/>
            <w:tcBorders>
              <w:top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2011</w:t>
            </w:r>
          </w:p>
        </w:tc>
        <w:tc>
          <w:tcPr>
            <w:tcW w:w="1220" w:type="dxa"/>
            <w:vAlign w:val="bottom"/>
            <w:tcBorders>
              <w:top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2010</w:t>
            </w:r>
          </w:p>
        </w:tc>
        <w:tc>
          <w:tcPr>
            <w:tcW w:w="8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2009</w:t>
            </w:r>
          </w:p>
        </w:tc>
      </w:tr>
      <w:tr>
        <w:trPr>
          <w:trHeight w:val="444"/>
        </w:trPr>
        <w:tc>
          <w:tcPr>
            <w:tcW w:w="940" w:type="dxa"/>
            <w:vAlign w:val="bottom"/>
          </w:tcPr>
          <w:p>
            <w:pPr>
              <w:jc w:val="right"/>
              <w:ind w:right="282"/>
              <w:spacing w:after="0"/>
              <w:rPr>
                <w:sz w:val="20"/>
                <w:szCs w:val="20"/>
                <w:color w:val="auto"/>
              </w:rPr>
            </w:pPr>
            <w:r>
              <w:rPr>
                <w:rFonts w:ascii="Arial" w:cs="Arial" w:eastAsia="Arial" w:hAnsi="Arial"/>
                <w:sz w:val="12"/>
                <w:szCs w:val="12"/>
                <w:color w:val="auto"/>
                <w:w w:val="96"/>
              </w:rPr>
              <w:t>$   129,187</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   113,392</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   91,738</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   60,140</w:t>
            </w:r>
          </w:p>
        </w:tc>
        <w:tc>
          <w:tcPr>
            <w:tcW w:w="840" w:type="dxa"/>
            <w:vAlign w:val="bottom"/>
          </w:tcPr>
          <w:p>
            <w:pPr>
              <w:jc w:val="right"/>
              <w:spacing w:after="0"/>
              <w:rPr>
                <w:sz w:val="20"/>
                <w:szCs w:val="20"/>
                <w:color w:val="auto"/>
              </w:rPr>
            </w:pPr>
            <w:r>
              <w:rPr>
                <w:rFonts w:ascii="Arial" w:cs="Arial" w:eastAsia="Arial" w:hAnsi="Arial"/>
                <w:sz w:val="12"/>
                <w:szCs w:val="12"/>
                <w:color w:val="auto"/>
              </w:rPr>
              <w:t>$   45,119</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62,189</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56,323</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39,093</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28,065</w:t>
            </w:r>
          </w:p>
        </w:tc>
        <w:tc>
          <w:tcPr>
            <w:tcW w:w="840" w:type="dxa"/>
            <w:vAlign w:val="bottom"/>
          </w:tcPr>
          <w:p>
            <w:pPr>
              <w:jc w:val="right"/>
              <w:spacing w:after="0"/>
              <w:rPr>
                <w:sz w:val="20"/>
                <w:szCs w:val="20"/>
                <w:color w:val="auto"/>
              </w:rPr>
            </w:pPr>
            <w:r>
              <w:rPr>
                <w:rFonts w:ascii="Arial" w:cs="Arial" w:eastAsia="Arial" w:hAnsi="Arial"/>
                <w:sz w:val="12"/>
                <w:szCs w:val="12"/>
                <w:color w:val="auto"/>
              </w:rPr>
              <w:t>22,400</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66,998</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57,069</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52,645</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32,075</w:t>
            </w:r>
          </w:p>
        </w:tc>
        <w:tc>
          <w:tcPr>
            <w:tcW w:w="840" w:type="dxa"/>
            <w:vAlign w:val="bottom"/>
          </w:tcPr>
          <w:p>
            <w:pPr>
              <w:jc w:val="right"/>
              <w:spacing w:after="0"/>
              <w:rPr>
                <w:sz w:val="20"/>
                <w:szCs w:val="20"/>
                <w:color w:val="auto"/>
              </w:rPr>
            </w:pPr>
            <w:r>
              <w:rPr>
                <w:rFonts w:ascii="Arial" w:cs="Arial" w:eastAsia="Arial" w:hAnsi="Arial"/>
                <w:sz w:val="12"/>
                <w:szCs w:val="12"/>
                <w:color w:val="auto"/>
              </w:rPr>
              <w:t>22,719</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24,780</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6,284</w:t>
            </w:r>
          </w:p>
        </w:tc>
        <w:tc>
          <w:tcPr>
            <w:tcW w:w="1240" w:type="dxa"/>
            <w:vAlign w:val="bottom"/>
          </w:tcPr>
          <w:p>
            <w:pPr>
              <w:jc w:val="right"/>
              <w:ind w:right="282"/>
              <w:spacing w:after="0"/>
              <w:rPr>
                <w:sz w:val="20"/>
                <w:szCs w:val="20"/>
                <w:color w:val="auto"/>
              </w:rPr>
            </w:pPr>
            <w:r>
              <w:rPr>
                <w:rFonts w:ascii="Arial" w:cs="Arial" w:eastAsia="Arial" w:hAnsi="Arial"/>
                <w:sz w:val="12"/>
                <w:szCs w:val="12"/>
                <w:color w:val="auto"/>
              </w:rPr>
              <w:t>(42,382)</w:t>
            </w:r>
          </w:p>
        </w:tc>
        <w:tc>
          <w:tcPr>
            <w:tcW w:w="1220" w:type="dxa"/>
            <w:vAlign w:val="bottom"/>
          </w:tcPr>
          <w:p>
            <w:pPr>
              <w:jc w:val="right"/>
              <w:ind w:right="262"/>
              <w:spacing w:after="0"/>
              <w:rPr>
                <w:sz w:val="20"/>
                <w:szCs w:val="20"/>
                <w:color w:val="auto"/>
              </w:rPr>
            </w:pPr>
            <w:r>
              <w:rPr>
                <w:rFonts w:ascii="Arial" w:cs="Arial" w:eastAsia="Arial" w:hAnsi="Arial"/>
                <w:sz w:val="12"/>
                <w:szCs w:val="12"/>
                <w:color w:val="auto"/>
              </w:rPr>
              <w:t>(15,539)</w:t>
            </w:r>
          </w:p>
        </w:tc>
        <w:tc>
          <w:tcPr>
            <w:tcW w:w="840" w:type="dxa"/>
            <w:vAlign w:val="bottom"/>
          </w:tcPr>
          <w:p>
            <w:pPr>
              <w:jc w:val="right"/>
              <w:spacing w:after="0"/>
              <w:rPr>
                <w:sz w:val="20"/>
                <w:szCs w:val="20"/>
                <w:color w:val="auto"/>
              </w:rPr>
            </w:pPr>
            <w:r>
              <w:rPr>
                <w:rFonts w:ascii="Arial" w:cs="Arial" w:eastAsia="Arial" w:hAnsi="Arial"/>
                <w:sz w:val="12"/>
                <w:szCs w:val="12"/>
                <w:color w:val="auto"/>
              </w:rPr>
              <w:t>13,083</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91,778</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63,353</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10,263</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16,535</w:t>
            </w:r>
          </w:p>
        </w:tc>
        <w:tc>
          <w:tcPr>
            <w:tcW w:w="840" w:type="dxa"/>
            <w:vAlign w:val="bottom"/>
          </w:tcPr>
          <w:p>
            <w:pPr>
              <w:jc w:val="right"/>
              <w:spacing w:after="0"/>
              <w:rPr>
                <w:sz w:val="20"/>
                <w:szCs w:val="20"/>
                <w:color w:val="auto"/>
              </w:rPr>
            </w:pPr>
            <w:r>
              <w:rPr>
                <w:rFonts w:ascii="Arial" w:cs="Arial" w:eastAsia="Arial" w:hAnsi="Arial"/>
                <w:sz w:val="12"/>
                <w:szCs w:val="12"/>
                <w:color w:val="auto"/>
              </w:rPr>
              <w:t>35,802</w:t>
            </w:r>
          </w:p>
        </w:tc>
      </w:tr>
      <w:tr>
        <w:trPr>
          <w:trHeight w:val="297"/>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10.49</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10.22</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10.13</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10.69</w:t>
            </w:r>
          </w:p>
        </w:tc>
        <w:tc>
          <w:tcPr>
            <w:tcW w:w="840" w:type="dxa"/>
            <w:vAlign w:val="bottom"/>
          </w:tcPr>
          <w:p>
            <w:pPr>
              <w:jc w:val="right"/>
              <w:spacing w:after="0"/>
              <w:rPr>
                <w:sz w:val="20"/>
                <w:szCs w:val="20"/>
                <w:color w:val="auto"/>
              </w:rPr>
            </w:pPr>
            <w:r>
              <w:rPr>
                <w:rFonts w:ascii="Arial" w:cs="Arial" w:eastAsia="Arial" w:hAnsi="Arial"/>
                <w:sz w:val="12"/>
                <w:szCs w:val="12"/>
                <w:color w:val="auto"/>
              </w:rPr>
              <w:t>11.85</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1.01</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1.08</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1.25</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1.09</w:t>
            </w:r>
          </w:p>
        </w:tc>
        <w:tc>
          <w:tcPr>
            <w:tcW w:w="84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0.38</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0.12</w:t>
            </w:r>
          </w:p>
        </w:tc>
        <w:tc>
          <w:tcPr>
            <w:tcW w:w="1240" w:type="dxa"/>
            <w:vAlign w:val="bottom"/>
          </w:tcPr>
          <w:p>
            <w:pPr>
              <w:jc w:val="right"/>
              <w:ind w:right="282"/>
              <w:spacing w:after="0"/>
              <w:rPr>
                <w:sz w:val="20"/>
                <w:szCs w:val="20"/>
                <w:color w:val="auto"/>
              </w:rPr>
            </w:pPr>
            <w:r>
              <w:rPr>
                <w:rFonts w:ascii="Arial" w:cs="Arial" w:eastAsia="Arial" w:hAnsi="Arial"/>
                <w:sz w:val="12"/>
                <w:szCs w:val="12"/>
                <w:color w:val="auto"/>
              </w:rPr>
              <w:t>(1.01)</w:t>
            </w:r>
          </w:p>
        </w:tc>
        <w:tc>
          <w:tcPr>
            <w:tcW w:w="1220" w:type="dxa"/>
            <w:vAlign w:val="bottom"/>
          </w:tcPr>
          <w:p>
            <w:pPr>
              <w:jc w:val="right"/>
              <w:ind w:right="262"/>
              <w:spacing w:after="0"/>
              <w:rPr>
                <w:sz w:val="20"/>
                <w:szCs w:val="20"/>
                <w:color w:val="auto"/>
              </w:rPr>
            </w:pPr>
            <w:r>
              <w:rPr>
                <w:rFonts w:ascii="Arial" w:cs="Arial" w:eastAsia="Arial" w:hAnsi="Arial"/>
                <w:sz w:val="12"/>
                <w:szCs w:val="12"/>
                <w:color w:val="auto"/>
              </w:rPr>
              <w:t>(0.53)</w:t>
            </w:r>
          </w:p>
        </w:tc>
        <w:tc>
          <w:tcPr>
            <w:tcW w:w="840" w:type="dxa"/>
            <w:vAlign w:val="bottom"/>
          </w:tcPr>
          <w:p>
            <w:pPr>
              <w:jc w:val="right"/>
              <w:spacing w:after="0"/>
              <w:rPr>
                <w:sz w:val="20"/>
                <w:szCs w:val="20"/>
                <w:color w:val="auto"/>
              </w:rPr>
            </w:pPr>
            <w:r>
              <w:rPr>
                <w:rFonts w:ascii="Arial" w:cs="Arial" w:eastAsia="Arial" w:hAnsi="Arial"/>
                <w:sz w:val="12"/>
                <w:szCs w:val="12"/>
                <w:color w:val="auto"/>
              </w:rPr>
              <w:t>0.62</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1.39</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1.20</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0.24</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0.56</w:t>
            </w:r>
          </w:p>
        </w:tc>
        <w:tc>
          <w:tcPr>
            <w:tcW w:w="840" w:type="dxa"/>
            <w:vAlign w:val="bottom"/>
          </w:tcPr>
          <w:p>
            <w:pPr>
              <w:jc w:val="right"/>
              <w:spacing w:after="0"/>
              <w:rPr>
                <w:sz w:val="20"/>
                <w:szCs w:val="20"/>
                <w:color w:val="auto"/>
              </w:rPr>
            </w:pPr>
            <w:r>
              <w:rPr>
                <w:rFonts w:ascii="Arial" w:cs="Arial" w:eastAsia="Arial" w:hAnsi="Arial"/>
                <w:sz w:val="12"/>
                <w:szCs w:val="12"/>
                <w:color w:val="auto"/>
              </w:rPr>
              <w:t>1.70</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1.12</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1.13</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1.10</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1.09</w:t>
            </w:r>
          </w:p>
        </w:tc>
        <w:tc>
          <w:tcPr>
            <w:tcW w:w="840" w:type="dxa"/>
            <w:vAlign w:val="bottom"/>
          </w:tcPr>
          <w:p>
            <w:pPr>
              <w:jc w:val="right"/>
              <w:spacing w:after="0"/>
              <w:rPr>
                <w:sz w:val="20"/>
                <w:szCs w:val="20"/>
                <w:color w:val="auto"/>
              </w:rPr>
            </w:pPr>
            <w:r>
              <w:rPr>
                <w:rFonts w:ascii="Arial" w:cs="Arial" w:eastAsia="Arial" w:hAnsi="Arial"/>
                <w:sz w:val="12"/>
                <w:szCs w:val="12"/>
                <w:color w:val="auto"/>
              </w:rPr>
              <w:t>0.96</w:t>
            </w:r>
          </w:p>
        </w:tc>
      </w:tr>
      <w:tr>
        <w:trPr>
          <w:trHeight w:val="297"/>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1,153,327</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1,018,968</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928,738</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711,494</w:t>
            </w:r>
          </w:p>
        </w:tc>
        <w:tc>
          <w:tcPr>
            <w:tcW w:w="840" w:type="dxa"/>
            <w:vAlign w:val="bottom"/>
          </w:tcPr>
          <w:p>
            <w:pPr>
              <w:jc w:val="right"/>
              <w:spacing w:after="0"/>
              <w:rPr>
                <w:sz w:val="20"/>
                <w:szCs w:val="20"/>
                <w:color w:val="auto"/>
              </w:rPr>
            </w:pPr>
            <w:r>
              <w:rPr>
                <w:rFonts w:ascii="Arial" w:cs="Arial" w:eastAsia="Arial" w:hAnsi="Arial"/>
                <w:sz w:val="12"/>
                <w:szCs w:val="12"/>
                <w:color w:val="auto"/>
              </w:rPr>
              <w:t>512,381</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1,078,176</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990,480</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827,549</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664,724</w:t>
            </w:r>
          </w:p>
        </w:tc>
        <w:tc>
          <w:tcPr>
            <w:tcW w:w="840" w:type="dxa"/>
            <w:vAlign w:val="bottom"/>
          </w:tcPr>
          <w:p>
            <w:pPr>
              <w:jc w:val="right"/>
              <w:spacing w:after="0"/>
              <w:rPr>
                <w:sz w:val="20"/>
                <w:szCs w:val="20"/>
                <w:color w:val="auto"/>
              </w:rPr>
            </w:pPr>
            <w:r>
              <w:rPr>
                <w:rFonts w:ascii="Arial" w:cs="Arial" w:eastAsia="Arial" w:hAnsi="Arial"/>
                <w:sz w:val="12"/>
                <w:szCs w:val="12"/>
                <w:color w:val="auto"/>
              </w:rPr>
              <w:t>469,760</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363,900</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294,452</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388,792</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233,641</w:t>
            </w:r>
          </w:p>
        </w:tc>
        <w:tc>
          <w:tcPr>
            <w:tcW w:w="840" w:type="dxa"/>
            <w:vAlign w:val="bottom"/>
          </w:tcPr>
          <w:p>
            <w:pPr>
              <w:jc w:val="right"/>
              <w:spacing w:after="0"/>
              <w:rPr>
                <w:sz w:val="20"/>
                <w:szCs w:val="20"/>
                <w:color w:val="auto"/>
              </w:rPr>
            </w:pPr>
            <w:r>
              <w:rPr>
                <w:rFonts w:ascii="Arial" w:cs="Arial" w:eastAsia="Arial" w:hAnsi="Arial"/>
                <w:sz w:val="12"/>
                <w:szCs w:val="12"/>
                <w:color w:val="auto"/>
              </w:rPr>
              <w:t>175,475</w:t>
            </w:r>
          </w:p>
        </w:tc>
      </w:tr>
      <w:tr>
        <w:trPr>
          <w:trHeight w:val="148"/>
        </w:trPr>
        <w:tc>
          <w:tcPr>
            <w:tcW w:w="940" w:type="dxa"/>
            <w:vAlign w:val="bottom"/>
          </w:tcPr>
          <w:p>
            <w:pPr>
              <w:jc w:val="right"/>
              <w:ind w:right="282"/>
              <w:spacing w:after="0"/>
              <w:rPr>
                <w:sz w:val="20"/>
                <w:szCs w:val="20"/>
                <w:color w:val="auto"/>
              </w:rPr>
            </w:pPr>
            <w:r>
              <w:rPr>
                <w:rFonts w:ascii="Arial" w:cs="Arial" w:eastAsia="Arial" w:hAnsi="Arial"/>
                <w:sz w:val="12"/>
                <w:szCs w:val="12"/>
                <w:color w:val="auto"/>
              </w:rPr>
              <w:t>697,506</w:t>
            </w:r>
          </w:p>
        </w:tc>
        <w:tc>
          <w:tcPr>
            <w:tcW w:w="1280" w:type="dxa"/>
            <w:vAlign w:val="bottom"/>
          </w:tcPr>
          <w:p>
            <w:pPr>
              <w:jc w:val="right"/>
              <w:ind w:right="282"/>
              <w:spacing w:after="0"/>
              <w:rPr>
                <w:sz w:val="20"/>
                <w:szCs w:val="20"/>
                <w:color w:val="auto"/>
              </w:rPr>
            </w:pPr>
            <w:r>
              <w:rPr>
                <w:rFonts w:ascii="Arial" w:cs="Arial" w:eastAsia="Arial" w:hAnsi="Arial"/>
                <w:sz w:val="12"/>
                <w:szCs w:val="12"/>
                <w:color w:val="auto"/>
              </w:rPr>
              <w:t>669,717</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462,657</w:t>
            </w:r>
          </w:p>
        </w:tc>
        <w:tc>
          <w:tcPr>
            <w:tcW w:w="1220" w:type="dxa"/>
            <w:vAlign w:val="bottom"/>
          </w:tcPr>
          <w:p>
            <w:pPr>
              <w:jc w:val="right"/>
              <w:ind w:right="302"/>
              <w:spacing w:after="0"/>
              <w:rPr>
                <w:sz w:val="20"/>
                <w:szCs w:val="20"/>
                <w:color w:val="auto"/>
              </w:rPr>
            </w:pPr>
            <w:r>
              <w:rPr>
                <w:rFonts w:ascii="Arial" w:cs="Arial" w:eastAsia="Arial" w:hAnsi="Arial"/>
                <w:sz w:val="12"/>
                <w:szCs w:val="12"/>
                <w:color w:val="auto"/>
              </w:rPr>
              <w:t>386,575</w:t>
            </w:r>
          </w:p>
        </w:tc>
        <w:tc>
          <w:tcPr>
            <w:tcW w:w="840" w:type="dxa"/>
            <w:vAlign w:val="bottom"/>
          </w:tcPr>
          <w:p>
            <w:pPr>
              <w:jc w:val="right"/>
              <w:spacing w:after="0"/>
              <w:rPr>
                <w:sz w:val="20"/>
                <w:szCs w:val="20"/>
                <w:color w:val="auto"/>
              </w:rPr>
            </w:pPr>
            <w:r>
              <w:rPr>
                <w:rFonts w:ascii="Arial" w:cs="Arial" w:eastAsia="Arial" w:hAnsi="Arial"/>
                <w:sz w:val="12"/>
                <w:szCs w:val="12"/>
                <w:color w:val="auto"/>
              </w:rPr>
              <w:t>300,580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-1606550</wp:posOffset>
            </wp:positionV>
            <wp:extent cx="713232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-1417955</wp:posOffset>
            </wp:positionV>
            <wp:extent cx="7132320"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-1229995</wp:posOffset>
            </wp:positionV>
            <wp:extent cx="713232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-1040765</wp:posOffset>
            </wp:positionV>
            <wp:extent cx="713232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-852170</wp:posOffset>
            </wp:positionV>
            <wp:extent cx="713232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-664210</wp:posOffset>
            </wp:positionV>
            <wp:extent cx="71323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-474980</wp:posOffset>
            </wp:positionV>
            <wp:extent cx="713232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-287020</wp:posOffset>
            </wp:positionV>
            <wp:extent cx="713232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-97790</wp:posOffset>
            </wp:positionV>
            <wp:extent cx="713232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4860" w:space="720"/>
            <w:col w:w="566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Total return</w:t>
            </w:r>
            <w:r>
              <w:rPr>
                <w:rFonts w:ascii="Arial" w:cs="Arial" w:eastAsia="Arial" w:hAnsi="Arial"/>
                <w:sz w:val="9"/>
                <w:szCs w:val="9"/>
                <w:color w:val="auto"/>
              </w:rPr>
              <w:t>(4)</w:t>
            </w:r>
          </w:p>
        </w:tc>
        <w:tc>
          <w:tcPr>
            <w:tcW w:w="268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17.37%</w:t>
            </w:r>
          </w:p>
        </w:tc>
        <w:tc>
          <w:tcPr>
            <w:tcW w:w="12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28.71%</w:t>
            </w:r>
          </w:p>
        </w:tc>
        <w:tc>
          <w:tcPr>
            <w:tcW w:w="12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(7.37)%</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44.79%</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30.39%</w:t>
            </w:r>
          </w:p>
        </w:tc>
      </w:tr>
      <w:tr>
        <w:trPr>
          <w:trHeight w:val="148"/>
        </w:trPr>
        <w:tc>
          <w:tcPr>
            <w:tcW w:w="4060" w:type="dxa"/>
            <w:vAlign w:val="bottom"/>
          </w:tcPr>
          <w:p>
            <w:pPr>
              <w:spacing w:after="0"/>
              <w:rPr>
                <w:sz w:val="20"/>
                <w:szCs w:val="20"/>
                <w:color w:val="auto"/>
              </w:rPr>
            </w:pPr>
            <w:r>
              <w:rPr>
                <w:rFonts w:ascii="Arial" w:cs="Arial" w:eastAsia="Arial" w:hAnsi="Arial"/>
                <w:sz w:val="12"/>
                <w:szCs w:val="12"/>
                <w:color w:val="auto"/>
              </w:rPr>
              <w:t>Number of portfolio companies (at year end)</w:t>
            </w:r>
            <w:r>
              <w:rPr>
                <w:rFonts w:ascii="Arial" w:cs="Arial" w:eastAsia="Arial" w:hAnsi="Arial"/>
                <w:sz w:val="9"/>
                <w:szCs w:val="9"/>
                <w:color w:val="auto"/>
              </w:rPr>
              <w:t>(5)</w:t>
            </w:r>
          </w:p>
        </w:tc>
        <w:tc>
          <w:tcPr>
            <w:tcW w:w="2680" w:type="dxa"/>
            <w:vAlign w:val="bottom"/>
          </w:tcPr>
          <w:p>
            <w:pPr>
              <w:jc w:val="right"/>
              <w:ind w:right="502"/>
              <w:spacing w:after="0"/>
              <w:rPr>
                <w:sz w:val="20"/>
                <w:szCs w:val="20"/>
                <w:color w:val="auto"/>
              </w:rPr>
            </w:pPr>
            <w:r>
              <w:rPr>
                <w:rFonts w:ascii="Arial" w:cs="Arial" w:eastAsia="Arial" w:hAnsi="Arial"/>
                <w:sz w:val="12"/>
                <w:szCs w:val="12"/>
                <w:color w:val="auto"/>
              </w:rPr>
              <w:t>61</w:t>
            </w:r>
          </w:p>
        </w:tc>
        <w:tc>
          <w:tcPr>
            <w:tcW w:w="1240" w:type="dxa"/>
            <w:vAlign w:val="bottom"/>
          </w:tcPr>
          <w:p>
            <w:pPr>
              <w:jc w:val="right"/>
              <w:ind w:right="462"/>
              <w:spacing w:after="0"/>
              <w:rPr>
                <w:sz w:val="20"/>
                <w:szCs w:val="20"/>
                <w:color w:val="auto"/>
              </w:rPr>
            </w:pPr>
            <w:r>
              <w:rPr>
                <w:rFonts w:ascii="Arial" w:cs="Arial" w:eastAsia="Arial" w:hAnsi="Arial"/>
                <w:sz w:val="12"/>
                <w:szCs w:val="12"/>
                <w:color w:val="auto"/>
              </w:rPr>
              <w:t>54</w:t>
            </w:r>
          </w:p>
        </w:tc>
        <w:tc>
          <w:tcPr>
            <w:tcW w:w="1240" w:type="dxa"/>
            <w:vAlign w:val="bottom"/>
          </w:tcPr>
          <w:p>
            <w:pPr>
              <w:jc w:val="right"/>
              <w:ind w:right="502"/>
              <w:spacing w:after="0"/>
              <w:rPr>
                <w:sz w:val="20"/>
                <w:szCs w:val="20"/>
                <w:color w:val="auto"/>
              </w:rPr>
            </w:pPr>
            <w:r>
              <w:rPr>
                <w:rFonts w:ascii="Arial" w:cs="Arial" w:eastAsia="Arial" w:hAnsi="Arial"/>
                <w:sz w:val="12"/>
                <w:szCs w:val="12"/>
                <w:color w:val="auto"/>
              </w:rPr>
              <w:t>48</w:t>
            </w:r>
          </w:p>
        </w:tc>
        <w:tc>
          <w:tcPr>
            <w:tcW w:w="1200" w:type="dxa"/>
            <w:vAlign w:val="bottom"/>
          </w:tcPr>
          <w:p>
            <w:pPr>
              <w:jc w:val="right"/>
              <w:ind w:right="462"/>
              <w:spacing w:after="0"/>
              <w:rPr>
                <w:sz w:val="20"/>
                <w:szCs w:val="20"/>
                <w:color w:val="auto"/>
              </w:rPr>
            </w:pPr>
            <w:r>
              <w:rPr>
                <w:rFonts w:ascii="Arial" w:cs="Arial" w:eastAsia="Arial" w:hAnsi="Arial"/>
                <w:sz w:val="12"/>
                <w:szCs w:val="12"/>
                <w:color w:val="auto"/>
              </w:rPr>
              <w:t>43</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42</w:t>
            </w:r>
          </w:p>
        </w:tc>
      </w:tr>
      <w:tr>
        <w:trPr>
          <w:trHeight w:val="148"/>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Yield on debt portfolio (at year end)</w:t>
            </w:r>
            <w:r>
              <w:rPr>
                <w:rFonts w:ascii="Arial" w:cs="Arial" w:eastAsia="Arial" w:hAnsi="Arial"/>
                <w:sz w:val="9"/>
                <w:szCs w:val="9"/>
                <w:color w:val="auto"/>
              </w:rPr>
              <w:t>(5)</w:t>
            </w:r>
          </w:p>
        </w:tc>
        <w:tc>
          <w:tcPr>
            <w:tcW w:w="268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13.0%</w:t>
            </w:r>
          </w:p>
        </w:tc>
        <w:tc>
          <w:tcPr>
            <w:tcW w:w="124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13.2%</w:t>
            </w:r>
          </w:p>
        </w:tc>
        <w:tc>
          <w:tcPr>
            <w:tcW w:w="12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13.3%</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12.7%</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25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the weighted average shares outstanding for the respective years.</w:t>
      </w:r>
    </w:p>
    <w:p>
      <w:pPr>
        <w:spacing w:after="0" w:line="7" w:lineRule="exact"/>
        <w:rPr>
          <w:rFonts w:ascii="Arial" w:cs="Arial" w:eastAsia="Arial" w:hAnsi="Arial"/>
          <w:sz w:val="12"/>
          <w:szCs w:val="12"/>
          <w:color w:val="auto"/>
        </w:rPr>
      </w:pPr>
    </w:p>
    <w:p>
      <w:pPr>
        <w:ind w:left="460" w:hanging="452"/>
        <w:spacing w:after="0" w:line="234" w:lineRule="auto"/>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taxable income calculated in accordance with income tax regulations, which may differ from amounts determined under GAAP.</w:t>
      </w:r>
    </w:p>
    <w:p>
      <w:pPr>
        <w:ind w:left="460" w:hanging="452"/>
        <w:spacing w:after="0" w:line="234" w:lineRule="auto"/>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At fair value.</w:t>
      </w:r>
    </w:p>
    <w:p>
      <w:pPr>
        <w:ind w:left="460" w:hanging="452"/>
        <w:spacing w:after="0" w:line="234" w:lineRule="auto"/>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Unaudited.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240"/>
          </w:cols>
          <w:pgMar w:left="320" w:top="459"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07" w:lineRule="exact"/>
        <w:rPr>
          <w:sz w:val="20"/>
          <w:szCs w:val="20"/>
          <w:color w:val="auto"/>
        </w:rPr>
      </w:pPr>
    </w:p>
    <w:p>
      <w:pPr>
        <w:jc w:val="both"/>
        <w:ind w:right="420" w:firstLine="674"/>
        <w:spacing w:after="0" w:line="276" w:lineRule="auto"/>
        <w:rPr>
          <w:sz w:val="20"/>
          <w:szCs w:val="20"/>
          <w:color w:val="auto"/>
        </w:rPr>
      </w:pPr>
      <w:r>
        <w:rPr>
          <w:rFonts w:ascii="Arial" w:cs="Arial" w:eastAsia="Arial" w:hAnsi="Arial"/>
          <w:sz w:val="11"/>
          <w:szCs w:val="11"/>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ectPr>
          <w:pgSz w:w="11900" w:h="16838" w:orient="portrait"/>
          <w:cols w:equalWidth="0" w:num="1">
            <w:col w:w="11240"/>
          </w:cols>
          <w:pgMar w:left="320" w:top="459" w:right="339" w:bottom="1440" w:gutter="0" w:footer="0" w:header="0"/>
        </w:sectPr>
      </w:pPr>
    </w:p>
    <w:p>
      <w:pPr>
        <w:spacing w:after="0" w:line="8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our future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our business prospects and the prospects of our prospective portfolio companies;</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color w:val="auto"/>
        </w:rPr>
        <w:t>the dependence of our future success on the general economy and its impact on the industries in which we invest;</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the impact of a protracted decline in the liquidity of credit markets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impact of investments that we expect to make;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impact of fluctuations in interest rates on our business and our portfolio companies;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our contractual arrangements and relationships with third parties;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valuation of our investments in portfolio companies, particularly those having no liquid trading market;</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ability of our prospective portfolio companies to achieve their objectives;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our expected financings and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adequacy of our cash resources and working capital;</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timing of cash flows, if any, from the operations of our prospective portfolio companies;</w:t>
      </w:r>
    </w:p>
    <w:p>
      <w:pPr>
        <w:spacing w:after="0" w:line="200" w:lineRule="exact"/>
        <w:rPr>
          <w:sz w:val="20"/>
          <w:szCs w:val="20"/>
          <w:color w:val="auto"/>
        </w:rPr>
      </w:pPr>
    </w:p>
    <w:p>
      <w:pPr>
        <w:spacing w:after="0"/>
        <w:rPr>
          <w:sz w:val="20"/>
          <w:szCs w:val="20"/>
          <w:color w:val="auto"/>
        </w:rPr>
      </w:pPr>
      <w:r>
        <w:rPr>
          <w:rFonts w:ascii="Arial" w:cs="Arial" w:eastAsia="Arial" w:hAnsi="Arial"/>
          <w:sz w:val="9"/>
          <w:szCs w:val="9"/>
          <w:color w:val="auto"/>
        </w:rPr>
        <w:t>the ability of our Investment Adviser to locate suitable investments for us and to monitor and administer our investments; and</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the impact of future legislation and regulation on our business and our portfolio companies.</w:t>
      </w:r>
    </w:p>
    <w:p>
      <w:pPr>
        <w:spacing w:after="0" w:line="186" w:lineRule="exact"/>
        <w:rPr>
          <w:sz w:val="20"/>
          <w:szCs w:val="20"/>
          <w:color w:val="auto"/>
        </w:rPr>
      </w:pPr>
    </w:p>
    <w:p>
      <w:pPr>
        <w:sectPr>
          <w:pgSz w:w="11900" w:h="16838" w:orient="portrait"/>
          <w:cols w:equalWidth="0" w:num="2">
            <w:col w:w="1520" w:space="720"/>
            <w:col w:w="9000"/>
          </w:cols>
          <w:pgMar w:left="320" w:top="459" w:right="339" w:bottom="1440" w:gutter="0" w:footer="0" w:header="0"/>
          <w:type w:val="continuous"/>
        </w:sectPr>
      </w:pPr>
    </w:p>
    <w:p>
      <w:pPr>
        <w:ind w:right="40" w:firstLine="674"/>
        <w:spacing w:after="0" w:line="297" w:lineRule="auto"/>
        <w:rPr>
          <w:sz w:val="20"/>
          <w:szCs w:val="20"/>
          <w:color w:val="auto"/>
        </w:rPr>
      </w:pPr>
      <w:r>
        <w:rPr>
          <w:rFonts w:ascii="Arial" w:cs="Arial" w:eastAsia="Arial" w:hAnsi="Arial"/>
          <w:sz w:val="11"/>
          <w:szCs w:val="11"/>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65" w:lineRule="exact"/>
        <w:rPr>
          <w:sz w:val="20"/>
          <w:szCs w:val="20"/>
          <w:color w:val="auto"/>
        </w:rPr>
      </w:pPr>
    </w:p>
    <w:p>
      <w:pPr>
        <w:ind w:right="80" w:firstLine="674"/>
        <w:spacing w:after="0" w:line="276" w:lineRule="auto"/>
        <w:rPr>
          <w:sz w:val="20"/>
          <w:szCs w:val="20"/>
          <w:color w:val="auto"/>
        </w:rPr>
      </w:pPr>
      <w:r>
        <w:rPr>
          <w:rFonts w:ascii="Arial" w:cs="Arial" w:eastAsia="Arial" w:hAnsi="Arial"/>
          <w:sz w:val="11"/>
          <w:szCs w:val="11"/>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94"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following analysis of our financial condition and results of operations should be read in conjunction with our Consolidated Financial Statements and the related notes thereto contained elsewhere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105" w:lineRule="exact"/>
        <w:rPr>
          <w:sz w:val="20"/>
          <w:szCs w:val="20"/>
          <w:color w:val="auto"/>
        </w:rPr>
      </w:pPr>
    </w:p>
    <w:p>
      <w:pPr>
        <w:ind w:right="240" w:firstLine="674"/>
        <w:spacing w:after="0" w:line="252" w:lineRule="auto"/>
        <w:rPr>
          <w:sz w:val="20"/>
          <w:szCs w:val="20"/>
          <w:color w:val="auto"/>
        </w:rPr>
      </w:pPr>
      <w:r>
        <w:rPr>
          <w:rFonts w:ascii="Arial" w:cs="Arial" w:eastAsia="Arial" w:hAnsi="Arial"/>
          <w:sz w:val="12"/>
          <w:szCs w:val="12"/>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8" w:lineRule="exact"/>
        <w:rPr>
          <w:sz w:val="20"/>
          <w:szCs w:val="20"/>
          <w:color w:val="auto"/>
        </w:rPr>
      </w:pPr>
    </w:p>
    <w:p>
      <w:pPr>
        <w:ind w:right="60" w:firstLine="674"/>
        <w:spacing w:after="0" w:line="338" w:lineRule="auto"/>
        <w:rPr>
          <w:sz w:val="20"/>
          <w:szCs w:val="20"/>
          <w:color w:val="auto"/>
        </w:rPr>
      </w:pPr>
      <w:r>
        <w:rPr>
          <w:rFonts w:ascii="Arial" w:cs="Arial" w:eastAsia="Arial" w:hAnsi="Arial"/>
          <w:sz w:val="9"/>
          <w:szCs w:val="9"/>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54"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Organization and Structure of PennantPark Investment Corporation</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9"/>
          <w:szCs w:val="9"/>
          <w:color w:val="auto"/>
        </w:rPr>
        <w:t>PennantPark Investment Corporation, a Maryland corporation organized in January 2007, is a closed-end, externally managed, non-diversified investment company that has elected to be treated as a BDC under the 1940 Act.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In addition, for federal income tax purposes we have elected to be treated, and intend to qualify annually, as a RIC under the Code.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240"/>
          </w:cols>
          <w:pgMar w:left="320" w:top="459"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firstLine="674"/>
        <w:spacing w:after="0" w:line="276" w:lineRule="auto"/>
        <w:rPr>
          <w:sz w:val="20"/>
          <w:szCs w:val="20"/>
          <w:color w:val="auto"/>
        </w:rPr>
      </w:pPr>
      <w:r>
        <w:rPr>
          <w:rFonts w:ascii="Arial" w:cs="Arial" w:eastAsia="Arial" w:hAnsi="Arial"/>
          <w:sz w:val="11"/>
          <w:szCs w:val="11"/>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firstLine="674"/>
        <w:spacing w:after="0" w:line="333" w:lineRule="auto"/>
        <w:rPr>
          <w:sz w:val="20"/>
          <w:szCs w:val="20"/>
          <w:color w:val="auto"/>
        </w:rPr>
      </w:pPr>
      <w:r>
        <w:rPr>
          <w:rFonts w:ascii="Arial" w:cs="Arial" w:eastAsia="Arial" w:hAnsi="Arial"/>
          <w:sz w:val="9"/>
          <w:szCs w:val="9"/>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05" w:lineRule="exact"/>
        <w:rPr>
          <w:sz w:val="20"/>
          <w:szCs w:val="20"/>
          <w:color w:val="auto"/>
        </w:rPr>
      </w:pPr>
    </w:p>
    <w:p>
      <w:pPr>
        <w:ind w:right="20" w:firstLine="674"/>
        <w:spacing w:after="0" w:line="238"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05"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ectPr>
          <w:pgSz w:w="11900" w:h="16838" w:orient="portrait"/>
          <w:cols w:equalWidth="0" w:num="1">
            <w:col w:w="11200"/>
          </w:cols>
          <w:pgMar w:left="320" w:top="459" w:right="379" w:bottom="1440" w:gutter="0" w:footer="0" w:header="0"/>
        </w:sectPr>
      </w:pP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cost of calculating our NAV, including the cost of any third-party valuation services;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the cost of effecting sales and repurchases of shares of our common stock and other securities;</w:t>
      </w:r>
    </w:p>
    <w:p>
      <w:pPr>
        <w:spacing w:after="0" w:line="200" w:lineRule="exact"/>
        <w:rPr>
          <w:sz w:val="20"/>
          <w:szCs w:val="20"/>
          <w:color w:val="auto"/>
        </w:rPr>
      </w:pPr>
    </w:p>
    <w:p>
      <w:pPr>
        <w:ind w:right="340"/>
        <w:spacing w:after="0" w:line="252" w:lineRule="auto"/>
        <w:rPr>
          <w:sz w:val="20"/>
          <w:szCs w:val="20"/>
          <w:color w:val="auto"/>
        </w:rPr>
      </w:pPr>
      <w:r>
        <w:rPr>
          <w:rFonts w:ascii="Arial" w:cs="Arial" w:eastAsia="Arial" w:hAnsi="Arial"/>
          <w:sz w:val="12"/>
          <w:szCs w:val="12"/>
          <w:color w:val="auto"/>
        </w:rPr>
        <w:t>fees payable to third parties relating to, or associated with, making investments, including fees and expenses associated with performing due diligence and reviews of prospective investments or complimentary businesses;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expenses incurred by the Investment Adviser in performing due diligence and reviews of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transfer agent and custodial fees;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fees and expenses associated with marketing efforts;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federal and state registration fees and any exchange listing fees;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federal, state and local taxes;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independent directors’ fees and expenses;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brokerage commissions;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fidelity bond, directors and officers, errors and omissions liability insurance and other insurance premiums;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direct costs such as printing, mailing, long distance telephone and staff;</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fees and expenses associated with independent audits and outside legal costs;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costs associated with our reporting and compliance obligations under the 1940 Act, the 1958 Act and applicable federal and state securities laws; and</w:t>
      </w:r>
    </w:p>
    <w:p>
      <w:pPr>
        <w:spacing w:after="0" w:line="200" w:lineRule="exact"/>
        <w:rPr>
          <w:sz w:val="20"/>
          <w:szCs w:val="20"/>
          <w:color w:val="auto"/>
        </w:rPr>
      </w:pPr>
    </w:p>
    <w:p>
      <w:pPr>
        <w:ind w:right="120"/>
        <w:spacing w:after="0" w:line="243" w:lineRule="auto"/>
        <w:rPr>
          <w:sz w:val="20"/>
          <w:szCs w:val="20"/>
          <w:color w:val="auto"/>
        </w:rPr>
      </w:pPr>
      <w:r>
        <w:rPr>
          <w:rFonts w:ascii="Arial" w:cs="Arial" w:eastAsia="Arial" w:hAnsi="Arial"/>
          <w:sz w:val="12"/>
          <w:szCs w:val="12"/>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75" w:lineRule="exact"/>
        <w:rPr>
          <w:sz w:val="20"/>
          <w:szCs w:val="20"/>
          <w:color w:val="auto"/>
        </w:rPr>
      </w:pPr>
    </w:p>
    <w:p>
      <w:pPr>
        <w:sectPr>
          <w:pgSz w:w="11900" w:h="16838" w:orient="portrait"/>
          <w:cols w:equalWidth="0" w:num="2">
            <w:col w:w="740" w:space="360"/>
            <w:col w:w="10100"/>
          </w:cols>
          <w:pgMar w:left="320" w:top="459" w:right="379" w:bottom="1440" w:gutter="0" w:footer="0" w:header="0"/>
          <w:type w:val="continuous"/>
        </w:sectPr>
      </w:pPr>
    </w:p>
    <w:p>
      <w:pPr>
        <w:ind w:right="160"/>
        <w:spacing w:after="0" w:line="252" w:lineRule="auto"/>
        <w:rPr>
          <w:sz w:val="20"/>
          <w:szCs w:val="20"/>
          <w:color w:val="auto"/>
        </w:rPr>
      </w:pPr>
      <w:r>
        <w:rPr>
          <w:rFonts w:ascii="Arial" w:cs="Arial" w:eastAsia="Arial" w:hAnsi="Arial"/>
          <w:sz w:val="12"/>
          <w:szCs w:val="12"/>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PORTFOLIO AND INVESTMENT ACTIVITY</w:t>
      </w:r>
    </w:p>
    <w:p>
      <w:pPr>
        <w:spacing w:after="0" w:line="107"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200"/>
          </w:cols>
          <w:pgMar w:left="320" w:top="459" w:right="3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firstLine="674"/>
        <w:spacing w:after="0" w:line="269" w:lineRule="auto"/>
        <w:rPr>
          <w:sz w:val="20"/>
          <w:szCs w:val="20"/>
          <w:color w:val="auto"/>
        </w:rPr>
      </w:pPr>
      <w:r>
        <w:rPr>
          <w:rFonts w:ascii="Arial" w:cs="Arial" w:eastAsia="Arial" w:hAnsi="Arial"/>
          <w:sz w:val="11"/>
          <w:szCs w:val="11"/>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81"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94"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07" w:lineRule="exact"/>
        <w:rPr>
          <w:sz w:val="20"/>
          <w:szCs w:val="20"/>
          <w:color w:val="auto"/>
        </w:rPr>
      </w:pPr>
    </w:p>
    <w:p>
      <w:pPr>
        <w:ind w:right="60" w:firstLine="674"/>
        <w:spacing w:after="0" w:line="266" w:lineRule="auto"/>
        <w:rPr>
          <w:sz w:val="20"/>
          <w:szCs w:val="20"/>
          <w:color w:val="auto"/>
        </w:rPr>
      </w:pPr>
      <w:r>
        <w:rPr>
          <w:rFonts w:ascii="Arial" w:cs="Arial" w:eastAsia="Arial" w:hAnsi="Arial"/>
          <w:sz w:val="11"/>
          <w:szCs w:val="11"/>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Valuation of Portfolio Investments</w:t>
      </w:r>
    </w:p>
    <w:p>
      <w:pPr>
        <w:spacing w:after="0" w:line="105" w:lineRule="exact"/>
        <w:rPr>
          <w:sz w:val="20"/>
          <w:szCs w:val="20"/>
          <w:color w:val="auto"/>
        </w:rPr>
      </w:pPr>
    </w:p>
    <w:p>
      <w:pPr>
        <w:ind w:right="60" w:firstLine="674"/>
        <w:spacing w:after="0" w:line="239"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6"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83" w:lineRule="exact"/>
        <w:rPr>
          <w:sz w:val="20"/>
          <w:szCs w:val="20"/>
          <w:color w:val="auto"/>
        </w:rPr>
      </w:pPr>
    </w:p>
    <w:p>
      <w:pPr>
        <w:ind w:right="220" w:firstLine="674"/>
        <w:spacing w:after="0" w:line="252" w:lineRule="auto"/>
        <w:rPr>
          <w:sz w:val="20"/>
          <w:szCs w:val="20"/>
          <w:color w:val="auto"/>
        </w:rPr>
      </w:pPr>
      <w:r>
        <w:rPr>
          <w:rFonts w:ascii="Arial" w:cs="Arial" w:eastAsia="Arial" w:hAnsi="Arial"/>
          <w:sz w:val="12"/>
          <w:szCs w:val="12"/>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2" w:lineRule="exact"/>
        <w:rPr>
          <w:sz w:val="20"/>
          <w:szCs w:val="20"/>
          <w:color w:val="auto"/>
        </w:rPr>
      </w:pPr>
    </w:p>
    <w:p>
      <w:pPr>
        <w:ind w:left="1120" w:hanging="451"/>
        <w:spacing w:after="0"/>
        <w:tabs>
          <w:tab w:leader="none" w:pos="1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Our quarterly valuation process begins with each portfolio company or investment being initially valued by the investment professionals of our Investment Adviser responsible for the portfolio investment;</w:t>
      </w:r>
    </w:p>
    <w:p>
      <w:pPr>
        <w:spacing w:after="0" w:line="130" w:lineRule="exact"/>
        <w:rPr>
          <w:rFonts w:ascii="Arial" w:cs="Arial" w:eastAsia="Arial" w:hAnsi="Arial"/>
          <w:sz w:val="11"/>
          <w:szCs w:val="11"/>
          <w:color w:val="auto"/>
        </w:rPr>
      </w:pPr>
    </w:p>
    <w:p>
      <w:pPr>
        <w:ind w:left="1120" w:hanging="451"/>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the management of our Investment Adviser;</w:t>
      </w:r>
    </w:p>
    <w:p>
      <w:pPr>
        <w:spacing w:after="0" w:line="118" w:lineRule="exact"/>
        <w:rPr>
          <w:rFonts w:ascii="Arial" w:cs="Arial" w:eastAsia="Arial" w:hAnsi="Arial"/>
          <w:sz w:val="12"/>
          <w:szCs w:val="12"/>
          <w:color w:val="auto"/>
        </w:rPr>
      </w:pPr>
    </w:p>
    <w:p>
      <w:pPr>
        <w:ind w:left="1120" w:right="240" w:hanging="451"/>
        <w:spacing w:after="0" w:line="243" w:lineRule="auto"/>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07" w:lineRule="exact"/>
        <w:rPr>
          <w:rFonts w:ascii="Arial" w:cs="Arial" w:eastAsia="Arial" w:hAnsi="Arial"/>
          <w:sz w:val="12"/>
          <w:szCs w:val="12"/>
          <w:color w:val="auto"/>
        </w:rPr>
      </w:pPr>
    </w:p>
    <w:p>
      <w:pPr>
        <w:ind w:left="1120" w:right="380" w:hanging="451"/>
        <w:spacing w:after="0" w:line="297" w:lineRule="auto"/>
        <w:tabs>
          <w:tab w:leader="none" w:pos="11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8" w:lineRule="exact"/>
        <w:rPr>
          <w:rFonts w:ascii="Arial" w:cs="Arial" w:eastAsia="Arial" w:hAnsi="Arial"/>
          <w:sz w:val="11"/>
          <w:szCs w:val="11"/>
          <w:color w:val="auto"/>
        </w:rPr>
      </w:pPr>
    </w:p>
    <w:p>
      <w:pPr>
        <w:ind w:left="1120" w:right="200" w:hanging="451"/>
        <w:spacing w:after="0" w:line="252" w:lineRule="auto"/>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88" w:lineRule="exact"/>
        <w:rPr>
          <w:sz w:val="20"/>
          <w:szCs w:val="20"/>
          <w:color w:val="auto"/>
        </w:rPr>
      </w:pPr>
    </w:p>
    <w:p>
      <w:pPr>
        <w:ind w:right="20" w:firstLine="674"/>
        <w:spacing w:after="0" w:line="347" w:lineRule="auto"/>
        <w:rPr>
          <w:sz w:val="20"/>
          <w:szCs w:val="20"/>
          <w:color w:val="auto"/>
        </w:rPr>
      </w:pPr>
      <w:r>
        <w:rPr>
          <w:rFonts w:ascii="Arial" w:cs="Arial" w:eastAsia="Arial" w:hAnsi="Arial"/>
          <w:sz w:val="9"/>
          <w:szCs w:val="9"/>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ASC 820 classifies the inputs used to measure these fair values into the following hierarchies:</w:t>
      </w:r>
    </w:p>
    <w:p>
      <w:pPr>
        <w:sectPr>
          <w:pgSz w:w="11900" w:h="16838" w:orient="portrait"/>
          <w:cols w:equalWidth="0" w:num="1">
            <w:col w:w="11240"/>
          </w:cols>
          <w:pgMar w:left="320" w:top="459" w:right="3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Level 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9"/>
          <w:szCs w:val="9"/>
          <w:color w:val="auto"/>
        </w:rPr>
        <w:t>Inputs that are quoted prices (unadjusted) in active markets for identical assets or liabilities, accessible by us at the measurement date.</w:t>
      </w:r>
    </w:p>
    <w:p>
      <w:pPr>
        <w:spacing w:after="0" w:line="139" w:lineRule="exact"/>
        <w:rPr>
          <w:sz w:val="20"/>
          <w:szCs w:val="20"/>
          <w:color w:val="auto"/>
        </w:rPr>
      </w:pPr>
    </w:p>
    <w:p>
      <w:pPr>
        <w:sectPr>
          <w:pgSz w:w="11900" w:h="16838" w:orient="portrait"/>
          <w:cols w:equalWidth="0" w:num="2">
            <w:col w:w="420" w:space="720"/>
            <w:col w:w="10100"/>
          </w:cols>
          <w:pgMar w:left="320" w:top="459" w:right="339" w:bottom="1440" w:gutter="0" w:footer="0" w:header="0"/>
          <w:type w:val="continuous"/>
        </w:sectPr>
      </w:pPr>
    </w:p>
    <w:p>
      <w:pPr>
        <w:spacing w:after="0"/>
        <w:rPr>
          <w:sz w:val="20"/>
          <w:szCs w:val="20"/>
          <w:color w:val="auto"/>
        </w:rPr>
      </w:pPr>
      <w:r>
        <w:rPr>
          <w:rFonts w:ascii="Arial" w:cs="Arial" w:eastAsia="Arial" w:hAnsi="Arial"/>
          <w:sz w:val="11"/>
          <w:szCs w:val="11"/>
          <w:color w:val="auto"/>
        </w:rPr>
        <w:t>Level 2:</w:t>
      </w:r>
    </w:p>
    <w:p>
      <w:pPr>
        <w:spacing w:after="0" w:line="20" w:lineRule="exact"/>
        <w:rPr>
          <w:sz w:val="20"/>
          <w:szCs w:val="20"/>
          <w:color w:val="auto"/>
        </w:rPr>
      </w:pPr>
      <w:r>
        <w:rPr>
          <w:sz w:val="20"/>
          <w:szCs w:val="20"/>
          <w:color w:val="auto"/>
        </w:rPr>
        <w:br w:type="column"/>
      </w:r>
    </w:p>
    <w:p>
      <w:pPr>
        <w:ind w:right="240"/>
        <w:spacing w:after="0" w:line="252" w:lineRule="auto"/>
        <w:rPr>
          <w:sz w:val="20"/>
          <w:szCs w:val="20"/>
          <w:color w:val="auto"/>
        </w:rPr>
      </w:pP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420" w:space="720"/>
            <w:col w:w="10100"/>
          </w:cols>
          <w:pgMar w:left="320" w:top="459" w:right="339" w:bottom="1440" w:gutter="0" w:footer="0" w:header="0"/>
          <w:type w:val="continuous"/>
        </w:sectPr>
      </w:pPr>
    </w:p>
    <w:p>
      <w:pPr>
        <w:spacing w:after="0"/>
        <w:rPr>
          <w:sz w:val="20"/>
          <w:szCs w:val="20"/>
          <w:color w:val="auto"/>
        </w:rPr>
      </w:pPr>
      <w:r>
        <w:rPr>
          <w:rFonts w:ascii="Arial" w:cs="Arial" w:eastAsia="Arial" w:hAnsi="Arial"/>
          <w:sz w:val="11"/>
          <w:szCs w:val="1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Inputs that are unobservable for an asset or liability because they are based on our own assumptions about how market participants would price the asset or liability.</w:t>
      </w:r>
    </w:p>
    <w:p>
      <w:pPr>
        <w:spacing w:after="0" w:line="180" w:lineRule="exact"/>
        <w:rPr>
          <w:sz w:val="20"/>
          <w:szCs w:val="20"/>
          <w:color w:val="auto"/>
        </w:rPr>
      </w:pPr>
    </w:p>
    <w:p>
      <w:pPr>
        <w:sectPr>
          <w:pgSz w:w="11900" w:h="16838" w:orient="portrait"/>
          <w:cols w:equalWidth="0" w:num="2">
            <w:col w:w="420" w:space="720"/>
            <w:col w:w="1010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9"/>
          <w:szCs w:val="9"/>
          <w:color w:val="auto"/>
        </w:rPr>
        <w:t>35</w:t>
      </w:r>
    </w:p>
    <w:p>
      <w:pPr>
        <w:sectPr>
          <w:pgSz w:w="11900" w:h="16838" w:orient="portrait"/>
          <w:cols w:equalWidth="0" w:num="1">
            <w:col w:w="11240"/>
          </w:cols>
          <w:pgMar w:left="320" w:top="459"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firstLine="674"/>
        <w:spacing w:after="0" w:line="243"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9"/>
          <w:szCs w:val="9"/>
          <w:color w:val="auto"/>
        </w:rPr>
        <w:t>In addition to using the above inputs in cash equivalents, investments, the 2025 Notes and our Credit Facility valuations, we employ the valuation policy approved by our board of directors that is consistent with ASC 820.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Consistent with our valuation policy, we evaluate the source of inputs, including any markets in which our investments are trading, in determining fair value.</w:t>
      </w:r>
    </w:p>
    <w:p>
      <w:pPr>
        <w:spacing w:after="0" w:line="95" w:lineRule="exact"/>
        <w:rPr>
          <w:sz w:val="20"/>
          <w:szCs w:val="20"/>
          <w:color w:val="auto"/>
        </w:rPr>
      </w:pPr>
    </w:p>
    <w:p>
      <w:pPr>
        <w:ind w:right="20" w:firstLine="674"/>
        <w:spacing w:after="0" w:line="261" w:lineRule="auto"/>
        <w:rPr>
          <w:sz w:val="20"/>
          <w:szCs w:val="20"/>
          <w:color w:val="auto"/>
        </w:rPr>
      </w:pPr>
      <w:r>
        <w:rPr>
          <w:rFonts w:ascii="Arial" w:cs="Arial" w:eastAsia="Arial" w:hAnsi="Arial"/>
          <w:sz w:val="11"/>
          <w:szCs w:val="11"/>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05" w:lineRule="exact"/>
        <w:rPr>
          <w:sz w:val="20"/>
          <w:szCs w:val="20"/>
          <w:color w:val="auto"/>
        </w:rPr>
      </w:pPr>
    </w:p>
    <w:p>
      <w:pPr>
        <w:ind w:right="100" w:firstLine="674"/>
        <w:spacing w:after="0" w:line="239"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Realized Gains or Losses and Net Change in Unrealized Appreciation or Depreciation</w:t>
      </w:r>
    </w:p>
    <w:p>
      <w:pPr>
        <w:spacing w:after="0" w:line="105" w:lineRule="exact"/>
        <w:rPr>
          <w:sz w:val="20"/>
          <w:szCs w:val="20"/>
          <w:color w:val="auto"/>
        </w:rPr>
      </w:pPr>
    </w:p>
    <w:p>
      <w:pPr>
        <w:ind w:right="80" w:firstLine="674"/>
        <w:spacing w:after="0" w:line="243"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Payment-in-Kind Interest or PIK</w:t>
      </w:r>
    </w:p>
    <w:p>
      <w:pPr>
        <w:spacing w:after="0" w:line="105"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Federal Income Taxes</w:t>
      </w:r>
    </w:p>
    <w:p>
      <w:pPr>
        <w:spacing w:after="0" w:line="105" w:lineRule="exact"/>
        <w:rPr>
          <w:sz w:val="20"/>
          <w:szCs w:val="20"/>
          <w:color w:val="auto"/>
        </w:rPr>
      </w:pPr>
    </w:p>
    <w:p>
      <w:pPr>
        <w:ind w:right="40" w:firstLine="674"/>
        <w:spacing w:after="0" w:line="263" w:lineRule="auto"/>
        <w:rPr>
          <w:sz w:val="20"/>
          <w:szCs w:val="20"/>
          <w:color w:val="auto"/>
        </w:rPr>
      </w:pPr>
      <w:r>
        <w:rPr>
          <w:rFonts w:ascii="Arial" w:cs="Arial" w:eastAsia="Arial" w:hAnsi="Arial"/>
          <w:sz w:val="11"/>
          <w:szCs w:val="11"/>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83" w:lineRule="exact"/>
        <w:rPr>
          <w:sz w:val="20"/>
          <w:szCs w:val="20"/>
          <w:color w:val="auto"/>
        </w:rPr>
      </w:pPr>
    </w:p>
    <w:p>
      <w:pPr>
        <w:ind w:right="40" w:firstLine="674"/>
        <w:spacing w:after="0" w:line="243"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Set forth below are our results of operations for the fiscal years ended September 30, 2013, 2012 and 2011.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Income</w:t>
      </w:r>
    </w:p>
    <w:p>
      <w:pPr>
        <w:spacing w:after="0" w:line="105" w:lineRule="exact"/>
        <w:rPr>
          <w:sz w:val="20"/>
          <w:szCs w:val="20"/>
          <w:color w:val="auto"/>
        </w:rPr>
      </w:pPr>
    </w:p>
    <w:p>
      <w:pPr>
        <w:jc w:val="both"/>
        <w:ind w:right="60" w:firstLine="674"/>
        <w:spacing w:after="0" w:line="243" w:lineRule="auto"/>
        <w:rPr>
          <w:sz w:val="20"/>
          <w:szCs w:val="20"/>
          <w:color w:val="auto"/>
        </w:rPr>
      </w:pPr>
      <w:r>
        <w:rPr>
          <w:rFonts w:ascii="Arial" w:cs="Arial" w:eastAsia="Arial" w:hAnsi="Arial"/>
          <w:sz w:val="12"/>
          <w:szCs w:val="12"/>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94" w:lineRule="exact"/>
        <w:rPr>
          <w:sz w:val="20"/>
          <w:szCs w:val="20"/>
          <w:color w:val="auto"/>
        </w:rPr>
      </w:pPr>
    </w:p>
    <w:p>
      <w:pPr>
        <w:ind w:right="240" w:firstLine="674"/>
        <w:spacing w:after="0" w:line="243" w:lineRule="auto"/>
        <w:rPr>
          <w:sz w:val="20"/>
          <w:szCs w:val="20"/>
          <w:color w:val="auto"/>
        </w:rPr>
      </w:pPr>
      <w:r>
        <w:rPr>
          <w:rFonts w:ascii="Arial" w:cs="Arial" w:eastAsia="Arial" w:hAnsi="Arial"/>
          <w:sz w:val="12"/>
          <w:szCs w:val="12"/>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94" w:lineRule="exact"/>
        <w:rPr>
          <w:sz w:val="20"/>
          <w:szCs w:val="20"/>
          <w:color w:val="auto"/>
        </w:rPr>
      </w:pPr>
    </w:p>
    <w:p>
      <w:pPr>
        <w:ind w:right="20" w:firstLine="674"/>
        <w:spacing w:after="0" w:line="243" w:lineRule="auto"/>
        <w:rPr>
          <w:sz w:val="20"/>
          <w:szCs w:val="20"/>
          <w:color w:val="auto"/>
        </w:rPr>
      </w:pPr>
      <w:r>
        <w:rPr>
          <w:rFonts w:ascii="Arial" w:cs="Arial" w:eastAsia="Arial" w:hAnsi="Arial"/>
          <w:sz w:val="12"/>
          <w:szCs w:val="12"/>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05" w:lineRule="exact"/>
        <w:rPr>
          <w:sz w:val="20"/>
          <w:szCs w:val="20"/>
          <w:color w:val="auto"/>
        </w:rPr>
      </w:pPr>
    </w:p>
    <w:p>
      <w:pPr>
        <w:ind w:right="200" w:firstLine="674"/>
        <w:spacing w:after="0" w:line="243" w:lineRule="auto"/>
        <w:rPr>
          <w:sz w:val="20"/>
          <w:szCs w:val="20"/>
          <w:color w:val="auto"/>
        </w:rPr>
      </w:pPr>
      <w:r>
        <w:rPr>
          <w:rFonts w:ascii="Arial" w:cs="Arial" w:eastAsia="Arial" w:hAnsi="Arial"/>
          <w:sz w:val="12"/>
          <w:szCs w:val="12"/>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94" w:lineRule="exact"/>
        <w:rPr>
          <w:sz w:val="20"/>
          <w:szCs w:val="20"/>
          <w:color w:val="auto"/>
        </w:rPr>
      </w:pPr>
    </w:p>
    <w:p>
      <w:pPr>
        <w:ind w:right="120" w:firstLine="674"/>
        <w:spacing w:after="0" w:line="276" w:lineRule="auto"/>
        <w:rPr>
          <w:sz w:val="20"/>
          <w:szCs w:val="20"/>
          <w:color w:val="auto"/>
        </w:rPr>
      </w:pPr>
      <w:r>
        <w:rPr>
          <w:rFonts w:ascii="Arial" w:cs="Arial" w:eastAsia="Arial" w:hAnsi="Arial"/>
          <w:sz w:val="11"/>
          <w:szCs w:val="11"/>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77" w:lineRule="exact"/>
        <w:rPr>
          <w:sz w:val="20"/>
          <w:szCs w:val="20"/>
          <w:color w:val="auto"/>
        </w:rPr>
      </w:pPr>
    </w:p>
    <w:p>
      <w:pPr>
        <w:ind w:right="120" w:firstLine="674"/>
        <w:spacing w:after="0" w:line="243" w:lineRule="auto"/>
        <w:rPr>
          <w:sz w:val="20"/>
          <w:szCs w:val="20"/>
          <w:color w:val="auto"/>
        </w:rPr>
      </w:pPr>
      <w:r>
        <w:rPr>
          <w:rFonts w:ascii="Arial" w:cs="Arial" w:eastAsia="Arial" w:hAnsi="Arial"/>
          <w:sz w:val="12"/>
          <w:szCs w:val="12"/>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Investment Income</w:t>
      </w:r>
    </w:p>
    <w:p>
      <w:pPr>
        <w:spacing w:after="0" w:line="105"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Realized Gains or Losses</w:t>
      </w:r>
    </w:p>
    <w:p>
      <w:pPr>
        <w:spacing w:after="0" w:line="105" w:lineRule="exact"/>
        <w:rPr>
          <w:sz w:val="20"/>
          <w:szCs w:val="20"/>
          <w:color w:val="auto"/>
        </w:rPr>
      </w:pPr>
    </w:p>
    <w:p>
      <w:pPr>
        <w:ind w:right="60" w:firstLine="674"/>
        <w:spacing w:after="0" w:line="252" w:lineRule="auto"/>
        <w:rPr>
          <w:sz w:val="20"/>
          <w:szCs w:val="20"/>
          <w:color w:val="auto"/>
        </w:rPr>
      </w:pPr>
      <w:r>
        <w:rPr>
          <w:rFonts w:ascii="Arial" w:cs="Arial" w:eastAsia="Arial" w:hAnsi="Arial"/>
          <w:sz w:val="12"/>
          <w:szCs w:val="12"/>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Change in Unrealized Appreciation or Depreciation on Investments, Credit Facility and 2025 Notes</w:t>
      </w:r>
    </w:p>
    <w:p>
      <w:pPr>
        <w:spacing w:after="0" w:line="105" w:lineRule="exact"/>
        <w:rPr>
          <w:sz w:val="20"/>
          <w:szCs w:val="20"/>
          <w:color w:val="auto"/>
        </w:rPr>
      </w:pPr>
    </w:p>
    <w:p>
      <w:pPr>
        <w:ind w:right="20" w:firstLine="674"/>
        <w:spacing w:after="0"/>
        <w:rPr>
          <w:sz w:val="20"/>
          <w:szCs w:val="20"/>
          <w:color w:val="auto"/>
        </w:rPr>
      </w:pPr>
      <w:r>
        <w:rPr>
          <w:rFonts w:ascii="Arial" w:cs="Arial" w:eastAsia="Arial" w:hAnsi="Arial"/>
          <w:sz w:val="12"/>
          <w:szCs w:val="12"/>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Increase in Net Assets Resulting From Operations</w:t>
      </w:r>
    </w:p>
    <w:p>
      <w:pPr>
        <w:spacing w:after="0" w:line="105"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Net increase in net assets resulting from operations totaled $91.8 million or $1.39 per share, $63.4 million or $1.20 per share, and $10.3 million or $0.24 per share for the fiscal years ended September 30, 2013, 2012 and 2011, respectively. The net increase in net assets from operations was higher than in prior years primarily due to realized gains and continued growth in net investment income.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7" w:lineRule="exact"/>
        <w:rPr>
          <w:sz w:val="20"/>
          <w:szCs w:val="20"/>
          <w:color w:val="auto"/>
        </w:rPr>
      </w:pPr>
    </w:p>
    <w:p>
      <w:pPr>
        <w:jc w:val="both"/>
        <w:ind w:right="100" w:firstLine="674"/>
        <w:spacing w:after="0" w:line="243" w:lineRule="auto"/>
        <w:rPr>
          <w:sz w:val="20"/>
          <w:szCs w:val="20"/>
          <w:color w:val="auto"/>
        </w:rPr>
      </w:pPr>
      <w:r>
        <w:rPr>
          <w:rFonts w:ascii="Arial" w:cs="Arial" w:eastAsia="Arial" w:hAnsi="Arial"/>
          <w:sz w:val="12"/>
          <w:szCs w:val="1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94" w:lineRule="exact"/>
        <w:rPr>
          <w:sz w:val="20"/>
          <w:szCs w:val="20"/>
          <w:color w:val="auto"/>
        </w:rPr>
      </w:pPr>
    </w:p>
    <w:p>
      <w:pPr>
        <w:ind w:firstLine="674"/>
        <w:spacing w:after="0" w:line="266" w:lineRule="auto"/>
        <w:rPr>
          <w:sz w:val="20"/>
          <w:szCs w:val="20"/>
          <w:color w:val="auto"/>
        </w:rPr>
      </w:pPr>
      <w:r>
        <w:rPr>
          <w:rFonts w:ascii="Arial" w:cs="Arial" w:eastAsia="Arial" w:hAnsi="Arial"/>
          <w:sz w:val="11"/>
          <w:szCs w:val="11"/>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 imposes on us as a BDC. The Credit Facility is secured by substantially all of our assets excluding assets held by our SBIC Funds.</w:t>
      </w:r>
    </w:p>
    <w:p>
      <w:pPr>
        <w:spacing w:after="0" w:line="82" w:lineRule="exact"/>
        <w:rPr>
          <w:sz w:val="20"/>
          <w:szCs w:val="20"/>
          <w:color w:val="auto"/>
        </w:rPr>
      </w:pPr>
    </w:p>
    <w:p>
      <w:pPr>
        <w:ind w:right="40" w:firstLine="674"/>
        <w:spacing w:after="0" w:line="338" w:lineRule="auto"/>
        <w:rPr>
          <w:sz w:val="20"/>
          <w:szCs w:val="20"/>
          <w:color w:val="auto"/>
        </w:rPr>
      </w:pPr>
      <w:r>
        <w:rPr>
          <w:rFonts w:ascii="Arial" w:cs="Arial" w:eastAsia="Arial" w:hAnsi="Arial"/>
          <w:sz w:val="9"/>
          <w:szCs w:val="9"/>
          <w:color w:val="auto"/>
        </w:rPr>
        <w:t>The Credit Facility contains customary affirmative and restrictive covenants, including maintenance of a minimum stockholders’ equity of the sum of (a) $220.0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54"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81"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firstLine="674"/>
        <w:spacing w:after="0"/>
        <w:rPr>
          <w:sz w:val="20"/>
          <w:szCs w:val="20"/>
          <w:color w:val="auto"/>
        </w:rPr>
      </w:pPr>
      <w:r>
        <w:rPr>
          <w:rFonts w:ascii="Arial" w:cs="Arial" w:eastAsia="Arial" w:hAnsi="Arial"/>
          <w:sz w:val="12"/>
          <w:szCs w:val="12"/>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96"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6" w:lineRule="exact"/>
        <w:rPr>
          <w:sz w:val="20"/>
          <w:szCs w:val="20"/>
          <w:color w:val="auto"/>
        </w:rPr>
      </w:pPr>
    </w:p>
    <w:p>
      <w:pPr>
        <w:ind w:right="40" w:firstLine="674"/>
        <w:spacing w:after="0" w:line="264" w:lineRule="auto"/>
        <w:rPr>
          <w:sz w:val="20"/>
          <w:szCs w:val="20"/>
          <w:color w:val="auto"/>
        </w:rPr>
      </w:pPr>
      <w:r>
        <w:rPr>
          <w:rFonts w:ascii="Arial" w:cs="Arial" w:eastAsia="Arial" w:hAnsi="Arial"/>
          <w:sz w:val="11"/>
          <w:szCs w:val="11"/>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 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83" w:lineRule="exact"/>
        <w:rPr>
          <w:sz w:val="20"/>
          <w:szCs w:val="20"/>
          <w:color w:val="auto"/>
        </w:rPr>
      </w:pPr>
    </w:p>
    <w:p>
      <w:pPr>
        <w:ind w:right="20" w:firstLine="674"/>
        <w:spacing w:after="0" w:line="243" w:lineRule="auto"/>
        <w:rPr>
          <w:sz w:val="20"/>
          <w:szCs w:val="20"/>
          <w:color w:val="auto"/>
        </w:rPr>
      </w:pPr>
      <w:r>
        <w:rPr>
          <w:rFonts w:ascii="Arial" w:cs="Arial" w:eastAsia="Arial" w:hAnsi="Arial"/>
          <w:sz w:val="12"/>
          <w:szCs w:val="12"/>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2013 and 2012 are as follows:</w:t>
      </w:r>
    </w:p>
    <w:p>
      <w:pPr>
        <w:spacing w:after="0" w:line="102" w:lineRule="exact"/>
        <w:rPr>
          <w:sz w:val="20"/>
          <w:szCs w:val="20"/>
          <w:color w:val="auto"/>
        </w:rPr>
      </w:pPr>
    </w:p>
    <w:tbl>
      <w:tblPr>
        <w:tblLayout w:type="fixed"/>
        <w:tblInd w:w="260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3"/>
              </w:rPr>
              <w:t>All-in</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1840" w:type="dxa"/>
            <w:vAlign w:val="bottom"/>
          </w:tcPr>
          <w:p>
            <w:pPr>
              <w:spacing w:after="0"/>
              <w:rPr>
                <w:sz w:val="20"/>
                <w:szCs w:val="20"/>
                <w:color w:val="auto"/>
              </w:rPr>
            </w:pPr>
            <w:r>
              <w:rPr>
                <w:rFonts w:ascii="Arial" w:cs="Arial" w:eastAsia="Arial" w:hAnsi="Arial"/>
                <w:sz w:val="12"/>
                <w:szCs w:val="12"/>
                <w:b w:val="1"/>
                <w:bCs w:val="1"/>
                <w:color w:val="auto"/>
              </w:rPr>
              <w:t>Issuance Dates</w:t>
            </w:r>
          </w:p>
        </w:tc>
        <w:tc>
          <w:tcPr>
            <w:tcW w:w="1620" w:type="dxa"/>
            <w:vAlign w:val="bottom"/>
          </w:tcPr>
          <w:p>
            <w:pPr>
              <w:jc w:val="right"/>
              <w:ind w:right="462"/>
              <w:spacing w:after="0"/>
              <w:rPr>
                <w:sz w:val="20"/>
                <w:szCs w:val="20"/>
                <w:color w:val="auto"/>
              </w:rPr>
            </w:pPr>
            <w:r>
              <w:rPr>
                <w:rFonts w:ascii="Arial" w:cs="Arial" w:eastAsia="Arial" w:hAnsi="Arial"/>
                <w:sz w:val="12"/>
                <w:szCs w:val="12"/>
                <w:b w:val="1"/>
                <w:bCs w:val="1"/>
                <w:color w:val="auto"/>
              </w:rPr>
              <w:t>Maturity</w:t>
            </w:r>
          </w:p>
        </w:tc>
        <w:tc>
          <w:tcPr>
            <w:tcW w:w="1080" w:type="dxa"/>
            <w:vAlign w:val="bottom"/>
            <w:gridSpan w:val="2"/>
          </w:tcPr>
          <w:p>
            <w:pPr>
              <w:jc w:val="center"/>
              <w:ind w:left="222"/>
              <w:spacing w:after="0"/>
              <w:rPr>
                <w:sz w:val="20"/>
                <w:szCs w:val="20"/>
                <w:color w:val="auto"/>
              </w:rPr>
            </w:pPr>
            <w:r>
              <w:rPr>
                <w:rFonts w:ascii="Arial" w:cs="Arial" w:eastAsia="Arial" w:hAnsi="Arial"/>
                <w:sz w:val="12"/>
                <w:szCs w:val="12"/>
                <w:b w:val="1"/>
                <w:bCs w:val="1"/>
                <w:color w:val="auto"/>
                <w:w w:val="88"/>
              </w:rPr>
              <w:t>Coupon Rate</w:t>
            </w:r>
            <w:r>
              <w:rPr>
                <w:rFonts w:ascii="Arial" w:cs="Arial" w:eastAsia="Arial" w:hAnsi="Arial"/>
                <w:sz w:val="9"/>
                <w:szCs w:val="9"/>
                <w:b w:val="1"/>
                <w:bCs w:val="1"/>
                <w:color w:val="auto"/>
                <w:w w:val="88"/>
              </w:rPr>
              <w:t>(1)</w:t>
            </w:r>
          </w:p>
        </w:tc>
        <w:tc>
          <w:tcPr>
            <w:tcW w:w="1520" w:type="dxa"/>
            <w:vAlign w:val="bottom"/>
            <w:gridSpan w:val="4"/>
          </w:tcPr>
          <w:p>
            <w:pPr>
              <w:ind w:left="560"/>
              <w:spacing w:after="0"/>
              <w:rPr>
                <w:sz w:val="20"/>
                <w:szCs w:val="20"/>
                <w:color w:val="auto"/>
              </w:rPr>
            </w:pPr>
            <w:r>
              <w:rPr>
                <w:rFonts w:ascii="Arial" w:cs="Arial" w:eastAsia="Arial" w:hAnsi="Arial"/>
                <w:sz w:val="12"/>
                <w:szCs w:val="12"/>
                <w:b w:val="1"/>
                <w:bCs w:val="1"/>
                <w:color w:val="auto"/>
                <w:w w:val="93"/>
              </w:rPr>
              <w:t>Principal Balance</w:t>
            </w:r>
          </w:p>
        </w:tc>
      </w:tr>
      <w:tr>
        <w:trPr>
          <w:trHeight w:val="149"/>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September 22, 2010</w:t>
            </w:r>
          </w:p>
        </w:tc>
        <w:tc>
          <w:tcPr>
            <w:tcW w:w="16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September 1, 2020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w w:val="88"/>
              </w:rPr>
              <w:t>3.50%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2"/>
                <w:szCs w:val="12"/>
                <w:color w:val="auto"/>
              </w:rPr>
            </w:pPr>
          </w:p>
        </w:tc>
      </w:tr>
      <w:tr>
        <w:trPr>
          <w:trHeight w:val="148"/>
        </w:trPr>
        <w:tc>
          <w:tcPr>
            <w:tcW w:w="1840" w:type="dxa"/>
            <w:vAlign w:val="bottom"/>
          </w:tcPr>
          <w:p>
            <w:pPr>
              <w:spacing w:after="0"/>
              <w:rPr>
                <w:sz w:val="20"/>
                <w:szCs w:val="20"/>
                <w:color w:val="auto"/>
              </w:rPr>
            </w:pPr>
            <w:r>
              <w:rPr>
                <w:rFonts w:ascii="Arial" w:cs="Arial" w:eastAsia="Arial" w:hAnsi="Arial"/>
                <w:sz w:val="12"/>
                <w:szCs w:val="12"/>
                <w:color w:val="auto"/>
              </w:rPr>
              <w:t>March 29, 2011</w:t>
            </w:r>
          </w:p>
        </w:tc>
        <w:tc>
          <w:tcPr>
            <w:tcW w:w="1620" w:type="dxa"/>
            <w:vAlign w:val="bottom"/>
          </w:tcPr>
          <w:p>
            <w:pPr>
              <w:jc w:val="right"/>
              <w:ind w:right="222"/>
              <w:spacing w:after="0"/>
              <w:rPr>
                <w:sz w:val="20"/>
                <w:szCs w:val="20"/>
                <w:color w:val="auto"/>
              </w:rPr>
            </w:pPr>
            <w:r>
              <w:rPr>
                <w:rFonts w:ascii="Arial" w:cs="Arial" w:eastAsia="Arial" w:hAnsi="Arial"/>
                <w:sz w:val="12"/>
                <w:szCs w:val="12"/>
                <w:color w:val="auto"/>
              </w:rPr>
              <w:t>March 1, 2021</w:t>
            </w:r>
          </w:p>
        </w:tc>
        <w:tc>
          <w:tcPr>
            <w:tcW w:w="1080" w:type="dxa"/>
            <w:vAlign w:val="bottom"/>
            <w:gridSpan w:val="2"/>
          </w:tcPr>
          <w:p>
            <w:pPr>
              <w:ind w:left="780"/>
              <w:spacing w:after="0"/>
              <w:rPr>
                <w:sz w:val="20"/>
                <w:szCs w:val="20"/>
                <w:color w:val="auto"/>
              </w:rPr>
            </w:pPr>
            <w:r>
              <w:rPr>
                <w:rFonts w:ascii="Arial" w:cs="Arial" w:eastAsia="Arial" w:hAnsi="Arial"/>
                <w:sz w:val="12"/>
                <w:szCs w:val="12"/>
                <w:color w:val="auto"/>
              </w:rPr>
              <w:t>4.46</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44,500,000</w:t>
            </w:r>
          </w:p>
        </w:tc>
        <w:tc>
          <w:tcPr>
            <w:tcW w:w="60" w:type="dxa"/>
            <w:vAlign w:val="bottom"/>
          </w:tcPr>
          <w:p>
            <w:pPr>
              <w:spacing w:after="0"/>
              <w:rPr>
                <w:sz w:val="12"/>
                <w:szCs w:val="12"/>
                <w:color w:val="auto"/>
              </w:rPr>
            </w:pPr>
          </w:p>
        </w:tc>
      </w:tr>
      <w:tr>
        <w:trPr>
          <w:trHeight w:val="148"/>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September 21, 2011</w:t>
            </w:r>
          </w:p>
        </w:tc>
        <w:tc>
          <w:tcPr>
            <w:tcW w:w="16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September 1, 2021</w:t>
            </w: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3.38</w:t>
            </w:r>
          </w:p>
        </w:tc>
        <w:tc>
          <w:tcPr>
            <w:tcW w:w="5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105,000,000</w:t>
            </w:r>
          </w:p>
        </w:tc>
        <w:tc>
          <w:tcPr>
            <w:tcW w:w="60" w:type="dxa"/>
            <w:vAlign w:val="bottom"/>
            <w:shd w:val="clear" w:color="auto" w:fill="CCEEFF"/>
          </w:tcPr>
          <w:p>
            <w:pPr>
              <w:spacing w:after="0"/>
              <w:rPr>
                <w:sz w:val="12"/>
                <w:szCs w:val="12"/>
                <w:color w:val="auto"/>
              </w:rPr>
            </w:pPr>
          </w:p>
        </w:tc>
      </w:tr>
      <w:tr>
        <w:trPr>
          <w:trHeight w:val="156"/>
        </w:trPr>
        <w:tc>
          <w:tcPr>
            <w:tcW w:w="1840" w:type="dxa"/>
            <w:vAlign w:val="bottom"/>
          </w:tcPr>
          <w:p>
            <w:pPr>
              <w:spacing w:after="0"/>
              <w:rPr>
                <w:sz w:val="20"/>
                <w:szCs w:val="20"/>
                <w:color w:val="auto"/>
              </w:rPr>
            </w:pPr>
            <w:r>
              <w:rPr>
                <w:rFonts w:ascii="Arial" w:cs="Arial" w:eastAsia="Arial" w:hAnsi="Arial"/>
                <w:sz w:val="12"/>
                <w:szCs w:val="12"/>
                <w:color w:val="auto"/>
              </w:rPr>
              <w:t>Weighted average rate / Total</w:t>
            </w: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w w:val="88"/>
              </w:rPr>
              <w:t>3.70%</w:t>
            </w:r>
          </w:p>
        </w:tc>
        <w:tc>
          <w:tcPr>
            <w:tcW w:w="560" w:type="dxa"/>
            <w:vAlign w:val="bottom"/>
          </w:tcPr>
          <w:p>
            <w:pPr>
              <w:spacing w:after="0"/>
              <w:rPr>
                <w:sz w:val="13"/>
                <w:szCs w:val="13"/>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150,000,000</w:t>
            </w:r>
          </w:p>
        </w:tc>
        <w:tc>
          <w:tcPr>
            <w:tcW w:w="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93980</wp:posOffset>
            </wp:positionV>
            <wp:extent cx="12172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76" w:lineRule="exact"/>
        <w:rPr>
          <w:sz w:val="20"/>
          <w:szCs w:val="20"/>
          <w:color w:val="auto"/>
        </w:rPr>
      </w:pPr>
    </w:p>
    <w:p>
      <w:pPr>
        <w:ind w:left="2360" w:hanging="449"/>
        <w:spacing w:after="0"/>
        <w:tabs>
          <w:tab w:leader="none" w:pos="23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Excludes 3.43% of upfront fees.</w:t>
      </w:r>
    </w:p>
    <w:p>
      <w:pPr>
        <w:spacing w:after="0" w:line="105"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81" w:lineRule="exact"/>
        <w:rPr>
          <w:sz w:val="20"/>
          <w:szCs w:val="20"/>
          <w:color w:val="auto"/>
        </w:rPr>
      </w:pPr>
    </w:p>
    <w:p>
      <w:pPr>
        <w:ind w:right="60" w:firstLine="674"/>
        <w:spacing w:after="0" w:line="252" w:lineRule="auto"/>
        <w:rPr>
          <w:sz w:val="20"/>
          <w:szCs w:val="20"/>
          <w:color w:val="auto"/>
        </w:rPr>
      </w:pPr>
      <w:r>
        <w:rPr>
          <w:rFonts w:ascii="Arial" w:cs="Arial" w:eastAsia="Arial" w:hAnsi="Arial"/>
          <w:sz w:val="12"/>
          <w:szCs w:val="12"/>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88"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88" w:lineRule="exact"/>
        <w:rPr>
          <w:sz w:val="20"/>
          <w:szCs w:val="20"/>
          <w:color w:val="auto"/>
        </w:rPr>
      </w:pPr>
    </w:p>
    <w:p>
      <w:pPr>
        <w:ind w:right="160" w:firstLine="674"/>
        <w:spacing w:after="0" w:line="252" w:lineRule="auto"/>
        <w:rPr>
          <w:sz w:val="20"/>
          <w:szCs w:val="20"/>
          <w:color w:val="auto"/>
        </w:rPr>
      </w:pPr>
      <w:r>
        <w:rPr>
          <w:rFonts w:ascii="Arial" w:cs="Arial" w:eastAsia="Arial" w:hAnsi="Arial"/>
          <w:sz w:val="12"/>
          <w:szCs w:val="12"/>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88" w:lineRule="exact"/>
        <w:rPr>
          <w:sz w:val="20"/>
          <w:szCs w:val="20"/>
          <w:color w:val="auto"/>
        </w:rPr>
      </w:pPr>
    </w:p>
    <w:p>
      <w:pPr>
        <w:ind w:right="100" w:firstLine="674"/>
        <w:spacing w:after="0" w:line="252" w:lineRule="auto"/>
        <w:rPr>
          <w:sz w:val="20"/>
          <w:szCs w:val="20"/>
          <w:color w:val="auto"/>
        </w:rPr>
      </w:pPr>
      <w:r>
        <w:rPr>
          <w:rFonts w:ascii="Arial" w:cs="Arial" w:eastAsia="Arial" w:hAnsi="Arial"/>
          <w:sz w:val="12"/>
          <w:szCs w:val="12"/>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 summary of our significant contractual payment obligations as of September 30, 2013, including borrowings under our multi-currency Credit Facility and other contractual obligations,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5"/>
          </w:tcPr>
          <w:p>
            <w:pPr>
              <w:ind w:left="140"/>
              <w:spacing w:after="0"/>
              <w:rPr>
                <w:sz w:val="20"/>
                <w:szCs w:val="20"/>
                <w:color w:val="auto"/>
              </w:rPr>
            </w:pPr>
            <w:r>
              <w:rPr>
                <w:rFonts w:ascii="Arial" w:cs="Arial" w:eastAsia="Arial" w:hAnsi="Arial"/>
                <w:sz w:val="12"/>
                <w:szCs w:val="12"/>
                <w:b w:val="1"/>
                <w:bCs w:val="1"/>
                <w:color w:val="auto"/>
                <w:w w:val="89"/>
              </w:rPr>
              <w:t>Payments due by period (millions)</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Total</w:t>
            </w:r>
          </w:p>
        </w:tc>
        <w:tc>
          <w:tcPr>
            <w:tcW w:w="102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85"/>
              </w:rPr>
              <w:t>Less than</w:t>
            </w:r>
          </w:p>
        </w:tc>
        <w:tc>
          <w:tcPr>
            <w:tcW w:w="200" w:type="dxa"/>
            <w:vAlign w:val="bottom"/>
          </w:tcPr>
          <w:p>
            <w:pPr>
              <w:spacing w:after="0"/>
              <w:rPr>
                <w:sz w:val="17"/>
                <w:szCs w:val="17"/>
                <w:color w:val="auto"/>
              </w:rPr>
            </w:pPr>
          </w:p>
        </w:tc>
        <w:tc>
          <w:tcPr>
            <w:tcW w:w="480" w:type="dxa"/>
            <w:vAlign w:val="bottom"/>
          </w:tcPr>
          <w:p>
            <w:pPr>
              <w:jc w:val="right"/>
              <w:ind w:right="202"/>
              <w:spacing w:after="0"/>
              <w:rPr>
                <w:sz w:val="20"/>
                <w:szCs w:val="20"/>
                <w:color w:val="auto"/>
              </w:rPr>
            </w:pPr>
            <w:r>
              <w:rPr>
                <w:rFonts w:ascii="Arial" w:cs="Arial" w:eastAsia="Arial" w:hAnsi="Arial"/>
                <w:sz w:val="12"/>
                <w:szCs w:val="12"/>
                <w:b w:val="1"/>
                <w:bCs w:val="1"/>
                <w:color w:val="auto"/>
              </w:rPr>
              <w:t>1-3</w:t>
            </w:r>
          </w:p>
        </w:tc>
        <w:tc>
          <w:tcPr>
            <w:tcW w:w="460" w:type="dxa"/>
            <w:vAlign w:val="bottom"/>
          </w:tcPr>
          <w:p>
            <w:pPr>
              <w:spacing w:after="0"/>
              <w:rPr>
                <w:sz w:val="17"/>
                <w:szCs w:val="17"/>
                <w:color w:val="auto"/>
              </w:rPr>
            </w:pPr>
          </w:p>
        </w:tc>
        <w:tc>
          <w:tcPr>
            <w:tcW w:w="3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3-5</w:t>
            </w:r>
          </w:p>
        </w:tc>
        <w:tc>
          <w:tcPr>
            <w:tcW w:w="540" w:type="dxa"/>
            <w:vAlign w:val="bottom"/>
          </w:tcPr>
          <w:p>
            <w:pPr>
              <w:spacing w:after="0"/>
              <w:rPr>
                <w:sz w:val="17"/>
                <w:szCs w:val="17"/>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More than</w:t>
            </w:r>
          </w:p>
        </w:tc>
        <w:tc>
          <w:tcPr>
            <w:tcW w:w="0" w:type="dxa"/>
            <w:vAlign w:val="bottom"/>
          </w:tcPr>
          <w:p>
            <w:pPr>
              <w:spacing w:after="0"/>
              <w:rPr>
                <w:sz w:val="1"/>
                <w:szCs w:val="1"/>
                <w:color w:val="auto"/>
              </w:rPr>
            </w:pPr>
          </w:p>
        </w:tc>
      </w:tr>
      <w:tr>
        <w:trPr>
          <w:trHeight w:val="150"/>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20" w:type="dxa"/>
            <w:vAlign w:val="bottom"/>
            <w:gridSpan w:val="3"/>
          </w:tcPr>
          <w:p>
            <w:pPr>
              <w:jc w:val="center"/>
              <w:ind w:right="520"/>
              <w:spacing w:after="0" w:line="130" w:lineRule="exact"/>
              <w:rPr>
                <w:sz w:val="20"/>
                <w:szCs w:val="20"/>
                <w:color w:val="auto"/>
              </w:rPr>
            </w:pPr>
            <w:r>
              <w:rPr>
                <w:rFonts w:ascii="Arial" w:cs="Arial" w:eastAsia="Arial" w:hAnsi="Arial"/>
                <w:sz w:val="12"/>
                <w:szCs w:val="12"/>
                <w:b w:val="1"/>
                <w:bCs w:val="1"/>
                <w:color w:val="auto"/>
                <w:w w:val="86"/>
              </w:rPr>
              <w:t>1 year</w:t>
            </w:r>
          </w:p>
        </w:tc>
        <w:tc>
          <w:tcPr>
            <w:tcW w:w="200" w:type="dxa"/>
            <w:vAlign w:val="bottom"/>
          </w:tcPr>
          <w:p>
            <w:pPr>
              <w:spacing w:after="0"/>
              <w:rPr>
                <w:sz w:val="13"/>
                <w:szCs w:val="13"/>
                <w:color w:val="auto"/>
              </w:rPr>
            </w:pP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years</w:t>
            </w:r>
          </w:p>
        </w:tc>
        <w:tc>
          <w:tcPr>
            <w:tcW w:w="60" w:type="dxa"/>
            <w:vAlign w:val="bottom"/>
          </w:tcPr>
          <w:p>
            <w:pPr>
              <w:spacing w:after="0"/>
              <w:rPr>
                <w:sz w:val="13"/>
                <w:szCs w:val="13"/>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years</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6"/>
              </w:rPr>
              <w:t>5 years</w:t>
            </w:r>
          </w:p>
        </w:tc>
        <w:tc>
          <w:tcPr>
            <w:tcW w:w="0" w:type="dxa"/>
            <w:vAlign w:val="bottom"/>
          </w:tcPr>
          <w:p>
            <w:pPr>
              <w:spacing w:after="0"/>
              <w:rPr>
                <w:sz w:val="1"/>
                <w:szCs w:val="1"/>
                <w:color w:val="auto"/>
              </w:rPr>
            </w:pPr>
          </w:p>
        </w:tc>
      </w:tr>
      <w:tr>
        <w:trPr>
          <w:trHeight w:val="122"/>
        </w:trPr>
        <w:tc>
          <w:tcPr>
            <w:tcW w:w="382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Credit Facility</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145.5</w:t>
            </w:r>
          </w:p>
        </w:tc>
        <w:tc>
          <w:tcPr>
            <w:tcW w:w="5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22"/>
              <w:spacing w:after="0" w:line="122"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145.5</w:t>
            </w:r>
          </w:p>
        </w:tc>
        <w:tc>
          <w:tcPr>
            <w:tcW w:w="4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  —</w:t>
            </w:r>
          </w:p>
        </w:tc>
        <w:tc>
          <w:tcPr>
            <w:tcW w:w="5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2"/>
              <w:spacing w:after="0" w:line="122"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SBA debentures</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150.0</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150.0</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2025 Notes</w:t>
            </w: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5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20"/>
                <w:szCs w:val="20"/>
                <w:color w:val="auto"/>
              </w:rPr>
            </w:pPr>
            <w:r>
              <w:rPr>
                <w:rFonts w:ascii="Arial" w:cs="Arial" w:eastAsia="Arial" w:hAnsi="Arial"/>
                <w:sz w:val="12"/>
                <w:szCs w:val="12"/>
                <w:color w:val="auto"/>
              </w:rPr>
              <w:t>Total debt outstanding</w:t>
            </w:r>
            <w:r>
              <w:rPr>
                <w:rFonts w:ascii="Arial" w:cs="Arial" w:eastAsia="Arial" w:hAnsi="Arial"/>
                <w:sz w:val="9"/>
                <w:szCs w:val="9"/>
                <w:color w:val="auto"/>
              </w:rPr>
              <w:t>(1)</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366.8</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color w:val="auto"/>
              </w:rPr>
              <w:t>145.5</w:t>
            </w:r>
          </w:p>
        </w:tc>
        <w:tc>
          <w:tcPr>
            <w:tcW w:w="60" w:type="dxa"/>
            <w:vAlign w:val="bottom"/>
          </w:tcPr>
          <w:p>
            <w:pPr>
              <w:spacing w:after="0"/>
              <w:rPr>
                <w:sz w:val="13"/>
                <w:szCs w:val="13"/>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221.3</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Unfunded investments</w:t>
            </w:r>
            <w:r>
              <w:rPr>
                <w:rFonts w:ascii="Arial" w:cs="Arial" w:eastAsia="Arial" w:hAnsi="Arial"/>
                <w:sz w:val="9"/>
                <w:szCs w:val="9"/>
                <w:color w:val="auto"/>
              </w:rPr>
              <w:t>(2)</w:t>
            </w: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5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5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20"/>
                <w:szCs w:val="20"/>
                <w:color w:val="auto"/>
              </w:rPr>
            </w:pPr>
            <w:r>
              <w:rPr>
                <w:rFonts w:ascii="Arial" w:cs="Arial" w:eastAsia="Arial" w:hAnsi="Arial"/>
                <w:sz w:val="12"/>
                <w:szCs w:val="12"/>
                <w:color w:val="auto"/>
              </w:rPr>
              <w:t>Total contractual obligations</w:t>
            </w:r>
            <w:r>
              <w:rPr>
                <w:rFonts w:ascii="Arial" w:cs="Arial" w:eastAsia="Arial" w:hAnsi="Arial"/>
                <w:sz w:val="9"/>
                <w:szCs w:val="9"/>
                <w:color w:val="auto"/>
              </w:rPr>
              <w:t>(2)</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374.0</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rPr>
              <w:t>4.8</w:t>
            </w:r>
          </w:p>
        </w:tc>
        <w:tc>
          <w:tcPr>
            <w:tcW w:w="20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color w:val="auto"/>
              </w:rPr>
              <w:t>147.4</w:t>
            </w:r>
          </w:p>
        </w:tc>
        <w:tc>
          <w:tcPr>
            <w:tcW w:w="60" w:type="dxa"/>
            <w:vAlign w:val="bottom"/>
          </w:tcPr>
          <w:p>
            <w:pPr>
              <w:spacing w:after="0"/>
              <w:rPr>
                <w:sz w:val="13"/>
                <w:szCs w:val="13"/>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221.8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76" w:lineRule="exact"/>
        <w:rPr>
          <w:sz w:val="20"/>
          <w:szCs w:val="20"/>
          <w:color w:val="auto"/>
        </w:rPr>
      </w:pPr>
    </w:p>
    <w:p>
      <w:pPr>
        <w:ind w:left="340" w:right="140" w:hanging="332"/>
        <w:spacing w:after="0" w:line="243"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weighted average interest rate on the total debt outstanding as of September 30, 2013 was 4.05%, exclusive of the fee on the undrawn commitment of 0.50% on the Credit Facility and 3.43% of upfront fees on SBIC LP’s SBA debentures.</w:t>
      </w: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Unfunded investments described in the Consolidated Statement of Assets and Liabilities represent unfunded delayed draws on investments.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firstLine="674"/>
        <w:spacing w:after="0" w:line="239"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6" w:lineRule="exact"/>
        <w:rPr>
          <w:sz w:val="20"/>
          <w:szCs w:val="20"/>
          <w:color w:val="auto"/>
        </w:rPr>
      </w:pPr>
    </w:p>
    <w:p>
      <w:pPr>
        <w:ind w:right="40" w:firstLine="674"/>
        <w:spacing w:after="0" w:line="238" w:lineRule="auto"/>
        <w:rPr>
          <w:sz w:val="20"/>
          <w:szCs w:val="20"/>
          <w:color w:val="auto"/>
        </w:rPr>
      </w:pPr>
      <w:r>
        <w:rPr>
          <w:rFonts w:ascii="Arial" w:cs="Arial" w:eastAsia="Arial" w:hAnsi="Arial"/>
          <w:sz w:val="12"/>
          <w:szCs w:val="12"/>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97" w:lineRule="exact"/>
        <w:rPr>
          <w:sz w:val="20"/>
          <w:szCs w:val="20"/>
          <w:color w:val="auto"/>
        </w:rPr>
      </w:pPr>
    </w:p>
    <w:p>
      <w:pPr>
        <w:ind w:right="100" w:firstLine="674"/>
        <w:spacing w:after="0" w:line="416" w:lineRule="auto"/>
        <w:rPr>
          <w:sz w:val="20"/>
          <w:szCs w:val="20"/>
          <w:color w:val="auto"/>
        </w:rPr>
      </w:pPr>
      <w:r>
        <w:rPr>
          <w:rFonts w:ascii="Arial" w:cs="Arial" w:eastAsia="Arial" w:hAnsi="Arial"/>
          <w:sz w:val="9"/>
          <w:szCs w:val="9"/>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currently engage in no off-balance sheet arrangements, including any risk management of commodity pricing or other hedging practices.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w:t>
      </w:r>
    </w:p>
    <w:p>
      <w:pPr>
        <w:spacing w:after="0" w:line="105" w:lineRule="exact"/>
        <w:rPr>
          <w:sz w:val="20"/>
          <w:szCs w:val="20"/>
          <w:color w:val="auto"/>
        </w:rPr>
      </w:pPr>
    </w:p>
    <w:p>
      <w:pPr>
        <w:ind w:right="20" w:firstLine="674"/>
        <w:spacing w:after="0" w:line="238"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95"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During the fiscal year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intend to continue to make quarterly distributions to our stockholders. Our quarterly distributions, if any, are determined by our board of directors.</w:t>
      </w:r>
    </w:p>
    <w:p>
      <w:pPr>
        <w:spacing w:after="0" w:line="105" w:lineRule="exact"/>
        <w:rPr>
          <w:sz w:val="20"/>
          <w:szCs w:val="20"/>
          <w:color w:val="auto"/>
        </w:rPr>
      </w:pPr>
    </w:p>
    <w:p>
      <w:pPr>
        <w:ind w:right="220" w:firstLine="674"/>
        <w:spacing w:after="0" w:line="252"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88" w:lineRule="exact"/>
        <w:rPr>
          <w:sz w:val="20"/>
          <w:szCs w:val="20"/>
          <w:color w:val="auto"/>
        </w:rPr>
      </w:pPr>
    </w:p>
    <w:p>
      <w:pPr>
        <w:ind w:firstLine="674"/>
        <w:spacing w:after="0" w:line="276" w:lineRule="auto"/>
        <w:rPr>
          <w:sz w:val="20"/>
          <w:szCs w:val="20"/>
          <w:color w:val="auto"/>
        </w:rPr>
      </w:pPr>
      <w:r>
        <w:rPr>
          <w:rFonts w:ascii="Arial" w:cs="Arial" w:eastAsia="Arial" w:hAnsi="Arial"/>
          <w:sz w:val="11"/>
          <w:szCs w:val="11"/>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9"/>
          <w:szCs w:val="9"/>
          <w:b w:val="1"/>
          <w:bCs w:val="1"/>
          <w:color w:val="auto"/>
        </w:rPr>
        <w:t>Quantitative And Qualitative Disclosures About Market Risk</w:t>
      </w:r>
    </w:p>
    <w:p>
      <w:pPr>
        <w:spacing w:after="0" w:line="269" w:lineRule="exact"/>
        <w:rPr>
          <w:sz w:val="20"/>
          <w:szCs w:val="20"/>
          <w:color w:val="auto"/>
        </w:rPr>
      </w:pPr>
    </w:p>
    <w:p>
      <w:pPr>
        <w:ind w:firstLine="786"/>
        <w:spacing w:after="0" w:line="269" w:lineRule="auto"/>
        <w:rPr>
          <w:sz w:val="20"/>
          <w:szCs w:val="20"/>
          <w:color w:val="auto"/>
        </w:rPr>
      </w:pPr>
      <w:r>
        <w:rPr>
          <w:rFonts w:ascii="Arial" w:cs="Arial" w:eastAsia="Arial" w:hAnsi="Arial"/>
          <w:sz w:val="11"/>
          <w:szCs w:val="11"/>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81" w:lineRule="exact"/>
        <w:rPr>
          <w:sz w:val="20"/>
          <w:szCs w:val="20"/>
          <w:color w:val="auto"/>
        </w:rPr>
      </w:pPr>
    </w:p>
    <w:p>
      <w:pPr>
        <w:ind w:right="80" w:firstLine="674"/>
        <w:spacing w:after="0" w:line="252" w:lineRule="auto"/>
        <w:rPr>
          <w:sz w:val="20"/>
          <w:szCs w:val="20"/>
          <w:color w:val="auto"/>
        </w:rPr>
      </w:pPr>
      <w:r>
        <w:rPr>
          <w:rFonts w:ascii="Arial" w:cs="Arial" w:eastAsia="Arial" w:hAnsi="Arial"/>
          <w:sz w:val="12"/>
          <w:szCs w:val="12"/>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97" w:lineRule="exact"/>
        <w:rPr>
          <w:sz w:val="20"/>
          <w:szCs w:val="20"/>
          <w:color w:val="auto"/>
        </w:rPr>
      </w:pPr>
    </w:p>
    <w:tbl>
      <w:tblPr>
        <w:tblLayout w:type="fixed"/>
        <w:tblInd w:w="328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Change In Interest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Change In Interest Rates</w:t>
            </w:r>
          </w:p>
        </w:tc>
        <w:tc>
          <w:tcPr>
            <w:tcW w:w="2240" w:type="dxa"/>
            <w:vAlign w:val="bottom"/>
            <w:gridSpan w:val="3"/>
          </w:tcPr>
          <w:p>
            <w:pPr>
              <w:jc w:val="center"/>
              <w:ind w:left="202"/>
              <w:spacing w:after="0" w:line="135" w:lineRule="exact"/>
              <w:rPr>
                <w:sz w:val="20"/>
                <w:szCs w:val="20"/>
                <w:color w:val="auto"/>
              </w:rPr>
            </w:pPr>
            <w:r>
              <w:rPr>
                <w:rFonts w:ascii="Arial" w:cs="Arial" w:eastAsia="Arial" w:hAnsi="Arial"/>
                <w:sz w:val="12"/>
                <w:szCs w:val="12"/>
                <w:b w:val="1"/>
                <w:bCs w:val="1"/>
                <w:color w:val="auto"/>
                <w:w w:val="89"/>
              </w:rPr>
              <w:t>Income, Net Of Interest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4"/>
              </w:rPr>
              <w:t>Expense</w:t>
            </w:r>
          </w:p>
        </w:tc>
        <w:tc>
          <w:tcPr>
            <w:tcW w:w="920" w:type="dxa"/>
            <w:vAlign w:val="bottom"/>
            <w:gridSpan w:val="4"/>
          </w:tcPr>
          <w:p>
            <w:pPr>
              <w:ind w:left="340"/>
              <w:spacing w:after="0"/>
              <w:rPr>
                <w:sz w:val="20"/>
                <w:szCs w:val="20"/>
                <w:color w:val="auto"/>
              </w:rPr>
            </w:pPr>
            <w:r>
              <w:rPr>
                <w:rFonts w:ascii="Arial" w:cs="Arial" w:eastAsia="Arial" w:hAnsi="Arial"/>
                <w:sz w:val="12"/>
                <w:szCs w:val="12"/>
                <w:b w:val="1"/>
                <w:bCs w:val="1"/>
                <w:color w:val="auto"/>
                <w:w w:val="99"/>
              </w:rPr>
              <w:t>Per Share</w:t>
            </w:r>
          </w:p>
        </w:tc>
        <w:tc>
          <w:tcPr>
            <w:tcW w:w="0" w:type="dxa"/>
            <w:vAlign w:val="bottom"/>
          </w:tcPr>
          <w:p>
            <w:pPr>
              <w:spacing w:after="0"/>
              <w:rPr>
                <w:sz w:val="1"/>
                <w:szCs w:val="1"/>
                <w:color w:val="auto"/>
              </w:rPr>
            </w:pPr>
          </w:p>
        </w:tc>
      </w:tr>
      <w:tr>
        <w:trPr>
          <w:trHeight w:val="128"/>
        </w:trPr>
        <w:tc>
          <w:tcPr>
            <w:tcW w:w="15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Up 1%</w:t>
            </w:r>
          </w:p>
        </w:tc>
        <w:tc>
          <w:tcPr>
            <w:tcW w:w="6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(1,128)</w:t>
            </w:r>
          </w:p>
        </w:tc>
        <w:tc>
          <w:tcPr>
            <w:tcW w:w="3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(0.02)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jc w:val="center"/>
              <w:spacing w:after="0"/>
              <w:rPr>
                <w:sz w:val="20"/>
                <w:szCs w:val="20"/>
                <w:color w:val="auto"/>
              </w:rPr>
            </w:pPr>
            <w:r>
              <w:rPr>
                <w:rFonts w:ascii="Arial" w:cs="Arial" w:eastAsia="Arial" w:hAnsi="Arial"/>
                <w:sz w:val="12"/>
                <w:szCs w:val="12"/>
                <w:color w:val="auto"/>
                <w:w w:val="88"/>
              </w:rPr>
              <w:t>Up 2%</w:t>
            </w:r>
          </w:p>
        </w:tc>
        <w:tc>
          <w:tcPr>
            <w:tcW w:w="1860" w:type="dxa"/>
            <w:vAlign w:val="bottom"/>
            <w:gridSpan w:val="2"/>
          </w:tcPr>
          <w:p>
            <w:pPr>
              <w:jc w:val="right"/>
              <w:spacing w:after="0"/>
              <w:rPr>
                <w:sz w:val="20"/>
                <w:szCs w:val="20"/>
                <w:color w:val="auto"/>
              </w:rPr>
            </w:pPr>
            <w:r>
              <w:rPr>
                <w:rFonts w:ascii="Arial" w:cs="Arial" w:eastAsia="Arial" w:hAnsi="Arial"/>
                <w:sz w:val="12"/>
                <w:szCs w:val="12"/>
                <w:color w:val="auto"/>
              </w:rPr>
              <w:t>120</w:t>
            </w:r>
          </w:p>
        </w:tc>
        <w:tc>
          <w:tcPr>
            <w:tcW w:w="380" w:type="dxa"/>
            <w:vAlign w:val="bottom"/>
          </w:tcPr>
          <w:p>
            <w:pPr>
              <w:spacing w:after="0"/>
              <w:rPr>
                <w:sz w:val="12"/>
                <w:szCs w:val="12"/>
                <w:color w:val="auto"/>
              </w:rPr>
            </w:pPr>
          </w:p>
        </w:tc>
        <w:tc>
          <w:tcPr>
            <w:tcW w:w="520" w:type="dxa"/>
            <w:vAlign w:val="bottom"/>
            <w:gridSpan w:val="2"/>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Up 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3,249</w:t>
            </w: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40" w:type="dxa"/>
            <w:vAlign w:val="bottom"/>
          </w:tcPr>
          <w:p>
            <w:pPr>
              <w:jc w:val="center"/>
              <w:spacing w:after="0"/>
              <w:rPr>
                <w:sz w:val="20"/>
                <w:szCs w:val="20"/>
                <w:color w:val="auto"/>
              </w:rPr>
            </w:pPr>
            <w:r>
              <w:rPr>
                <w:rFonts w:ascii="Arial" w:cs="Arial" w:eastAsia="Arial" w:hAnsi="Arial"/>
                <w:sz w:val="12"/>
                <w:szCs w:val="12"/>
                <w:color w:val="auto"/>
                <w:w w:val="88"/>
              </w:rPr>
              <w:t>Up 4%</w:t>
            </w:r>
          </w:p>
        </w:tc>
        <w:tc>
          <w:tcPr>
            <w:tcW w:w="1860" w:type="dxa"/>
            <w:vAlign w:val="bottom"/>
            <w:gridSpan w:val="2"/>
          </w:tcPr>
          <w:p>
            <w:pPr>
              <w:jc w:val="right"/>
              <w:spacing w:after="0"/>
              <w:rPr>
                <w:sz w:val="20"/>
                <w:szCs w:val="20"/>
                <w:color w:val="auto"/>
              </w:rPr>
            </w:pPr>
            <w:r>
              <w:rPr>
                <w:rFonts w:ascii="Arial" w:cs="Arial" w:eastAsia="Arial" w:hAnsi="Arial"/>
                <w:sz w:val="12"/>
                <w:szCs w:val="12"/>
                <w:color w:val="auto"/>
              </w:rPr>
              <w:t>6,378</w:t>
            </w:r>
          </w:p>
        </w:tc>
        <w:tc>
          <w:tcPr>
            <w:tcW w:w="380" w:type="dxa"/>
            <w:vAlign w:val="bottom"/>
          </w:tcPr>
          <w:p>
            <w:pPr>
              <w:spacing w:after="0"/>
              <w:rPr>
                <w:sz w:val="13"/>
                <w:szCs w:val="13"/>
                <w:color w:val="auto"/>
              </w:rPr>
            </w:pPr>
          </w:p>
        </w:tc>
        <w:tc>
          <w:tcPr>
            <w:tcW w:w="520" w:type="dxa"/>
            <w:vAlign w:val="bottom"/>
            <w:gridSpan w:val="2"/>
          </w:tcPr>
          <w:p>
            <w:pPr>
              <w:jc w:val="right"/>
              <w:ind w:right="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0.10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right="100" w:firstLine="786"/>
        <w:spacing w:after="0" w:line="243" w:lineRule="auto"/>
        <w:rPr>
          <w:sz w:val="20"/>
          <w:szCs w:val="20"/>
          <w:color w:val="auto"/>
        </w:rPr>
      </w:pPr>
      <w:r>
        <w:rPr>
          <w:rFonts w:ascii="Arial" w:cs="Arial" w:eastAsia="Arial" w:hAnsi="Arial"/>
          <w:sz w:val="12"/>
          <w:szCs w:val="12"/>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94" w:lineRule="exact"/>
        <w:rPr>
          <w:sz w:val="20"/>
          <w:szCs w:val="20"/>
          <w:color w:val="auto"/>
        </w:rPr>
      </w:pPr>
    </w:p>
    <w:p>
      <w:pPr>
        <w:ind w:right="140" w:firstLine="786"/>
        <w:spacing w:after="0" w:line="297" w:lineRule="auto"/>
        <w:rPr>
          <w:sz w:val="20"/>
          <w:szCs w:val="20"/>
          <w:color w:val="auto"/>
        </w:rPr>
      </w:pPr>
      <w:r>
        <w:rPr>
          <w:rFonts w:ascii="Arial" w:cs="Arial" w:eastAsia="Arial" w:hAnsi="Arial"/>
          <w:sz w:val="11"/>
          <w:szCs w:val="11"/>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5" w:lineRule="exact"/>
        <w:rPr>
          <w:sz w:val="20"/>
          <w:szCs w:val="20"/>
          <w:color w:val="auto"/>
        </w:rPr>
      </w:pPr>
    </w:p>
    <w:p>
      <w:pPr>
        <w:ind w:right="180" w:firstLine="786"/>
        <w:spacing w:after="0" w:line="243" w:lineRule="auto"/>
        <w:rPr>
          <w:sz w:val="20"/>
          <w:szCs w:val="20"/>
          <w:color w:val="auto"/>
        </w:rPr>
      </w:pPr>
      <w:r>
        <w:rPr>
          <w:rFonts w:ascii="Arial" w:cs="Arial" w:eastAsia="Arial" w:hAnsi="Arial"/>
          <w:sz w:val="12"/>
          <w:szCs w:val="12"/>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180"/>
          </w:cols>
          <w:pgMar w:left="32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9"/>
          <w:szCs w:val="9"/>
          <w:b w:val="1"/>
          <w:bCs w:val="1"/>
          <w:color w:val="auto"/>
        </w:rPr>
        <w:t>Consolidated Financial Statements and Supplementary Data</w:t>
      </w:r>
    </w:p>
    <w:p>
      <w:pPr>
        <w:spacing w:after="0" w:line="200" w:lineRule="exact"/>
        <w:rPr>
          <w:sz w:val="20"/>
          <w:szCs w:val="20"/>
          <w:color w:val="auto"/>
        </w:rPr>
      </w:pPr>
    </w:p>
    <w:p>
      <w:pPr>
        <w:spacing w:after="0" w:line="366" w:lineRule="exact"/>
        <w:rPr>
          <w:sz w:val="20"/>
          <w:szCs w:val="20"/>
          <w:color w:val="auto"/>
        </w:rPr>
      </w:pPr>
    </w:p>
    <w:p>
      <w:pPr>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Management’s Report on Internal Control over Financial Reporting</w:t>
        </w:r>
      </w:hyperlink>
    </w:p>
    <w:p>
      <w:pPr>
        <w:spacing w:after="0" w:line="186" w:lineRule="exact"/>
        <w:rPr>
          <w:sz w:val="20"/>
          <w:szCs w:val="20"/>
          <w:color w:val="auto"/>
        </w:rPr>
      </w:pPr>
    </w:p>
    <w:p>
      <w:pPr>
        <w:spacing w:after="0"/>
        <w:rPr>
          <w:rFonts w:ascii="Arial" w:cs="Arial" w:eastAsia="Arial" w:hAnsi="Arial"/>
          <w:sz w:val="12"/>
          <w:szCs w:val="12"/>
          <w:u w:val="single" w:color="auto"/>
          <w:color w:val="0000EE"/>
        </w:rPr>
      </w:pPr>
      <w:hyperlink w:anchor="page45">
        <w:r>
          <w:rPr>
            <w:rFonts w:ascii="Arial" w:cs="Arial" w:eastAsia="Arial" w:hAnsi="Arial"/>
            <w:sz w:val="12"/>
            <w:szCs w:val="12"/>
            <w:u w:val="single" w:color="auto"/>
            <w:color w:val="0000EE"/>
          </w:rPr>
          <w:t>Report of Independent Registered Public Accounting Firm</w:t>
        </w:r>
      </w:hyperlink>
    </w:p>
    <w:p>
      <w:pPr>
        <w:spacing w:after="0" w:line="186" w:lineRule="exact"/>
        <w:rPr>
          <w:sz w:val="20"/>
          <w:szCs w:val="20"/>
          <w:color w:val="auto"/>
        </w:rPr>
      </w:pPr>
    </w:p>
    <w:p>
      <w:pPr>
        <w:spacing w:after="0"/>
        <w:rPr>
          <w:rFonts w:ascii="Arial" w:cs="Arial" w:eastAsia="Arial" w:hAnsi="Arial"/>
          <w:sz w:val="12"/>
          <w:szCs w:val="12"/>
          <w:u w:val="single" w:color="auto"/>
          <w:color w:val="0000EE"/>
        </w:rPr>
      </w:pPr>
      <w:hyperlink w:anchor="page46">
        <w:r>
          <w:rPr>
            <w:rFonts w:ascii="Arial" w:cs="Arial" w:eastAsia="Arial" w:hAnsi="Arial"/>
            <w:sz w:val="12"/>
            <w:szCs w:val="12"/>
            <w:u w:val="single" w:color="auto"/>
            <w:color w:val="0000EE"/>
          </w:rPr>
          <w:t>Report of Independent Registered Public Accounting Firm On Internal Control Over Financial Reporting</w:t>
        </w:r>
      </w:hyperlink>
    </w:p>
    <w:p>
      <w:pPr>
        <w:spacing w:after="0" w:line="186" w:lineRule="exact"/>
        <w:rPr>
          <w:sz w:val="20"/>
          <w:szCs w:val="20"/>
          <w:color w:val="auto"/>
        </w:rPr>
      </w:pPr>
    </w:p>
    <w:p>
      <w:pPr>
        <w:spacing w:after="0"/>
        <w:rPr>
          <w:rFonts w:ascii="Arial" w:cs="Arial" w:eastAsia="Arial" w:hAnsi="Arial"/>
          <w:sz w:val="12"/>
          <w:szCs w:val="12"/>
          <w:u w:val="single" w:color="auto"/>
          <w:color w:val="0000EE"/>
        </w:rPr>
      </w:pPr>
      <w:hyperlink w:anchor="page47">
        <w:r>
          <w:rPr>
            <w:rFonts w:ascii="Arial" w:cs="Arial" w:eastAsia="Arial" w:hAnsi="Arial"/>
            <w:sz w:val="12"/>
            <w:szCs w:val="12"/>
            <w:u w:val="single" w:color="auto"/>
            <w:color w:val="0000EE"/>
          </w:rPr>
          <w:t>Consolidated Statements of Assets and Liabilities as of September 30, 2013 and 2012</w:t>
        </w:r>
      </w:hyperlink>
    </w:p>
    <w:p>
      <w:pPr>
        <w:spacing w:after="0" w:line="186" w:lineRule="exact"/>
        <w:rPr>
          <w:sz w:val="20"/>
          <w:szCs w:val="20"/>
          <w:color w:val="auto"/>
        </w:rPr>
      </w:pPr>
    </w:p>
    <w:p>
      <w:pPr>
        <w:spacing w:after="0"/>
        <w:rPr>
          <w:rFonts w:ascii="Arial" w:cs="Arial" w:eastAsia="Arial" w:hAnsi="Arial"/>
          <w:sz w:val="12"/>
          <w:szCs w:val="12"/>
          <w:u w:val="single" w:color="auto"/>
          <w:color w:val="0000EE"/>
        </w:rPr>
      </w:pPr>
      <w:hyperlink w:anchor="page48">
        <w:r>
          <w:rPr>
            <w:rFonts w:ascii="Arial" w:cs="Arial" w:eastAsia="Arial" w:hAnsi="Arial"/>
            <w:sz w:val="12"/>
            <w:szCs w:val="12"/>
            <w:u w:val="single" w:color="auto"/>
            <w:color w:val="0000EE"/>
          </w:rPr>
          <w:t>Consolidated Statements of Operations for the years ended September 30, 2013, 2012 and 2011</w:t>
        </w:r>
      </w:hyperlink>
    </w:p>
    <w:p>
      <w:pPr>
        <w:spacing w:after="0" w:line="186" w:lineRule="exact"/>
        <w:rPr>
          <w:sz w:val="20"/>
          <w:szCs w:val="20"/>
          <w:color w:val="auto"/>
        </w:rPr>
      </w:pPr>
    </w:p>
    <w:p>
      <w:pPr>
        <w:spacing w:after="0"/>
        <w:rPr>
          <w:rFonts w:ascii="Arial" w:cs="Arial" w:eastAsia="Arial" w:hAnsi="Arial"/>
          <w:sz w:val="11"/>
          <w:szCs w:val="11"/>
          <w:u w:val="single" w:color="auto"/>
          <w:color w:val="0000EE"/>
        </w:rPr>
      </w:pPr>
      <w:hyperlink w:anchor="page49">
        <w:r>
          <w:rPr>
            <w:rFonts w:ascii="Arial" w:cs="Arial" w:eastAsia="Arial" w:hAnsi="Arial"/>
            <w:sz w:val="11"/>
            <w:szCs w:val="11"/>
            <w:u w:val="single" w:color="auto"/>
            <w:color w:val="0000EE"/>
          </w:rPr>
          <w:t>Consolidated Statements of Changes in Net Assets for the years ended September 30, 2013, 2012 and 2011</w:t>
        </w:r>
      </w:hyperlink>
    </w:p>
    <w:p>
      <w:pPr>
        <w:spacing w:after="0" w:line="198" w:lineRule="exact"/>
        <w:rPr>
          <w:sz w:val="20"/>
          <w:szCs w:val="20"/>
          <w:color w:val="auto"/>
        </w:rPr>
      </w:pPr>
    </w:p>
    <w:p>
      <w:pPr>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Consolidated Statements of Cash Flows for the years ended September 30, 2013, 2012 and 2011</w:t>
        </w:r>
      </w:hyperlink>
    </w:p>
    <w:p>
      <w:pPr>
        <w:spacing w:after="0" w:line="186" w:lineRule="exact"/>
        <w:rPr>
          <w:sz w:val="20"/>
          <w:szCs w:val="20"/>
          <w:color w:val="auto"/>
        </w:rPr>
      </w:pPr>
    </w:p>
    <w:p>
      <w:pPr>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Notes to the Consolidated Financial Statements</w:t>
        </w:r>
      </w:hyperlink>
    </w:p>
    <w:p>
      <w:pPr>
        <w:spacing w:after="0" w:line="159" w:lineRule="exact"/>
        <w:rPr>
          <w:sz w:val="20"/>
          <w:szCs w:val="20"/>
          <w:color w:val="auto"/>
        </w:rPr>
      </w:pPr>
    </w:p>
    <w:p>
      <w:pPr>
        <w:jc w:val="center"/>
        <w:ind w:left="1020"/>
        <w:spacing w:after="0"/>
        <w:rPr>
          <w:sz w:val="20"/>
          <w:szCs w:val="20"/>
          <w:color w:val="auto"/>
        </w:rPr>
      </w:pPr>
      <w:r>
        <w:rPr>
          <w:rFonts w:ascii="Arial" w:cs="Arial" w:eastAsia="Arial" w:hAnsi="Arial"/>
          <w:sz w:val="9"/>
          <w:szCs w:val="9"/>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9"/>
          <w:szCs w:val="9"/>
          <w:b w:val="1"/>
          <w:bCs w:val="1"/>
          <w:color w:val="auto"/>
        </w:rPr>
        <w:t>Page</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42</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44</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46</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ectPr>
          <w:pgSz w:w="11900" w:h="16838" w:orient="portrait"/>
          <w:cols w:equalWidth="0" w:num="2">
            <w:col w:w="10220" w:space="720"/>
            <w:col w:w="240"/>
          </w:cols>
          <w:pgMar w:left="320" w:top="459"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07" w:lineRule="exact"/>
        <w:rPr>
          <w:sz w:val="20"/>
          <w:szCs w:val="20"/>
          <w:color w:val="auto"/>
        </w:rPr>
      </w:pPr>
    </w:p>
    <w:p>
      <w:pPr>
        <w:ind w:right="240" w:firstLine="674"/>
        <w:spacing w:after="0" w:line="243" w:lineRule="auto"/>
        <w:rPr>
          <w:sz w:val="20"/>
          <w:szCs w:val="20"/>
          <w:color w:val="auto"/>
        </w:rPr>
      </w:pPr>
      <w:r>
        <w:rPr>
          <w:rFonts w:ascii="Arial" w:cs="Arial" w:eastAsia="Arial" w:hAnsi="Arial"/>
          <w:sz w:val="12"/>
          <w:szCs w:val="12"/>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94"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6" w:lineRule="exact"/>
        <w:rPr>
          <w:sz w:val="20"/>
          <w:szCs w:val="20"/>
          <w:color w:val="auto"/>
        </w:rPr>
      </w:pPr>
    </w:p>
    <w:p>
      <w:pPr>
        <w:ind w:right="300" w:firstLine="674"/>
        <w:spacing w:after="0" w:line="243" w:lineRule="auto"/>
        <w:rPr>
          <w:sz w:val="20"/>
          <w:szCs w:val="20"/>
          <w:color w:val="auto"/>
        </w:rPr>
      </w:pPr>
      <w:r>
        <w:rPr>
          <w:rFonts w:ascii="Arial" w:cs="Arial" w:eastAsia="Arial" w:hAnsi="Arial"/>
          <w:sz w:val="12"/>
          <w:szCs w:val="12"/>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firstLine="674"/>
        <w:spacing w:after="0" w:line="243" w:lineRule="auto"/>
        <w:rPr>
          <w:sz w:val="20"/>
          <w:szCs w:val="20"/>
          <w:color w:val="auto"/>
        </w:rPr>
      </w:pPr>
      <w:r>
        <w:rPr>
          <w:rFonts w:ascii="Arial" w:cs="Arial" w:eastAsia="Arial" w:hAnsi="Arial"/>
          <w:sz w:val="12"/>
          <w:szCs w:val="12"/>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 Based on the assessment management believes that, as of September 30, 2013, our internal control over financial reporting is effective based on those criteria.</w:t>
      </w:r>
    </w:p>
    <w:p>
      <w:pPr>
        <w:spacing w:after="0" w:line="94" w:lineRule="exact"/>
        <w:rPr>
          <w:sz w:val="20"/>
          <w:szCs w:val="20"/>
          <w:color w:val="auto"/>
        </w:rPr>
      </w:pPr>
    </w:p>
    <w:p>
      <w:pPr>
        <w:ind w:right="840" w:firstLine="674"/>
        <w:spacing w:after="0" w:line="252" w:lineRule="auto"/>
        <w:rPr>
          <w:sz w:val="20"/>
          <w:szCs w:val="20"/>
          <w:color w:val="auto"/>
        </w:rPr>
      </w:pPr>
      <w:r>
        <w:rPr>
          <w:rFonts w:ascii="Arial" w:cs="Arial" w:eastAsia="Arial" w:hAnsi="Arial"/>
          <w:sz w:val="12"/>
          <w:szCs w:val="12"/>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44.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PennantPark Investment Corporation and its Subsidiaries:</w:t>
      </w:r>
    </w:p>
    <w:p>
      <w:pPr>
        <w:spacing w:after="0" w:line="95" w:lineRule="exact"/>
        <w:rPr>
          <w:sz w:val="20"/>
          <w:szCs w:val="20"/>
          <w:color w:val="auto"/>
        </w:rPr>
      </w:pPr>
    </w:p>
    <w:p>
      <w:pPr>
        <w:ind w:right="200" w:firstLine="674"/>
        <w:spacing w:after="0" w:line="276" w:lineRule="auto"/>
        <w:rPr>
          <w:sz w:val="20"/>
          <w:szCs w:val="20"/>
          <w:color w:val="auto"/>
        </w:rPr>
      </w:pPr>
      <w:r>
        <w:rPr>
          <w:rFonts w:ascii="Arial" w:cs="Arial" w:eastAsia="Arial" w:hAnsi="Arial"/>
          <w:sz w:val="11"/>
          <w:szCs w:val="11"/>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77"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1" w:lineRule="exact"/>
        <w:rPr>
          <w:sz w:val="20"/>
          <w:szCs w:val="20"/>
          <w:color w:val="auto"/>
        </w:rPr>
      </w:pPr>
    </w:p>
    <w:p>
      <w:pPr>
        <w:ind w:right="180" w:firstLine="674"/>
        <w:spacing w:after="0" w:line="252"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88" w:lineRule="exact"/>
        <w:rPr>
          <w:sz w:val="20"/>
          <w:szCs w:val="20"/>
          <w:color w:val="auto"/>
        </w:rPr>
      </w:pPr>
    </w:p>
    <w:p>
      <w:pPr>
        <w:ind w:right="360" w:firstLine="674"/>
        <w:spacing w:after="0" w:line="24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 issued by the Committee of Sponsoring Organizations of the Treadway Commission (COSO), and our report dated November 13, 2013 expressed an unqualified opinion on the effectiveness of the Company’s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rPr>
          <w:sz w:val="20"/>
          <w:szCs w:val="20"/>
          <w:color w:val="auto"/>
        </w:rPr>
      </w:pPr>
      <w:r>
        <w:rPr>
          <w:rFonts w:ascii="Arial" w:cs="Arial" w:eastAsia="Arial" w:hAnsi="Arial"/>
          <w:sz w:val="12"/>
          <w:szCs w:val="12"/>
          <w:color w:val="auto"/>
        </w:rPr>
        <w:t>November 13, 2013</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On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PennantPark Investment Corporation and its Subsidiaries:</w:t>
      </w:r>
    </w:p>
    <w:p>
      <w:pPr>
        <w:spacing w:after="0" w:line="95" w:lineRule="exact"/>
        <w:rPr>
          <w:sz w:val="20"/>
          <w:szCs w:val="20"/>
          <w:color w:val="auto"/>
        </w:rPr>
      </w:pPr>
    </w:p>
    <w:p>
      <w:pPr>
        <w:ind w:firstLine="674"/>
        <w:spacing w:after="0"/>
        <w:rPr>
          <w:sz w:val="20"/>
          <w:szCs w:val="20"/>
          <w:color w:val="auto"/>
        </w:rPr>
      </w:pPr>
      <w:r>
        <w:rPr>
          <w:rFonts w:ascii="Arial" w:cs="Arial" w:eastAsia="Arial" w:hAnsi="Arial"/>
          <w:sz w:val="12"/>
          <w:szCs w:val="12"/>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2"/>
          <w:szCs w:val="12"/>
          <w:i w:val="1"/>
          <w:iCs w:val="1"/>
          <w:color w:val="auto"/>
        </w:rPr>
        <w:t>Internal Control—Integrated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 issued by the Committee of Sponsoring Organizations of the Treadway Commission (COSO). Management of the Company is responsible for maintaining effective internal control over financial reporting and for its assessment</w:t>
      </w:r>
      <w:r>
        <w:rPr>
          <w:rFonts w:ascii="Arial" w:cs="Arial" w:eastAsia="Arial" w:hAnsi="Arial"/>
          <w:sz w:val="12"/>
          <w:szCs w:val="12"/>
          <w:i w:val="1"/>
          <w:iCs w:val="1"/>
          <w:color w:val="auto"/>
        </w:rPr>
        <w:t xml:space="preserve"> </w:t>
      </w:r>
      <w:r>
        <w:rPr>
          <w:rFonts w:ascii="Arial" w:cs="Arial" w:eastAsia="Arial" w:hAnsi="Arial"/>
          <w:sz w:val="12"/>
          <w:szCs w:val="12"/>
          <w:color w:val="auto"/>
        </w:rPr>
        <w:t>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6" w:lineRule="exact"/>
        <w:rPr>
          <w:sz w:val="20"/>
          <w:szCs w:val="20"/>
          <w:color w:val="auto"/>
        </w:rPr>
      </w:pPr>
    </w:p>
    <w:p>
      <w:pPr>
        <w:jc w:val="both"/>
        <w:ind w:right="60" w:firstLine="674"/>
        <w:spacing w:after="0"/>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6" w:lineRule="exact"/>
        <w:rPr>
          <w:sz w:val="20"/>
          <w:szCs w:val="20"/>
          <w:color w:val="auto"/>
        </w:rPr>
      </w:pPr>
    </w:p>
    <w:p>
      <w:pPr>
        <w:ind w:right="100" w:firstLine="674"/>
        <w:spacing w:after="0" w:line="26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Control—Integrated Framework, </w:t>
      </w:r>
      <w:r>
        <w:rPr>
          <w:rFonts w:ascii="Arial" w:cs="Arial" w:eastAsia="Arial" w:hAnsi="Arial"/>
          <w:sz w:val="12"/>
          <w:szCs w:val="12"/>
          <w:color w:val="auto"/>
        </w:rPr>
        <w:t>issued by COSO.</w:t>
      </w:r>
    </w:p>
    <w:p>
      <w:pPr>
        <w:spacing w:after="0" w:line="88" w:lineRule="exact"/>
        <w:rPr>
          <w:sz w:val="20"/>
          <w:szCs w:val="20"/>
          <w:color w:val="auto"/>
        </w:rPr>
      </w:pPr>
    </w:p>
    <w:p>
      <w:pPr>
        <w:ind w:right="80" w:firstLine="674"/>
        <w:spacing w:after="0" w:line="24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rPr>
          <w:sz w:val="20"/>
          <w:szCs w:val="20"/>
          <w:color w:val="auto"/>
        </w:rPr>
      </w:pPr>
      <w:r>
        <w:rPr>
          <w:rFonts w:ascii="Arial" w:cs="Arial" w:eastAsia="Arial" w:hAnsi="Arial"/>
          <w:sz w:val="12"/>
          <w:szCs w:val="12"/>
          <w:color w:val="auto"/>
        </w:rPr>
        <w:t>November 13, 2013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ASSETS AND LIABILITIES</w:t>
      </w:r>
    </w:p>
    <w:p>
      <w:pPr>
        <w:spacing w:after="0" w:line="363" w:lineRule="exact"/>
        <w:rPr>
          <w:sz w:val="20"/>
          <w:szCs w:val="20"/>
          <w:color w:val="auto"/>
        </w:rPr>
      </w:pPr>
    </w:p>
    <w:p>
      <w:pPr>
        <w:jc w:val="right"/>
        <w:ind w:right="80"/>
        <w:spacing w:after="0"/>
        <w:tabs>
          <w:tab w:leader="none" w:pos="960" w:val="left"/>
        </w:tabs>
        <w:rPr>
          <w:sz w:val="20"/>
          <w:szCs w:val="20"/>
          <w:color w:val="auto"/>
        </w:rPr>
      </w:pPr>
      <w:r>
        <w:rPr>
          <w:rFonts w:ascii="Arial" w:cs="Arial" w:eastAsia="Arial" w:hAnsi="Arial"/>
          <w:sz w:val="12"/>
          <w:szCs w:val="12"/>
          <w:b w:val="1"/>
          <w:bCs w:val="1"/>
          <w:u w:val="single" w:color="auto"/>
          <w:color w:val="auto"/>
        </w:rPr>
        <w:t>September 30, 2013</w:t>
      </w:r>
      <w:r>
        <w:rPr>
          <w:sz w:val="20"/>
          <w:szCs w:val="20"/>
          <w:color w:val="auto"/>
        </w:rPr>
        <w:tab/>
      </w:r>
      <w:r>
        <w:rPr>
          <w:rFonts w:ascii="Arial" w:cs="Arial" w:eastAsia="Arial" w:hAnsi="Arial"/>
          <w:sz w:val="9"/>
          <w:szCs w:val="9"/>
          <w:b w:val="1"/>
          <w:bCs w:val="1"/>
          <w:u w:val="single" w:color="auto"/>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Investments at fair value</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9"/>
          <w:szCs w:val="9"/>
          <w:color w:val="auto"/>
        </w:rPr>
        <w:t>Non-controlled, non-affiliated investments, at fair value (cost—$928,078,589 and $871,867,953,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Non-controlled, affiliated investments, at fair value (cost—$99,021,141 and $72,576,858, respectively)</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Controlled, affiliated investments, at fair value (cost—$64,418,155 and $64,167,051,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Total of investments, at fair value (cost—$1,091,517,885 and $1,008,611,862,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Interest receivable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Total assets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Distributions payable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Unfunded investments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payable (cost—$145,500,000 and $145,000,000, respectively) (See Notes 5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SBA debentures payable (cost—$150,000,000) (See Notes 5 and 11)</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2025 Notes payable (cost—$71,250,000) (See Notes 5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Management fee payable (See Note 3)</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Performance-based incentive fee payable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Interest payable on debt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Total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520" w:right="2900" w:hanging="503"/>
        <w:spacing w:after="0" w:line="243" w:lineRule="auto"/>
        <w:rPr>
          <w:sz w:val="20"/>
          <w:szCs w:val="20"/>
          <w:color w:val="auto"/>
        </w:rPr>
      </w:pPr>
      <w:r>
        <w:rPr>
          <w:rFonts w:ascii="Arial" w:cs="Arial" w:eastAsia="Arial" w:hAnsi="Arial"/>
          <w:sz w:val="12"/>
          <w:szCs w:val="12"/>
          <w:color w:val="auto"/>
        </w:rPr>
        <w:t>Common stock, 66,499,327 and 65,514,503 shares issued and outstanding, respectively. Par value $0.001 per share and 100,000,000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Paid-in capital in excess of par value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(Distributions in excess of) Undistributed net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Accumulated 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Net unrealized depreciation on investments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unrealized depreciation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968,471,042</w:t>
            </w:r>
          </w:p>
        </w:tc>
        <w:tc>
          <w:tcPr>
            <w:tcW w:w="3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871,892,745</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76,735,800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80,955,257</w:t>
            </w:r>
          </w:p>
        </w:tc>
      </w:tr>
      <w:tr>
        <w:trPr>
          <w:trHeight w:val="142"/>
        </w:trPr>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32,968,711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37,631,708</w:t>
            </w:r>
          </w:p>
        </w:tc>
        <w:tc>
          <w:tcPr>
            <w:tcW w:w="40" w:type="dxa"/>
            <w:vAlign w:val="bottom"/>
          </w:tcPr>
          <w:p>
            <w:pPr>
              <w:spacing w:after="0"/>
              <w:rPr>
                <w:sz w:val="12"/>
                <w:szCs w:val="12"/>
                <w:color w:val="auto"/>
              </w:rPr>
            </w:pPr>
          </w:p>
        </w:tc>
      </w:tr>
      <w:tr>
        <w:trPr>
          <w:trHeight w:val="163"/>
        </w:trPr>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1,078,175,553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990,479,710</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58,440,829</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7,559,453</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10,894,893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14,928,862</w:t>
            </w:r>
          </w:p>
        </w:tc>
      </w:tr>
      <w:tr>
        <w:trPr>
          <w:trHeight w:val="142"/>
        </w:trPr>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5,815,817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5,999,506</w:t>
            </w:r>
          </w:p>
        </w:tc>
        <w:tc>
          <w:tcPr>
            <w:tcW w:w="40" w:type="dxa"/>
            <w:vAlign w:val="bottom"/>
          </w:tcPr>
          <w:p>
            <w:pPr>
              <w:spacing w:after="0"/>
              <w:rPr>
                <w:sz w:val="12"/>
                <w:szCs w:val="12"/>
                <w:color w:val="auto"/>
              </w:rPr>
            </w:pPr>
          </w:p>
        </w:tc>
      </w:tr>
      <w:tr>
        <w:trPr>
          <w:trHeight w:val="155"/>
        </w:trPr>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1,153,327,092</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1,018,967,531</w:t>
            </w:r>
          </w:p>
        </w:tc>
        <w:tc>
          <w:tcPr>
            <w:tcW w:w="40" w:type="dxa"/>
            <w:vAlign w:val="bottom"/>
          </w:tcPr>
          <w:p>
            <w:pPr>
              <w:spacing w:after="0"/>
              <w:rPr>
                <w:sz w:val="13"/>
                <w:szCs w:val="13"/>
                <w:color w:val="auto"/>
              </w:rPr>
            </w:pPr>
          </w:p>
        </w:tc>
      </w:tr>
      <w:tr>
        <w:trPr>
          <w:trHeight w:val="311"/>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18,619,812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15,824,061</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52,544,704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7,241,667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26,935,270</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145,500,000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144,452,500</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150,000,000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150,000,000</w:t>
            </w:r>
          </w:p>
        </w:tc>
      </w:tr>
      <w:tr>
        <w:trPr>
          <w:trHeight w:val="149"/>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68,400,000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5,419,557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4,791,913</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4,274,881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4,206,989</w:t>
            </w:r>
          </w:p>
        </w:tc>
      </w:tr>
      <w:tr>
        <w:trPr>
          <w:trHeight w:val="148"/>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1,810,466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854,725</w:t>
            </w:r>
          </w:p>
        </w:tc>
      </w:tr>
      <w:tr>
        <w:trPr>
          <w:trHeight w:val="142"/>
        </w:trPr>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2,009,806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2,185,026</w:t>
            </w:r>
          </w:p>
        </w:tc>
        <w:tc>
          <w:tcPr>
            <w:tcW w:w="40" w:type="dxa"/>
            <w:vAlign w:val="bottom"/>
          </w:tcPr>
          <w:p>
            <w:pPr>
              <w:spacing w:after="0"/>
              <w:rPr>
                <w:sz w:val="12"/>
                <w:szCs w:val="12"/>
                <w:color w:val="auto"/>
              </w:rPr>
            </w:pPr>
          </w:p>
        </w:tc>
      </w:tr>
      <w:tr>
        <w:trPr>
          <w:trHeight w:val="155"/>
        </w:trPr>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455,820,893</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349,250,484</w:t>
            </w:r>
          </w:p>
        </w:tc>
        <w:tc>
          <w:tcPr>
            <w:tcW w:w="40" w:type="dxa"/>
            <w:vAlign w:val="bottom"/>
          </w:tcPr>
          <w:p>
            <w:pPr>
              <w:spacing w:after="0"/>
              <w:rPr>
                <w:sz w:val="13"/>
                <w:szCs w:val="13"/>
                <w:color w:val="auto"/>
              </w:rPr>
            </w:pPr>
          </w:p>
        </w:tc>
      </w:tr>
      <w:tr>
        <w:trPr>
          <w:trHeight w:val="433"/>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66,499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65,514</w:t>
            </w:r>
          </w:p>
        </w:tc>
      </w:tr>
      <w:tr>
        <w:trPr>
          <w:trHeight w:val="149"/>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756,017,096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744,704,825</w:t>
            </w:r>
          </w:p>
        </w:tc>
      </w:tr>
      <w:tr>
        <w:trPr>
          <w:trHeight w:val="148"/>
        </w:trPr>
        <w:tc>
          <w:tcPr>
            <w:tcW w:w="2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(4,675,217)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2,804,397</w:t>
            </w:r>
          </w:p>
        </w:tc>
      </w:tr>
      <w:tr>
        <w:trPr>
          <w:trHeight w:val="148"/>
        </w:trPr>
        <w:tc>
          <w:tcPr>
            <w:tcW w:w="2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(43,409,847)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(60,273,037)</w:t>
            </w:r>
          </w:p>
        </w:tc>
      </w:tr>
      <w:tr>
        <w:trPr>
          <w:trHeight w:val="148"/>
        </w:trPr>
        <w:tc>
          <w:tcPr>
            <w:tcW w:w="2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(13,342,332)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(18,132,152)</w:t>
            </w:r>
          </w:p>
        </w:tc>
      </w:tr>
      <w:tr>
        <w:trPr>
          <w:trHeight w:val="142"/>
        </w:trPr>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2,850,000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547,500</w:t>
            </w:r>
          </w:p>
        </w:tc>
      </w:tr>
    </w:tbl>
    <w:p>
      <w:pPr>
        <w:spacing w:after="0" w:line="20" w:lineRule="exact"/>
        <w:rPr>
          <w:sz w:val="20"/>
          <w:szCs w:val="20"/>
          <w:color w:val="auto"/>
        </w:rPr>
      </w:pPr>
    </w:p>
    <w:p>
      <w:pPr>
        <w:sectPr>
          <w:pgSz w:w="11900" w:h="16838" w:orient="portrait"/>
          <w:cols w:equalWidth="0" w:num="2">
            <w:col w:w="7840" w:space="720"/>
            <w:col w:w="26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560" w:type="dxa"/>
            <w:vAlign w:val="bottom"/>
            <w:vMerge w:val="restart"/>
          </w:tcPr>
          <w:p>
            <w:pPr>
              <w:ind w:left="720"/>
              <w:spacing w:after="0"/>
              <w:rPr>
                <w:sz w:val="20"/>
                <w:szCs w:val="20"/>
                <w:color w:val="auto"/>
              </w:rPr>
            </w:pPr>
            <w:r>
              <w:rPr>
                <w:rFonts w:ascii="Arial" w:cs="Arial" w:eastAsia="Arial" w:hAnsi="Arial"/>
                <w:sz w:val="12"/>
                <w:szCs w:val="12"/>
                <w:b w:val="1"/>
                <w:bCs w:val="1"/>
                <w:color w:val="auto"/>
              </w:rPr>
              <w:t>Total net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560" w:type="dxa"/>
            <w:vAlign w:val="bottom"/>
            <w:vMerge w:val="continue"/>
          </w:tcPr>
          <w:p>
            <w:pPr>
              <w:spacing w:after="0"/>
              <w:rPr>
                <w:sz w:val="11"/>
                <w:szCs w:val="11"/>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697,506,199</w:t>
            </w:r>
          </w:p>
        </w:tc>
        <w:tc>
          <w:tcPr>
            <w:tcW w:w="8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669,717,047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60" w:type="dxa"/>
            <w:vAlign w:val="bottom"/>
            <w:shd w:val="clear" w:color="auto" w:fill="CCEEFF"/>
          </w:tcPr>
          <w:p>
            <w:pPr>
              <w:ind w:left="720"/>
              <w:spacing w:after="0"/>
              <w:rPr>
                <w:sz w:val="20"/>
                <w:szCs w:val="20"/>
                <w:color w:val="auto"/>
              </w:rPr>
            </w:pPr>
            <w:r>
              <w:rPr>
                <w:rFonts w:ascii="Arial" w:cs="Arial" w:eastAsia="Arial" w:hAnsi="Arial"/>
                <w:sz w:val="12"/>
                <w:szCs w:val="12"/>
                <w:b w:val="1"/>
                <w:bCs w:val="1"/>
                <w:color w:val="auto"/>
              </w:rPr>
              <w:t>Total liabilities and net assets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1,153,327,092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1,018,967,531</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2"/>
                <w:szCs w:val="12"/>
                <w:b w:val="1"/>
                <w:bCs w:val="1"/>
                <w:color w:val="auto"/>
              </w:rPr>
              <w:t>Net asset value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60" w:type="dxa"/>
            <w:vAlign w:val="bottom"/>
            <w:vMerge w:val="continue"/>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10.49</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10.22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240"/>
          </w:cols>
          <w:pgMar w:left="320" w:top="459"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6"/>
              </w:rPr>
              <w:t>Years Ended September 30,</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Investment income:</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0" w:type="dxa"/>
            <w:vAlign w:val="bottom"/>
          </w:tcPr>
          <w:p>
            <w:pPr>
              <w:spacing w:after="0"/>
              <w:rPr>
                <w:sz w:val="20"/>
                <w:szCs w:val="20"/>
                <w:color w:val="auto"/>
              </w:rPr>
            </w:pPr>
            <w:r>
              <w:rPr>
                <w:rFonts w:ascii="Arial" w:cs="Arial" w:eastAsia="Arial" w:hAnsi="Arial"/>
                <w:sz w:val="12"/>
                <w:szCs w:val="12"/>
                <w:color w:val="auto"/>
              </w:rPr>
              <w:t>From non-controlled, non-affiliated investments: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Interest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107,058,958</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99,663,198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83,632,455</w:t>
            </w: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Other income</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10,883,261</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8,486,387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4,726,387</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From non-controlled, affiliated investments: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Interest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5,841,127</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3,542,583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2,217,320</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597,400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20"/>
                <w:szCs w:val="20"/>
                <w:color w:val="auto"/>
              </w:rPr>
            </w:pPr>
            <w:r>
              <w:rPr>
                <w:rFonts w:ascii="Arial" w:cs="Arial" w:eastAsia="Arial" w:hAnsi="Arial"/>
                <w:sz w:val="12"/>
                <w:szCs w:val="12"/>
                <w:color w:val="auto"/>
              </w:rPr>
              <w:t>From controlled, affiliated investments: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Interest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4,806,329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1,700,222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1,162,333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Total investment income</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2"/>
              </w:rPr>
              <w:t>129,187,075</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w w:val="92"/>
              </w:rPr>
              <w:t>113,392,390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91,738,495</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Expenses:</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Base management fee (See Note 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21,288,728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17,507,262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14,899,983</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Performance-based incentive fee (See Note 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16,793,089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14,223,777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13,161,597</w:t>
            </w: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Interest and expenses on debt (See Note 11)</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15,384,208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11,680,634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5,322,231</w:t>
            </w:r>
          </w:p>
        </w:tc>
        <w:tc>
          <w:tcPr>
            <w:tcW w:w="0" w:type="dxa"/>
            <w:vAlign w:val="bottom"/>
          </w:tcPr>
          <w:p>
            <w:pPr>
              <w:spacing w:after="0"/>
              <w:rPr>
                <w:sz w:val="1"/>
                <w:szCs w:val="1"/>
                <w:color w:val="auto"/>
              </w:rPr>
            </w:pPr>
          </w:p>
        </w:tc>
      </w:tr>
      <w:tr>
        <w:trPr>
          <w:trHeight w:val="149"/>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Administrative services expenses (See Note 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3,161,158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3,745,741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2,596,756</w:t>
            </w: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Other general and administrative expenses</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2,857,739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3,496,326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2,884,029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b w:val="1"/>
                <w:bCs w:val="1"/>
                <w:color w:val="auto"/>
              </w:rPr>
              <w:t>Expenses before taxes and debt issuance costs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59,484,922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50,653,740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38,864,596</w:t>
            </w:r>
          </w:p>
        </w:tc>
        <w:tc>
          <w:tcPr>
            <w:tcW w:w="0" w:type="dxa"/>
            <w:vAlign w:val="bottom"/>
          </w:tcPr>
          <w:p>
            <w:pPr>
              <w:spacing w:after="0"/>
              <w:rPr>
                <w:sz w:val="1"/>
                <w:szCs w:val="1"/>
                <w:color w:val="auto"/>
              </w:rPr>
            </w:pPr>
          </w:p>
        </w:tc>
      </w:tr>
      <w:tr>
        <w:trPr>
          <w:trHeight w:val="149"/>
        </w:trPr>
        <w:tc>
          <w:tcPr>
            <w:tcW w:w="7800" w:type="dxa"/>
            <w:vAlign w:val="bottom"/>
          </w:tcPr>
          <w:p>
            <w:pPr>
              <w:ind w:left="480"/>
              <w:spacing w:after="0"/>
              <w:rPr>
                <w:sz w:val="20"/>
                <w:szCs w:val="20"/>
                <w:color w:val="auto"/>
              </w:rPr>
            </w:pPr>
            <w:r>
              <w:rPr>
                <w:rFonts w:ascii="Arial" w:cs="Arial" w:eastAsia="Arial" w:hAnsi="Arial"/>
                <w:sz w:val="12"/>
                <w:szCs w:val="12"/>
                <w:color w:val="auto"/>
              </w:rPr>
              <w:t>Tax expense</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(53,468)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307,990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228,824</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Debt issuance costs (See Note 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2,757,500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5,361,319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62,188,954</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56,323,049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39,093,420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b w:val="1"/>
                <w:bCs w:val="1"/>
                <w:color w:val="auto"/>
              </w:rPr>
              <w:t>Net investment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66,998,121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57,069,341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52,645,075</w:t>
            </w:r>
          </w:p>
        </w:tc>
        <w:tc>
          <w:tcPr>
            <w:tcW w:w="0" w:type="dxa"/>
            <w:vAlign w:val="bottom"/>
          </w:tcPr>
          <w:p>
            <w:pPr>
              <w:spacing w:after="0"/>
              <w:rPr>
                <w:sz w:val="1"/>
                <w:szCs w:val="1"/>
                <w:color w:val="auto"/>
              </w:rPr>
            </w:pPr>
          </w:p>
        </w:tc>
      </w:tr>
      <w:tr>
        <w:trPr>
          <w:trHeight w:val="152"/>
        </w:trPr>
        <w:tc>
          <w:tcPr>
            <w:tcW w:w="7800" w:type="dxa"/>
            <w:vAlign w:val="bottom"/>
          </w:tcPr>
          <w:p>
            <w:pPr>
              <w:spacing w:after="0"/>
              <w:rPr>
                <w:sz w:val="20"/>
                <w:szCs w:val="20"/>
                <w:color w:val="auto"/>
              </w:rPr>
            </w:pPr>
            <w:r>
              <w:rPr>
                <w:rFonts w:ascii="Arial" w:cs="Arial" w:eastAsia="Arial" w:hAnsi="Arial"/>
                <w:sz w:val="12"/>
                <w:szCs w:val="12"/>
                <w:b w:val="1"/>
                <w:bCs w:val="1"/>
                <w:color w:val="auto"/>
              </w:rPr>
              <w:t>Realized and unrealized gain (loss) on investments and debt:</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Net realized gain (loss) on investments</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17,687,211</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6"/>
              </w:rPr>
              <w:t>(12,798,035)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16,259,622</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20"/>
                <w:szCs w:val="20"/>
                <w:color w:val="auto"/>
              </w:rPr>
            </w:pPr>
            <w:r>
              <w:rPr>
                <w:rFonts w:ascii="Arial" w:cs="Arial" w:eastAsia="Arial" w:hAnsi="Arial"/>
                <w:sz w:val="12"/>
                <w:szCs w:val="12"/>
                <w:color w:val="auto"/>
              </w:rPr>
              <w:t>Net change in unrealized appreciation (depreciation) 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Non-controlled, non-affiliated investments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17,932,839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42,727,722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(45,350,345)</w:t>
            </w:r>
          </w:p>
        </w:tc>
        <w:tc>
          <w:tcPr>
            <w:tcW w:w="0" w:type="dxa"/>
            <w:vAlign w:val="bottom"/>
          </w:tcPr>
          <w:p>
            <w:pPr>
              <w:spacing w:after="0"/>
              <w:rPr>
                <w:sz w:val="1"/>
                <w:szCs w:val="1"/>
                <w:color w:val="auto"/>
              </w:rPr>
            </w:pPr>
          </w:p>
        </w:tc>
      </w:tr>
      <w:tr>
        <w:trPr>
          <w:trHeight w:val="148"/>
        </w:trPr>
        <w:tc>
          <w:tcPr>
            <w:tcW w:w="7800" w:type="dxa"/>
            <w:vAlign w:val="bottom"/>
          </w:tcPr>
          <w:p>
            <w:pPr>
              <w:ind w:left="480"/>
              <w:spacing w:after="0"/>
              <w:rPr>
                <w:sz w:val="20"/>
                <w:szCs w:val="20"/>
                <w:color w:val="auto"/>
              </w:rPr>
            </w:pPr>
            <w:r>
              <w:rPr>
                <w:rFonts w:ascii="Arial" w:cs="Arial" w:eastAsia="Arial" w:hAnsi="Arial"/>
                <w:sz w:val="12"/>
                <w:szCs w:val="12"/>
                <w:color w:val="auto"/>
              </w:rPr>
              <w:t>Non-controlled and controlled, affiliated investments</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w w:val="96"/>
              </w:rPr>
              <w:t>(13,143,019)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w w:val="96"/>
              </w:rPr>
              <w:t>(22,085,553)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(1,439,878)</w:t>
            </w:r>
          </w:p>
        </w:tc>
        <w:tc>
          <w:tcPr>
            <w:tcW w:w="0" w:type="dxa"/>
            <w:vAlign w:val="bottom"/>
          </w:tcPr>
          <w:p>
            <w:pPr>
              <w:spacing w:after="0"/>
              <w:rPr>
                <w:sz w:val="1"/>
                <w:szCs w:val="1"/>
                <w:color w:val="auto"/>
              </w:rPr>
            </w:pPr>
          </w:p>
        </w:tc>
      </w:tr>
      <w:tr>
        <w:trPr>
          <w:trHeight w:val="148"/>
        </w:trPr>
        <w:tc>
          <w:tcPr>
            <w:tcW w:w="7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Debt depreciation (appreciation) (See Notes 5 and 11)</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2,302,500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(1,560,375)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(11,851,000)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Net change in unrealized appreciation (depreciation)</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7,092,320</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19,081,794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96"/>
              </w:rPr>
              <w:t>(58,641,223)</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realized and unrealized gain (loss) from investments and debt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24,779,531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6,283,759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(42,381,601)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b w:val="1"/>
                <w:bCs w:val="1"/>
                <w:color w:val="auto"/>
              </w:rPr>
              <w:t>Net increase in net assets resulting from operations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0" w:type="dxa"/>
            <w:vAlign w:val="bottom"/>
            <w:vMerge w:val="continue"/>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91,777,652</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63,353,100</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10,263,474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net assets resulting from operations per common share basic and diluted (See Note 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Net investment income per common share</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1.08</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NET ASSETS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w w:val="94"/>
              </w:rPr>
              <w:t>Years Ended September 30,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increase in net assets from operations:</w:t>
            </w:r>
          </w:p>
        </w:tc>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500"/>
              <w:spacing w:after="0"/>
              <w:rPr>
                <w:sz w:val="20"/>
                <w:szCs w:val="20"/>
                <w:color w:val="auto"/>
              </w:rPr>
            </w:pPr>
            <w:r>
              <w:rPr>
                <w:rFonts w:ascii="Arial" w:cs="Arial" w:eastAsia="Arial" w:hAnsi="Arial"/>
                <w:sz w:val="12"/>
                <w:szCs w:val="12"/>
                <w:color w:val="auto"/>
              </w:rPr>
              <w:t>Net investment income</w:t>
            </w:r>
          </w:p>
        </w:tc>
        <w:tc>
          <w:tcPr>
            <w:tcW w:w="180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66,998,121</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57,069,341</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52,645,075</w:t>
            </w: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Net realized gain (loss) on investments</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17,687,211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(12,798,035)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16,259,622</w:t>
            </w:r>
          </w:p>
        </w:tc>
        <w:tc>
          <w:tcPr>
            <w:tcW w:w="0" w:type="dxa"/>
            <w:vAlign w:val="bottom"/>
          </w:tcPr>
          <w:p>
            <w:pPr>
              <w:spacing w:after="0"/>
              <w:rPr>
                <w:sz w:val="1"/>
                <w:szCs w:val="1"/>
                <w:color w:val="auto"/>
              </w:rPr>
            </w:pPr>
          </w:p>
        </w:tc>
      </w:tr>
      <w:tr>
        <w:trPr>
          <w:trHeight w:val="148"/>
        </w:trPr>
        <w:tc>
          <w:tcPr>
            <w:tcW w:w="5680" w:type="dxa"/>
            <w:vAlign w:val="bottom"/>
          </w:tcPr>
          <w:p>
            <w:pPr>
              <w:ind w:left="500"/>
              <w:spacing w:after="0"/>
              <w:rPr>
                <w:sz w:val="20"/>
                <w:szCs w:val="20"/>
                <w:color w:val="auto"/>
              </w:rPr>
            </w:pPr>
            <w:r>
              <w:rPr>
                <w:rFonts w:ascii="Arial" w:cs="Arial" w:eastAsia="Arial" w:hAnsi="Arial"/>
                <w:sz w:val="12"/>
                <w:szCs w:val="12"/>
                <w:color w:val="auto"/>
              </w:rPr>
              <w:t>Net change in unrealized appreciation (depreciation) on investments</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4,789,820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20,642,169</w:t>
            </w:r>
          </w:p>
        </w:tc>
        <w:tc>
          <w:tcPr>
            <w:tcW w:w="22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(46,790,223)</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Net change in debt depreciation (appreciation)</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2,302,500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(1,560,375)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(11,851,000)</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Net increase in net assets resulting from operations</w:t>
            </w: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91,777,652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63,353,100</w:t>
            </w:r>
          </w:p>
        </w:tc>
        <w:tc>
          <w:tcPr>
            <w:tcW w:w="2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10,263,474</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Distributions to stockholders:</w:t>
            </w:r>
          </w:p>
        </w:tc>
        <w:tc>
          <w:tcPr>
            <w:tcW w:w="16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80" w:type="dxa"/>
            <w:vAlign w:val="bottom"/>
          </w:tcPr>
          <w:p>
            <w:pPr>
              <w:ind w:left="500"/>
              <w:spacing w:after="0"/>
              <w:rPr>
                <w:sz w:val="20"/>
                <w:szCs w:val="20"/>
                <w:color w:val="auto"/>
              </w:rPr>
            </w:pPr>
            <w:r>
              <w:rPr>
                <w:rFonts w:ascii="Arial" w:cs="Arial" w:eastAsia="Arial" w:hAnsi="Arial"/>
                <w:sz w:val="12"/>
                <w:szCs w:val="12"/>
                <w:color w:val="auto"/>
              </w:rPr>
              <w:t>Distributions</w:t>
            </w: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(74,398,129)</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color w:val="auto"/>
              </w:rPr>
              <w:t>(60,137,978)</w:t>
            </w:r>
          </w:p>
        </w:tc>
        <w:tc>
          <w:tcPr>
            <w:tcW w:w="2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(46,347,691)</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 transactions:</w:t>
            </w:r>
          </w:p>
        </w:tc>
        <w:tc>
          <w:tcPr>
            <w:tcW w:w="16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500"/>
              <w:spacing w:after="0"/>
              <w:rPr>
                <w:sz w:val="20"/>
                <w:szCs w:val="20"/>
                <w:color w:val="auto"/>
              </w:rPr>
            </w:pPr>
            <w:r>
              <w:rPr>
                <w:rFonts w:ascii="Arial" w:cs="Arial" w:eastAsia="Arial" w:hAnsi="Arial"/>
                <w:sz w:val="12"/>
                <w:szCs w:val="12"/>
                <w:color w:val="auto"/>
              </w:rPr>
              <w:t>Public offerings</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7,574,000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206,572,500</w:t>
            </w:r>
          </w:p>
        </w:tc>
        <w:tc>
          <w:tcPr>
            <w:tcW w:w="2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114,080,000</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Offerings costs</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(265,090)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(7,717,300)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(5,743,800)</w:t>
            </w:r>
          </w:p>
        </w:tc>
        <w:tc>
          <w:tcPr>
            <w:tcW w:w="0" w:type="dxa"/>
            <w:vAlign w:val="bottom"/>
          </w:tcPr>
          <w:p>
            <w:pPr>
              <w:spacing w:after="0"/>
              <w:rPr>
                <w:sz w:val="1"/>
                <w:szCs w:val="1"/>
                <w:color w:val="auto"/>
              </w:rPr>
            </w:pPr>
          </w:p>
        </w:tc>
      </w:tr>
      <w:tr>
        <w:trPr>
          <w:trHeight w:val="149"/>
        </w:trPr>
        <w:tc>
          <w:tcPr>
            <w:tcW w:w="5680" w:type="dxa"/>
            <w:vAlign w:val="bottom"/>
          </w:tcPr>
          <w:p>
            <w:pPr>
              <w:ind w:left="500"/>
              <w:spacing w:after="0"/>
              <w:rPr>
                <w:sz w:val="20"/>
                <w:szCs w:val="20"/>
                <w:color w:val="auto"/>
              </w:rPr>
            </w:pPr>
            <w:r>
              <w:rPr>
                <w:rFonts w:ascii="Arial" w:cs="Arial" w:eastAsia="Arial" w:hAnsi="Arial"/>
                <w:sz w:val="12"/>
                <w:szCs w:val="12"/>
                <w:color w:val="auto"/>
              </w:rPr>
              <w:t>Reinvestment of distributions</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3,100,719</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4,989,529</w:t>
            </w:r>
          </w:p>
        </w:tc>
        <w:tc>
          <w:tcPr>
            <w:tcW w:w="2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3,829,990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b w:val="1"/>
                <w:bCs w:val="1"/>
                <w:color w:val="auto"/>
              </w:rPr>
              <w:t>Net increase in net assets resulting from capital transactions</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10,409,629</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203,844,729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112,166,190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2"/>
                <w:szCs w:val="12"/>
                <w:b w:val="1"/>
                <w:bCs w:val="1"/>
                <w:color w:val="auto"/>
              </w:rPr>
              <w:t>Net increase in net assets</w:t>
            </w: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27,789,152</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207,059,851</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76,081,973</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500"/>
              <w:spacing w:after="0"/>
              <w:rPr>
                <w:sz w:val="20"/>
                <w:szCs w:val="20"/>
                <w:color w:val="auto"/>
              </w:rPr>
            </w:pPr>
            <w:r>
              <w:rPr>
                <w:rFonts w:ascii="Arial" w:cs="Arial" w:eastAsia="Arial" w:hAnsi="Arial"/>
                <w:sz w:val="12"/>
                <w:szCs w:val="12"/>
                <w:color w:val="auto"/>
              </w:rPr>
              <w:t>Beginning of year</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669,717,047</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462,657,196</w:t>
            </w:r>
          </w:p>
        </w:tc>
        <w:tc>
          <w:tcPr>
            <w:tcW w:w="2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386,575,223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End of year</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697,506,199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669,717,047</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462,657,196</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500"/>
              <w:spacing w:after="0"/>
              <w:rPr>
                <w:sz w:val="20"/>
                <w:szCs w:val="20"/>
                <w:color w:val="auto"/>
              </w:rPr>
            </w:pPr>
            <w:r>
              <w:rPr>
                <w:rFonts w:ascii="Arial" w:cs="Arial" w:eastAsia="Arial" w:hAnsi="Arial"/>
                <w:sz w:val="12"/>
                <w:szCs w:val="12"/>
                <w:color w:val="auto"/>
              </w:rPr>
              <w:t>(Distributions in excess of) Undistributed net investment income, at year end</w:t>
            </w: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80" w:type="dxa"/>
            <w:vAlign w:val="bottom"/>
            <w:vMerge w:val="continue"/>
          </w:tcPr>
          <w:p>
            <w:pPr>
              <w:spacing w:after="0"/>
              <w:rPr>
                <w:sz w:val="12"/>
                <w:szCs w:val="12"/>
                <w:color w:val="auto"/>
              </w:rPr>
            </w:pPr>
          </w:p>
        </w:tc>
        <w:tc>
          <w:tcPr>
            <w:tcW w:w="180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(4,675,217)</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2,804,397</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8,326,854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 share activity:</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ind w:left="500"/>
              <w:spacing w:after="0"/>
              <w:rPr>
                <w:sz w:val="20"/>
                <w:szCs w:val="20"/>
                <w:color w:val="auto"/>
              </w:rPr>
            </w:pPr>
            <w:r>
              <w:rPr>
                <w:rFonts w:ascii="Arial" w:cs="Arial" w:eastAsia="Arial" w:hAnsi="Arial"/>
                <w:sz w:val="12"/>
                <w:szCs w:val="12"/>
                <w:color w:val="auto"/>
              </w:rPr>
              <w:t>Shares issued from public offerings</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700,000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19,350,000</w:t>
            </w:r>
          </w:p>
        </w:tc>
        <w:tc>
          <w:tcPr>
            <w:tcW w:w="2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9,200,000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Shares issued from reinvestment of distributions</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284,824</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474,722</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331,011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2"/>
                <w:szCs w:val="12"/>
                <w:b w:val="1"/>
                <w:bCs w:val="1"/>
                <w:color w:val="auto"/>
                <w:w w:val="96"/>
              </w:rPr>
              <w:t>Years Ended September 30,</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2012</w:t>
            </w:r>
          </w:p>
        </w:tc>
        <w:tc>
          <w:tcPr>
            <w:tcW w:w="7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440"/>
              <w:spacing w:after="0"/>
              <w:rPr>
                <w:sz w:val="20"/>
                <w:szCs w:val="20"/>
                <w:color w:val="auto"/>
              </w:rPr>
            </w:pPr>
            <w:r>
              <w:rPr>
                <w:rFonts w:ascii="Arial" w:cs="Arial" w:eastAsia="Arial" w:hAnsi="Arial"/>
                <w:sz w:val="12"/>
                <w:szCs w:val="12"/>
                <w:color w:val="auto"/>
              </w:rPr>
              <w:t>Net increase in net assets resulting from operations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91,777,652</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63,353,100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10,263,474</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Adjustments to reconcile net increase in net assets resulting from operations to net cash provided by (used for) operating activities:</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Net change in net unrealized appreciation (depreciation) on investments</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(4,789,820)</w:t>
            </w:r>
          </w:p>
        </w:tc>
        <w:tc>
          <w:tcPr>
            <w:tcW w:w="56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color w:val="auto"/>
              </w:rPr>
              <w:t>(20,642,169)</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46,790,223</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Net change in debt depreciation (appreciation)</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(2,302,500)</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1,560,375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11,851,000</w:t>
            </w:r>
          </w:p>
        </w:tc>
        <w:tc>
          <w:tcPr>
            <w:tcW w:w="0" w:type="dxa"/>
            <w:vAlign w:val="bottom"/>
          </w:tcPr>
          <w:p>
            <w:pPr>
              <w:spacing w:after="0"/>
              <w:rPr>
                <w:sz w:val="1"/>
                <w:szCs w:val="1"/>
                <w:color w:val="auto"/>
              </w:rPr>
            </w:pPr>
          </w:p>
        </w:tc>
      </w:tr>
      <w:tr>
        <w:trPr>
          <w:trHeight w:val="149"/>
        </w:trPr>
        <w:tc>
          <w:tcPr>
            <w:tcW w:w="7460" w:type="dxa"/>
            <w:vAlign w:val="bottom"/>
          </w:tcPr>
          <w:p>
            <w:pPr>
              <w:ind w:left="880"/>
              <w:spacing w:after="0"/>
              <w:rPr>
                <w:sz w:val="20"/>
                <w:szCs w:val="20"/>
                <w:color w:val="auto"/>
              </w:rPr>
            </w:pPr>
            <w:r>
              <w:rPr>
                <w:rFonts w:ascii="Arial" w:cs="Arial" w:eastAsia="Arial" w:hAnsi="Arial"/>
                <w:sz w:val="12"/>
                <w:szCs w:val="12"/>
                <w:color w:val="auto"/>
              </w:rPr>
              <w:t>Net realized loss on investments</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(17,687,211)</w:t>
            </w: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12,798,035</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96"/>
              </w:rPr>
              <w:t>(16,259,622)</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Net accretion of discount and amortization of premium</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(5,856,654)</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(10,357,608)</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(6,745,834)</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Purchase of investments</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w w:val="98"/>
              </w:rPr>
              <w:t>(504,373,719)</w:t>
            </w:r>
          </w:p>
        </w:tc>
        <w:tc>
          <w:tcPr>
            <w:tcW w:w="56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color w:val="auto"/>
                <w:w w:val="98"/>
              </w:rPr>
              <w:t>(328,275,329)</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(479,733,669)</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Payment-in-kind interest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(11,814,084)</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(9,065,502)</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(10,883,750)</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Proceeds from disposition of investments</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437,147,602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201,656,926</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304,008,543</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Decrease (Increase) in interest receivable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4,033,969</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(4,050,626)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1,935,860</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Decrease in receivables for investments sold</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12,240,763</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17,135,807</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Increase (Decrease) in payables for investments purchased</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52,544,704</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(18,572,499)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(34,212,501)</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(Decrease) Increase in unfunded investments</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color w:val="auto"/>
              </w:rPr>
              <w:t>(19,242,446)</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14,928,717</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Increase in interest payable on debt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955,741</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167,363</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472,227</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Decrease (Increase) in prepaid expenses and other assets</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168,130</w:t>
            </w: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466,675</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749,017</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Increase in management fees payable</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627,644</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783,859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721,238</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Increase in performance-based incentive fees payable</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67,892</w:t>
            </w: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433,160</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1,534,818</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(Decrease) Increase in accrued other expenses</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(175,220)</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1,406,285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(368,064)</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1300"/>
              <w:spacing w:after="0"/>
              <w:rPr>
                <w:sz w:val="20"/>
                <w:szCs w:val="20"/>
                <w:color w:val="auto"/>
              </w:rPr>
            </w:pPr>
            <w:r>
              <w:rPr>
                <w:rFonts w:ascii="Arial" w:cs="Arial" w:eastAsia="Arial" w:hAnsi="Arial"/>
                <w:sz w:val="12"/>
                <w:szCs w:val="12"/>
                <w:color w:val="auto"/>
              </w:rPr>
              <w:t>Net cash provided by (used for) operating activities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40,324,126</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color w:val="auto"/>
                <w:w w:val="98"/>
              </w:rPr>
              <w:t>(115,339,638)</w:t>
            </w:r>
          </w:p>
        </w:tc>
        <w:tc>
          <w:tcPr>
            <w:tcW w:w="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88"/>
              </w:rPr>
              <w:t>(137,812,516)</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Public offerings</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7,574,000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206,572,500</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114,080,000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Offerings costs</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(265,090)</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(7,717,300)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(5,743,800)</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Distributions paid</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(68,501,660)</w:t>
            </w:r>
          </w:p>
        </w:tc>
        <w:tc>
          <w:tcPr>
            <w:tcW w:w="56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color w:val="auto"/>
              </w:rPr>
              <w:t>(51,660,628)</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96"/>
              </w:rPr>
              <w:t>(39,582,741)</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Borrowings under SBA debentures (See Note 11)</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135,500,000</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Borrowings under 2025 Notes</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71,250,000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Capitalized borrowing costs</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(4,450,875)</w:t>
            </w:r>
          </w:p>
        </w:tc>
        <w:tc>
          <w:tcPr>
            <w:tcW w:w="0" w:type="dxa"/>
            <w:vAlign w:val="bottom"/>
          </w:tcPr>
          <w:p>
            <w:pPr>
              <w:spacing w:after="0"/>
              <w:rPr>
                <w:sz w:val="1"/>
                <w:szCs w:val="1"/>
                <w:color w:val="auto"/>
              </w:rPr>
            </w:pPr>
          </w:p>
        </w:tc>
      </w:tr>
      <w:tr>
        <w:trPr>
          <w:trHeight w:val="148"/>
        </w:trPr>
        <w:tc>
          <w:tcPr>
            <w:tcW w:w="7460" w:type="dxa"/>
            <w:vAlign w:val="bottom"/>
          </w:tcPr>
          <w:p>
            <w:pPr>
              <w:ind w:left="880"/>
              <w:spacing w:after="0"/>
              <w:rPr>
                <w:sz w:val="20"/>
                <w:szCs w:val="20"/>
                <w:color w:val="auto"/>
              </w:rPr>
            </w:pPr>
            <w:r>
              <w:rPr>
                <w:rFonts w:ascii="Arial" w:cs="Arial" w:eastAsia="Arial" w:hAnsi="Arial"/>
                <w:sz w:val="12"/>
                <w:szCs w:val="12"/>
                <w:color w:val="auto"/>
              </w:rPr>
              <w:t>Borrowings under Credit Facility (See Note 11)</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w w:val="91"/>
              </w:rPr>
              <w:t>1,099,800,000</w:t>
            </w: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927,900,000</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701,900,000</w:t>
            </w:r>
          </w:p>
        </w:tc>
        <w:tc>
          <w:tcPr>
            <w:tcW w:w="0" w:type="dxa"/>
            <w:vAlign w:val="bottom"/>
          </w:tcPr>
          <w:p>
            <w:pPr>
              <w:spacing w:after="0"/>
              <w:rPr>
                <w:sz w:val="1"/>
                <w:szCs w:val="1"/>
                <w:color w:val="auto"/>
              </w:rPr>
            </w:pPr>
          </w:p>
        </w:tc>
      </w:tr>
      <w:tr>
        <w:trPr>
          <w:trHeight w:val="149"/>
        </w:trPr>
        <w:tc>
          <w:tcPr>
            <w:tcW w:w="7460" w:type="dxa"/>
            <w:vAlign w:val="bottom"/>
            <w:shd w:val="clear" w:color="auto" w:fill="CCEEFF"/>
          </w:tcPr>
          <w:p>
            <w:pPr>
              <w:ind w:left="880"/>
              <w:spacing w:after="0"/>
              <w:rPr>
                <w:sz w:val="20"/>
                <w:szCs w:val="20"/>
                <w:color w:val="auto"/>
              </w:rPr>
            </w:pPr>
            <w:r>
              <w:rPr>
                <w:rFonts w:ascii="Arial" w:cs="Arial" w:eastAsia="Arial" w:hAnsi="Arial"/>
                <w:sz w:val="12"/>
                <w:szCs w:val="12"/>
                <w:color w:val="auto"/>
              </w:rPr>
              <w:t>Repayments under Credit Facility (See Note 11)</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7"/>
              </w:rPr>
              <w:t>(1,099,300,000)</w:t>
            </w: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w w:val="87"/>
              </w:rPr>
              <w:t>(1,023,800,000)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8"/>
              </w:rPr>
              <w:t>(694,100,000)</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1300"/>
              <w:spacing w:after="0"/>
              <w:rPr>
                <w:sz w:val="20"/>
                <w:szCs w:val="20"/>
                <w:color w:val="auto"/>
              </w:rPr>
            </w:pPr>
            <w:r>
              <w:rPr>
                <w:rFonts w:ascii="Arial" w:cs="Arial" w:eastAsia="Arial" w:hAnsi="Arial"/>
                <w:sz w:val="12"/>
                <w:szCs w:val="12"/>
                <w:color w:val="auto"/>
              </w:rPr>
              <w:t>Net cash provided by financing activities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10,557,250</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51,294,572</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207,602,584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50,881,376</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(64,045,066)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69,790,068</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20"/>
                <w:szCs w:val="20"/>
                <w:color w:val="auto"/>
              </w:rPr>
            </w:pPr>
            <w:r>
              <w:rPr>
                <w:rFonts w:ascii="Arial" w:cs="Arial" w:eastAsia="Arial" w:hAnsi="Arial"/>
                <w:sz w:val="12"/>
                <w:szCs w:val="12"/>
                <w:b w:val="1"/>
                <w:bCs w:val="1"/>
                <w:color w:val="auto"/>
              </w:rPr>
              <w:t>Cash and cash equivalents, beginning of year</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7,559,453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71,604,519</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1,814,451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58,440,829</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7,559,453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71,604,519</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2"/>
                <w:szCs w:val="12"/>
                <w:b w:val="1"/>
                <w:bCs w:val="1"/>
                <w:color w:val="auto"/>
              </w:rPr>
              <w:t>Supplemental disclosure of cash flow information and non-cash activity (See Note 5):</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460" w:type="dxa"/>
            <w:vAlign w:val="bottom"/>
            <w:shd w:val="clear" w:color="auto" w:fill="CCEEFF"/>
          </w:tcPr>
          <w:p>
            <w:pPr>
              <w:spacing w:after="0"/>
              <w:rPr>
                <w:sz w:val="20"/>
                <w:szCs w:val="20"/>
                <w:color w:val="auto"/>
              </w:rPr>
            </w:pPr>
            <w:r>
              <w:rPr>
                <w:rFonts w:ascii="Arial" w:cs="Arial" w:eastAsia="Arial" w:hAnsi="Arial"/>
                <w:sz w:val="12"/>
                <w:szCs w:val="12"/>
                <w:color w:val="auto"/>
              </w:rPr>
              <w:t>Interest paid</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12,765,891</w:t>
            </w:r>
          </w:p>
        </w:tc>
        <w:tc>
          <w:tcPr>
            <w:tcW w:w="2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10,643,840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4,149,149</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2"/>
                <w:szCs w:val="12"/>
                <w:color w:val="auto"/>
              </w:rPr>
              <w:t>Taxes paid</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94,210</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258,550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123,824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60" w:type="dxa"/>
            <w:vAlign w:val="bottom"/>
            <w:shd w:val="clear" w:color="auto" w:fill="CCEEFF"/>
          </w:tcPr>
          <w:p>
            <w:pPr>
              <w:spacing w:after="0"/>
              <w:rPr>
                <w:sz w:val="20"/>
                <w:szCs w:val="20"/>
                <w:color w:val="auto"/>
              </w:rPr>
            </w:pPr>
            <w:r>
              <w:rPr>
                <w:rFonts w:ascii="Arial" w:cs="Arial" w:eastAsia="Arial" w:hAnsi="Arial"/>
                <w:sz w:val="12"/>
                <w:szCs w:val="12"/>
                <w:color w:val="auto"/>
              </w:rPr>
              <w:t>Dividend reinvested</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3,100,719</w:t>
            </w:r>
          </w:p>
        </w:tc>
        <w:tc>
          <w:tcPr>
            <w:tcW w:w="2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4,989,529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3,829,990</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2"/>
                <w:szCs w:val="12"/>
                <w:color w:val="auto"/>
              </w:rPr>
              <w:t>Conversions and non-cash exchanges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58,478,391</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2"/>
                <w:szCs w:val="12"/>
                <w:color w:val="auto"/>
              </w:rPr>
              <w:t>43,596,371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12,537,081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9"/>
              </w:rPr>
              <w:t>Par /</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20" w:type="dxa"/>
            <w:vAlign w:val="bottom"/>
            <w:vMerge w:val="continue"/>
          </w:tcPr>
          <w:p>
            <w:pPr>
              <w:spacing w:after="0"/>
              <w:rPr>
                <w:sz w:val="12"/>
                <w:szCs w:val="12"/>
                <w:color w:val="auto"/>
              </w:rPr>
            </w:pPr>
          </w:p>
        </w:tc>
        <w:tc>
          <w:tcPr>
            <w:tcW w:w="1040" w:type="dxa"/>
            <w:vAlign w:val="bottom"/>
          </w:tcPr>
          <w:p>
            <w:pPr>
              <w:ind w:left="480"/>
              <w:spacing w:after="0"/>
              <w:rPr>
                <w:sz w:val="20"/>
                <w:szCs w:val="20"/>
                <w:color w:val="auto"/>
              </w:rPr>
            </w:pPr>
            <w:r>
              <w:rPr>
                <w:rFonts w:ascii="Arial" w:cs="Arial" w:eastAsia="Arial" w:hAnsi="Arial"/>
                <w:sz w:val="12"/>
                <w:szCs w:val="12"/>
                <w:b w:val="1"/>
                <w:bCs w:val="1"/>
                <w:color w:val="auto"/>
              </w:rPr>
              <w:t>Maturity</w:t>
            </w: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0"/>
        </w:trPr>
        <w:tc>
          <w:tcPr>
            <w:tcW w:w="46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9"/>
              </w:rPr>
              <w:t xml:space="preserve">Investments in Non-Controlled, Non-Affiliated Portfolio Companies—138.9% </w:t>
            </w:r>
            <w:r>
              <w:rPr>
                <w:rFonts w:ascii="Arial" w:cs="Arial" w:eastAsia="Arial" w:hAnsi="Arial"/>
                <w:sz w:val="9"/>
                <w:szCs w:val="9"/>
                <w:b w:val="1"/>
                <w:bCs w:val="1"/>
                <w:color w:val="auto"/>
                <w:w w:val="99"/>
              </w:rPr>
              <w:t>(1),(2)</w:t>
            </w:r>
          </w:p>
        </w:tc>
        <w:tc>
          <w:tcPr>
            <w:tcW w:w="104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Debt—41.3%</w:t>
            </w:r>
          </w:p>
        </w:tc>
        <w:tc>
          <w:tcPr>
            <w:tcW w:w="1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06/21/2017</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9"/>
              </w:rPr>
              <w:t>Communications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11.25%</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23,912,894</w:t>
            </w:r>
          </w:p>
        </w:tc>
        <w:tc>
          <w:tcPr>
            <w:tcW w:w="780" w:type="dxa"/>
            <w:vAlign w:val="bottom"/>
          </w:tcPr>
          <w:p>
            <w:pPr>
              <w:jc w:val="right"/>
              <w:spacing w:after="0"/>
              <w:rPr>
                <w:sz w:val="20"/>
                <w:szCs w:val="20"/>
                <w:color w:val="auto"/>
              </w:rPr>
            </w:pPr>
            <w:r>
              <w:rPr>
                <w:rFonts w:ascii="Arial" w:cs="Arial" w:eastAsia="Arial" w:hAnsi="Arial"/>
                <w:sz w:val="12"/>
                <w:szCs w:val="12"/>
                <w:color w:val="auto"/>
                <w:w w:val="98"/>
              </w:rPr>
              <w:t>$   23,012,057</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   25,347,668</w:t>
            </w: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12/21/2016</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Retail</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L+1,225</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14,550,084</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14,694,828</w:t>
            </w: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(PIK 1.50%)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(5),(10)</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10/01/2016</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6"/>
              </w:rPr>
              <w:t>Cargo Transport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11.63%</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7,500,000</w:t>
            </w:r>
          </w:p>
        </w:tc>
        <w:tc>
          <w:tcPr>
            <w:tcW w:w="780" w:type="dxa"/>
            <w:vAlign w:val="bottom"/>
          </w:tcPr>
          <w:p>
            <w:pPr>
              <w:jc w:val="right"/>
              <w:spacing w:after="0"/>
              <w:rPr>
                <w:sz w:val="20"/>
                <w:szCs w:val="20"/>
                <w:color w:val="auto"/>
              </w:rPr>
            </w:pPr>
            <w:r>
              <w:rPr>
                <w:rFonts w:ascii="Arial" w:cs="Arial" w:eastAsia="Arial" w:hAnsi="Arial"/>
                <w:sz w:val="12"/>
                <w:szCs w:val="12"/>
                <w:color w:val="auto"/>
              </w:rPr>
              <w:t>7,385,251</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7,725,000</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11/20/2014</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Communications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10,000,000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10,750,000</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Cydcor LLC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06/12/2017</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9.75%</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7,342,967</w:t>
            </w:r>
          </w:p>
        </w:tc>
        <w:tc>
          <w:tcPr>
            <w:tcW w:w="780" w:type="dxa"/>
            <w:vAlign w:val="bottom"/>
          </w:tcPr>
          <w:p>
            <w:pPr>
              <w:jc w:val="right"/>
              <w:spacing w:after="0"/>
              <w:rPr>
                <w:sz w:val="20"/>
                <w:szCs w:val="20"/>
                <w:color w:val="auto"/>
              </w:rPr>
            </w:pPr>
            <w:r>
              <w:rPr>
                <w:rFonts w:ascii="Arial" w:cs="Arial" w:eastAsia="Arial" w:hAnsi="Arial"/>
                <w:sz w:val="12"/>
                <w:szCs w:val="12"/>
                <w:color w:val="auto"/>
              </w:rPr>
              <w:t>7,342,967</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7,342,967</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12/01/2016</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12,000,000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11,835,907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12,900,000</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03/30/2017</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9"/>
              </w:rPr>
              <w:t>Auto Sector</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11,500,000</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11,326,110</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12,391,250</w:t>
            </w: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InfuSystem Holdings, Inc.</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11/30/2016</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11.95%</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11,600,000</w:t>
            </w: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11,600,000</w:t>
            </w: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0"/>
              </w:rPr>
              <w:t>Childcare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Instant Web, Inc.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08/07/2014</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9"/>
              </w:rPr>
              <w:t>Printing and Publishing</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14.50%</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23,934,268</w:t>
            </w:r>
          </w:p>
        </w:tc>
        <w:tc>
          <w:tcPr>
            <w:tcW w:w="780" w:type="dxa"/>
            <w:vAlign w:val="bottom"/>
          </w:tcPr>
          <w:p>
            <w:pPr>
              <w:jc w:val="right"/>
              <w:spacing w:after="0"/>
              <w:rPr>
                <w:sz w:val="20"/>
                <w:szCs w:val="20"/>
                <w:color w:val="auto"/>
              </w:rPr>
            </w:pPr>
            <w:r>
              <w:rPr>
                <w:rFonts w:ascii="Arial" w:cs="Arial" w:eastAsia="Arial" w:hAnsi="Arial"/>
                <w:sz w:val="12"/>
                <w:szCs w:val="12"/>
                <w:color w:val="auto"/>
              </w:rPr>
              <w:t>23,788,980</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22,976,897</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08/07/2014</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Printing and Publishing</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L+338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18,199,679</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14,559,743</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Interactive Health Solutions, Inc.</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10/04/2016</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18,050,000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17,770,705</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18,050,000</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90"/>
              </w:rPr>
              <w:t>Childcare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10/16/2017</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10.00%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8,355,469</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8,349,704</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8,230,137</w:t>
            </w: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K2 Pure Solutions NoCal, L.P.</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08/19/2019</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6"/>
              </w:rPr>
              <w:t>Chemicals, Plastics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22,342,352</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21,899,258</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22,007,217</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6"/>
              </w:rPr>
              <w:t>Rubber</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08/01/2014</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6.00%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37,950,152</w:t>
            </w: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36,110,124</w:t>
            </w: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37,523,212</w:t>
            </w: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(PIK 2.00%)</w:t>
            </w: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12/16/2019</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Mining, Steel, Iron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14,250,000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15,176,250</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7"/>
              </w:rPr>
              <w:t>Non-Precious Metals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04/30/2018</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34,270,800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34,270,800</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07/06/2017</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7"/>
              </w:rPr>
              <w:t>Insurance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12.50%</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12,451,096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12,451,096</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12,388,840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278,962,489</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288,043,239</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2"/>
                <w:szCs w:val="12"/>
                <w:b w:val="1"/>
                <w:bCs w:val="1"/>
                <w:color w:val="auto"/>
              </w:rPr>
              <w:t>Second Lien Secured Debt—48.9%</w:t>
            </w: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09/01/2017</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Diversified Natural</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25,400,000</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25,400,000</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25,971,500</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2"/>
                <w:szCs w:val="12"/>
                <w:color w:val="auto"/>
                <w:w w:val="84"/>
              </w:rPr>
              <w:t>Resources, Precious</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Metals and Minerals</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10/01/2020</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11.75%</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18,750,000</w:t>
            </w:r>
          </w:p>
        </w:tc>
        <w:tc>
          <w:tcPr>
            <w:tcW w:w="780" w:type="dxa"/>
            <w:vAlign w:val="bottom"/>
          </w:tcPr>
          <w:p>
            <w:pPr>
              <w:jc w:val="right"/>
              <w:spacing w:after="0"/>
              <w:rPr>
                <w:sz w:val="20"/>
                <w:szCs w:val="20"/>
                <w:color w:val="auto"/>
              </w:rPr>
            </w:pPr>
            <w:r>
              <w:rPr>
                <w:rFonts w:ascii="Arial" w:cs="Arial" w:eastAsia="Arial" w:hAnsi="Arial"/>
                <w:sz w:val="12"/>
                <w:szCs w:val="12"/>
                <w:color w:val="auto"/>
              </w:rPr>
              <w:t>18,375,000</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18,687,563</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10/23/2019</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2"/>
              </w:rPr>
              <w:t>Energy / Utilities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42,278,570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43,159,233</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Carolina Beverage Group, LLC</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08/01/2018</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6"/>
              </w:rPr>
              <w:t>Beverage, Food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10.63%</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13,125,000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13,125,000</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13,420,313</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2"/>
              </w:rPr>
              <w:t>Tobacco</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040" w:type="dxa"/>
            <w:vAlign w:val="bottom"/>
            <w:shd w:val="clear" w:color="auto" w:fill="CCEEFF"/>
          </w:tcPr>
          <w:p>
            <w:pPr>
              <w:ind w:left="440"/>
              <w:spacing w:after="0" w:line="129" w:lineRule="exact"/>
              <w:rPr>
                <w:sz w:val="20"/>
                <w:szCs w:val="20"/>
                <w:color w:val="auto"/>
              </w:rPr>
            </w:pPr>
            <w:r>
              <w:rPr>
                <w:rFonts w:ascii="Arial" w:cs="Arial" w:eastAsia="Arial" w:hAnsi="Arial"/>
                <w:sz w:val="12"/>
                <w:szCs w:val="12"/>
                <w:color w:val="auto"/>
                <w:w w:val="96"/>
              </w:rPr>
              <w:t>11/04/2021</w:t>
            </w:r>
          </w:p>
        </w:tc>
        <w:tc>
          <w:tcPr>
            <w:tcW w:w="13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9.75%</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19,000,000</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18,620,000</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18,905,000</w:t>
            </w: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0"/>
              </w:rPr>
              <w:t>Childcare</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1040" w:type="dxa"/>
            <w:vAlign w:val="bottom"/>
          </w:tcPr>
          <w:p>
            <w:pPr>
              <w:ind w:left="440"/>
              <w:spacing w:after="0"/>
              <w:rPr>
                <w:sz w:val="20"/>
                <w:szCs w:val="20"/>
                <w:color w:val="auto"/>
              </w:rPr>
            </w:pPr>
            <w:r>
              <w:rPr>
                <w:rFonts w:ascii="Arial" w:cs="Arial" w:eastAsia="Arial" w:hAnsi="Arial"/>
                <w:sz w:val="12"/>
                <w:szCs w:val="12"/>
                <w:color w:val="auto"/>
                <w:w w:val="96"/>
              </w:rPr>
              <w:t>08/16/2018</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92"/>
              </w:rPr>
              <w:t>Energy / Utilities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12.50%</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45,000,000</w:t>
            </w:r>
          </w:p>
        </w:tc>
        <w:tc>
          <w:tcPr>
            <w:tcW w:w="780" w:type="dxa"/>
            <w:vAlign w:val="bottom"/>
          </w:tcPr>
          <w:p>
            <w:pPr>
              <w:jc w:val="right"/>
              <w:spacing w:after="0"/>
              <w:rPr>
                <w:sz w:val="20"/>
                <w:szCs w:val="20"/>
                <w:color w:val="auto"/>
              </w:rPr>
            </w:pPr>
            <w:r>
              <w:rPr>
                <w:rFonts w:ascii="Arial" w:cs="Arial" w:eastAsia="Arial" w:hAnsi="Arial"/>
                <w:sz w:val="12"/>
                <w:szCs w:val="12"/>
                <w:color w:val="auto"/>
              </w:rPr>
              <w:t>44,599,796</w:t>
            </w: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46,575,000</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06/14/2019</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Electronics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7,500,000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6,900,000</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03/01/2017</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6"/>
              </w:rPr>
              <w:t>Cargo Transport</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3,544,833</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3,544,833</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w w:val="95"/>
              </w:rPr>
              <w:t>(PIK 11.00%)</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Jacobs Entertainment, Inc.</w:t>
            </w:r>
          </w:p>
        </w:tc>
        <w:tc>
          <w:tcPr>
            <w:tcW w:w="2380" w:type="dxa"/>
            <w:vAlign w:val="bottom"/>
            <w:gridSpan w:val="3"/>
            <w:shd w:val="clear" w:color="auto" w:fill="CCEEFF"/>
          </w:tcPr>
          <w:p>
            <w:pPr>
              <w:ind w:left="440"/>
              <w:spacing w:after="0" w:line="132" w:lineRule="exact"/>
              <w:rPr>
                <w:sz w:val="20"/>
                <w:szCs w:val="20"/>
                <w:color w:val="auto"/>
              </w:rPr>
            </w:pPr>
            <w:r>
              <w:rPr>
                <w:rFonts w:ascii="Arial" w:cs="Arial" w:eastAsia="Arial" w:hAnsi="Arial"/>
                <w:sz w:val="12"/>
                <w:szCs w:val="12"/>
                <w:color w:val="auto"/>
                <w:w w:val="96"/>
              </w:rPr>
              <w:t>10/29/2019   Hotels, Motels, Inns and</w:t>
            </w:r>
          </w:p>
        </w:tc>
        <w:tc>
          <w:tcPr>
            <w:tcW w:w="7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13.00%</w:t>
            </w:r>
          </w:p>
        </w:tc>
        <w:tc>
          <w:tcPr>
            <w:tcW w:w="8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w w:val="93"/>
              </w:rPr>
              <w:t>38,950,000</w:t>
            </w: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38,287,499</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39,096,063</w:t>
            </w: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0"/>
              </w:rPr>
              <w:t>Gaming</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12/20/2016</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10.50%</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33,750,000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33,187,388</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7"/>
              </w:rPr>
              <w:t>Miscellaneous Services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10/31/2017</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11,875,000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11,511,878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13,062,500</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07/01/2020</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9.75%</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w w:val="93"/>
              </w:rPr>
              <w:t>56,750,000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56,040,625</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7"/>
              </w:rPr>
              <w:t>Miscellaneous Services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6"/>
              </w:rPr>
              <w:t>12/15/2014</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7"/>
              </w:rPr>
              <w:t>Other Media</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2,395,378</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2,371,424</w:t>
            </w:r>
          </w:p>
        </w:tc>
        <w:tc>
          <w:tcPr>
            <w:tcW w:w="0" w:type="dxa"/>
            <w:vAlign w:val="bottom"/>
          </w:tcPr>
          <w:p>
            <w:pPr>
              <w:spacing w:after="0"/>
              <w:rPr>
                <w:sz w:val="1"/>
                <w:szCs w:val="1"/>
                <w:color w:val="auto"/>
              </w:rPr>
            </w:pPr>
          </w:p>
        </w:tc>
      </w:tr>
      <w:tr>
        <w:trPr>
          <w:trHeight w:val="129"/>
        </w:trPr>
        <w:tc>
          <w:tcPr>
            <w:tcW w:w="462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1040" w:type="dxa"/>
            <w:vAlign w:val="bottom"/>
          </w:tcPr>
          <w:p>
            <w:pPr>
              <w:ind w:left="440"/>
              <w:spacing w:after="0" w:line="129" w:lineRule="exact"/>
              <w:rPr>
                <w:sz w:val="20"/>
                <w:szCs w:val="20"/>
                <w:color w:val="auto"/>
              </w:rPr>
            </w:pPr>
            <w:r>
              <w:rPr>
                <w:rFonts w:ascii="Arial" w:cs="Arial" w:eastAsia="Arial" w:hAnsi="Arial"/>
                <w:sz w:val="12"/>
                <w:szCs w:val="12"/>
                <w:color w:val="auto"/>
                <w:w w:val="96"/>
              </w:rPr>
              <w:t>12/15/2015</w:t>
            </w:r>
          </w:p>
        </w:tc>
        <w:tc>
          <w:tcPr>
            <w:tcW w:w="13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11.50%</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2,502,333</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2,452,286</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w w:val="95"/>
              </w:rPr>
              <w:t>(PIK 11.50%)</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ROC Finance LLC and ROC Finance 1 Corp.</w:t>
            </w:r>
          </w:p>
        </w:tc>
        <w:tc>
          <w:tcPr>
            <w:tcW w:w="1040" w:type="dxa"/>
            <w:vAlign w:val="bottom"/>
            <w:shd w:val="clear" w:color="auto" w:fill="CCEEFF"/>
          </w:tcPr>
          <w:p>
            <w:pPr>
              <w:ind w:left="440"/>
              <w:spacing w:after="0" w:line="132" w:lineRule="exact"/>
              <w:rPr>
                <w:sz w:val="20"/>
                <w:szCs w:val="20"/>
                <w:color w:val="auto"/>
              </w:rPr>
            </w:pPr>
            <w:r>
              <w:rPr>
                <w:rFonts w:ascii="Arial" w:cs="Arial" w:eastAsia="Arial" w:hAnsi="Arial"/>
                <w:sz w:val="12"/>
                <w:szCs w:val="12"/>
                <w:color w:val="auto"/>
                <w:w w:val="96"/>
              </w:rPr>
              <w:t>08/31/2018</w:t>
            </w:r>
          </w:p>
        </w:tc>
        <w:tc>
          <w:tcPr>
            <w:tcW w:w="134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2"/>
                <w:szCs w:val="12"/>
                <w:color w:val="auto"/>
                <w:w w:val="90"/>
              </w:rPr>
              <w:t>Hotels, Motels, Ins and</w:t>
            </w:r>
          </w:p>
        </w:tc>
        <w:tc>
          <w:tcPr>
            <w:tcW w:w="7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12.13%</w:t>
            </w:r>
          </w:p>
        </w:tc>
        <w:tc>
          <w:tcPr>
            <w:tcW w:w="82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w w:val="93"/>
              </w:rPr>
              <w:t>16,000,000</w:t>
            </w: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15,785,252</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17,720,000</w:t>
            </w:r>
          </w:p>
        </w:tc>
        <w:tc>
          <w:tcPr>
            <w:tcW w:w="0" w:type="dxa"/>
            <w:vAlign w:val="bottom"/>
          </w:tcPr>
          <w:p>
            <w:pPr>
              <w:spacing w:after="0"/>
              <w:rPr>
                <w:sz w:val="1"/>
                <w:szCs w:val="1"/>
                <w:color w:val="auto"/>
              </w:rPr>
            </w:pPr>
          </w:p>
        </w:tc>
      </w:tr>
      <w:tr>
        <w:trPr>
          <w:trHeight w:val="141"/>
        </w:trPr>
        <w:tc>
          <w:tcPr>
            <w:tcW w:w="46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0"/>
              </w:rPr>
              <w:t>Gaming</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332,007,946</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341,093,728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Arial" w:cs="Arial" w:eastAsia="Arial" w:hAnsi="Arial"/>
                <w:sz w:val="12"/>
                <w:szCs w:val="12"/>
                <w:b w:val="1"/>
                <w:bCs w:val="1"/>
                <w:color w:val="auto"/>
                <w:w w:val="91"/>
              </w:rPr>
              <w:t>Basis Point</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86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80" w:type="dxa"/>
            <w:vAlign w:val="bottom"/>
            <w:vMerge w:val="continue"/>
          </w:tcPr>
          <w:p>
            <w:pPr>
              <w:spacing w:after="0"/>
              <w:rPr>
                <w:sz w:val="12"/>
                <w:szCs w:val="12"/>
                <w:color w:val="auto"/>
              </w:rPr>
            </w:pPr>
          </w:p>
        </w:tc>
        <w:tc>
          <w:tcPr>
            <w:tcW w:w="1620" w:type="dxa"/>
            <w:vAlign w:val="bottom"/>
          </w:tcPr>
          <w:p>
            <w:pPr>
              <w:ind w:left="1000"/>
              <w:spacing w:after="0"/>
              <w:rPr>
                <w:sz w:val="20"/>
                <w:szCs w:val="20"/>
                <w:color w:val="auto"/>
              </w:rPr>
            </w:pPr>
            <w:r>
              <w:rPr>
                <w:rFonts w:ascii="Arial" w:cs="Arial" w:eastAsia="Arial" w:hAnsi="Arial"/>
                <w:sz w:val="12"/>
                <w:szCs w:val="12"/>
                <w:b w:val="1"/>
                <w:bCs w:val="1"/>
                <w:color w:val="auto"/>
              </w:rPr>
              <w:t>Maturity</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tcPr>
          <w:p>
            <w:pPr>
              <w:jc w:val="right"/>
              <w:ind w:right="3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6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940" w:type="dxa"/>
            <w:vAlign w:val="bottom"/>
            <w:gridSpan w:val="2"/>
          </w:tcPr>
          <w:p>
            <w:pPr>
              <w:ind w:left="2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3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62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2"/>
                <w:szCs w:val="12"/>
                <w:color w:val="auto"/>
              </w:rPr>
              <w:t>Acentia, LLC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86"/>
              </w:rPr>
              <w:t>10/02/2017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13.75%</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19,000,000</w:t>
            </w:r>
          </w:p>
        </w:tc>
        <w:tc>
          <w:tcPr>
            <w:tcW w:w="780" w:type="dxa"/>
            <w:vAlign w:val="bottom"/>
          </w:tcPr>
          <w:p>
            <w:pPr>
              <w:jc w:val="right"/>
              <w:spacing w:after="0"/>
              <w:rPr>
                <w:sz w:val="20"/>
                <w:szCs w:val="20"/>
                <w:color w:val="auto"/>
              </w:rPr>
            </w:pPr>
            <w:r>
              <w:rPr>
                <w:rFonts w:ascii="Arial" w:cs="Arial" w:eastAsia="Arial" w:hAnsi="Arial"/>
                <w:sz w:val="12"/>
                <w:szCs w:val="12"/>
                <w:color w:val="auto"/>
              </w:rPr>
              <w:t>$  18,629,082</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  18,879,139</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62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86"/>
              </w:rPr>
              <w:t>11/15/2015</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11.63%</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35,552,000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20,442,400</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86"/>
              </w:rPr>
              <w:t>02/15/2019</w:t>
            </w:r>
          </w:p>
        </w:tc>
        <w:tc>
          <w:tcPr>
            <w:tcW w:w="1840" w:type="dxa"/>
            <w:vAlign w:val="bottom"/>
          </w:tcPr>
          <w:p>
            <w:pPr>
              <w:jc w:val="center"/>
              <w:ind w:left="2"/>
              <w:spacing w:after="0"/>
              <w:rPr>
                <w:sz w:val="20"/>
                <w:szCs w:val="20"/>
                <w:color w:val="auto"/>
              </w:rPr>
            </w:pPr>
            <w:r>
              <w:rPr>
                <w:rFonts w:ascii="Arial" w:cs="Arial" w:eastAsia="Arial" w:hAnsi="Arial"/>
                <w:sz w:val="12"/>
                <w:szCs w:val="12"/>
                <w:color w:val="auto"/>
                <w:w w:val="88"/>
              </w:rPr>
              <w:t>Financial Services</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8,930,000</w:t>
            </w:r>
          </w:p>
        </w:tc>
        <w:tc>
          <w:tcPr>
            <w:tcW w:w="780" w:type="dxa"/>
            <w:vAlign w:val="bottom"/>
          </w:tcPr>
          <w:p>
            <w:pPr>
              <w:jc w:val="right"/>
              <w:spacing w:after="0"/>
              <w:rPr>
                <w:sz w:val="20"/>
                <w:szCs w:val="20"/>
                <w:color w:val="auto"/>
              </w:rPr>
            </w:pPr>
            <w:r>
              <w:rPr>
                <w:rFonts w:ascii="Arial" w:cs="Arial" w:eastAsia="Arial" w:hAnsi="Arial"/>
                <w:sz w:val="12"/>
                <w:szCs w:val="12"/>
                <w:color w:val="auto"/>
              </w:rPr>
              <w:t>8,773,751</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8,888,617</w:t>
            </w:r>
          </w:p>
        </w:tc>
        <w:tc>
          <w:tcPr>
            <w:tcW w:w="0" w:type="dxa"/>
            <w:vAlign w:val="bottom"/>
          </w:tcPr>
          <w:p>
            <w:pPr>
              <w:spacing w:after="0"/>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62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6"/>
              </w:rPr>
              <w:t>03/26/2018</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6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23,514,494</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23,114,286</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1.00%)</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162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6"/>
              </w:rPr>
              <w:t>10/26/2018</w:t>
            </w:r>
          </w:p>
        </w:tc>
        <w:tc>
          <w:tcPr>
            <w:tcW w:w="1840" w:type="dxa"/>
            <w:vAlign w:val="bottom"/>
          </w:tcPr>
          <w:p>
            <w:pPr>
              <w:jc w:val="center"/>
              <w:ind w:left="2"/>
              <w:spacing w:after="0" w:line="129" w:lineRule="exact"/>
              <w:rPr>
                <w:sz w:val="20"/>
                <w:szCs w:val="20"/>
                <w:color w:val="auto"/>
              </w:rPr>
            </w:pPr>
            <w:r>
              <w:rPr>
                <w:rFonts w:ascii="Arial" w:cs="Arial" w:eastAsia="Arial" w:hAnsi="Arial"/>
                <w:sz w:val="12"/>
                <w:szCs w:val="12"/>
                <w:color w:val="auto"/>
                <w:w w:val="85"/>
              </w:rPr>
              <w:t>Personal, Food and</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12.25%</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10,600,000</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10,399,101</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10,653,423</w:t>
            </w: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jc w:val="center"/>
              <w:ind w:left="2"/>
              <w:spacing w:after="0"/>
              <w:rPr>
                <w:sz w:val="20"/>
                <w:szCs w:val="20"/>
                <w:color w:val="auto"/>
              </w:rPr>
            </w:pPr>
            <w:r>
              <w:rPr>
                <w:rFonts w:ascii="Arial" w:cs="Arial" w:eastAsia="Arial" w:hAnsi="Arial"/>
                <w:sz w:val="12"/>
                <w:szCs w:val="12"/>
                <w:color w:val="auto"/>
                <w:w w:val="87"/>
              </w:rPr>
              <w:t>Miscellaneous Services</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Escort, Inc.</w:t>
            </w:r>
          </w:p>
        </w:tc>
        <w:tc>
          <w:tcPr>
            <w:tcW w:w="162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6"/>
              </w:rPr>
              <w:t>06/01/2016</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6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14.75%</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25,965,563</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25,579,621</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26,484,875</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2.75%)</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62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6"/>
              </w:rPr>
              <w:t>06/30/2017</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17,517,386</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17,160,955</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17,517,386</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62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86"/>
              </w:rPr>
              <w:t>05/08/2020</w:t>
            </w:r>
          </w:p>
        </w:tc>
        <w:tc>
          <w:tcPr>
            <w:tcW w:w="184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9"/>
              </w:rPr>
              <w:t>Education</w:t>
            </w:r>
          </w:p>
        </w:tc>
        <w:tc>
          <w:tcPr>
            <w:tcW w:w="86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15.00%</w:t>
            </w:r>
          </w:p>
        </w:tc>
        <w:tc>
          <w:tcPr>
            <w:tcW w:w="7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7,215,989</w:t>
            </w: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6,754,246</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7,215,989</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8"/>
              </w:rPr>
              <w:t>(PIK 15.00%)</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86"/>
              </w:rPr>
              <w:t>01/19/2019</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12.50%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30,000,000</w:t>
            </w:r>
          </w:p>
        </w:tc>
        <w:tc>
          <w:tcPr>
            <w:tcW w:w="780" w:type="dxa"/>
            <w:vAlign w:val="bottom"/>
          </w:tcPr>
          <w:p>
            <w:pPr>
              <w:jc w:val="right"/>
              <w:spacing w:after="0"/>
              <w:rPr>
                <w:sz w:val="20"/>
                <w:szCs w:val="20"/>
                <w:color w:val="auto"/>
              </w:rPr>
            </w:pPr>
            <w:r>
              <w:rPr>
                <w:rFonts w:ascii="Arial" w:cs="Arial" w:eastAsia="Arial" w:hAnsi="Arial"/>
                <w:sz w:val="12"/>
                <w:szCs w:val="12"/>
                <w:color w:val="auto"/>
              </w:rPr>
              <w:t>30,000,000</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30,525,000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62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86"/>
              </w:rPr>
              <w:t>01/11/2014</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5,000,000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5,087,500</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2"/>
                <w:szCs w:val="12"/>
                <w:color w:val="auto"/>
              </w:rPr>
              <w:t>MSPark, Inc.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86"/>
              </w:rPr>
              <w:t>06/15/2017</w:t>
            </w:r>
          </w:p>
        </w:tc>
        <w:tc>
          <w:tcPr>
            <w:tcW w:w="1840" w:type="dxa"/>
            <w:vAlign w:val="bottom"/>
          </w:tcPr>
          <w:p>
            <w:pPr>
              <w:jc w:val="center"/>
              <w:ind w:left="2"/>
              <w:spacing w:after="0"/>
              <w:rPr>
                <w:sz w:val="20"/>
                <w:szCs w:val="20"/>
                <w:color w:val="auto"/>
              </w:rPr>
            </w:pPr>
            <w:r>
              <w:rPr>
                <w:rFonts w:ascii="Arial" w:cs="Arial" w:eastAsia="Arial" w:hAnsi="Arial"/>
                <w:sz w:val="12"/>
                <w:szCs w:val="12"/>
                <w:color w:val="auto"/>
                <w:w w:val="89"/>
              </w:rPr>
              <w:t>Printing and Publishing</w:t>
            </w: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15,000,000</w:t>
            </w:r>
          </w:p>
        </w:tc>
        <w:tc>
          <w:tcPr>
            <w:tcW w:w="780" w:type="dxa"/>
            <w:vAlign w:val="bottom"/>
          </w:tcPr>
          <w:p>
            <w:pPr>
              <w:jc w:val="right"/>
              <w:spacing w:after="0"/>
              <w:rPr>
                <w:sz w:val="20"/>
                <w:szCs w:val="20"/>
                <w:color w:val="auto"/>
              </w:rPr>
            </w:pPr>
            <w:r>
              <w:rPr>
                <w:rFonts w:ascii="Arial" w:cs="Arial" w:eastAsia="Arial" w:hAnsi="Arial"/>
                <w:sz w:val="12"/>
                <w:szCs w:val="12"/>
                <w:color w:val="auto"/>
              </w:rPr>
              <w:t>14,691,342</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14,700,000</w:t>
            </w:r>
          </w:p>
        </w:tc>
        <w:tc>
          <w:tcPr>
            <w:tcW w:w="0" w:type="dxa"/>
            <w:vAlign w:val="bottom"/>
          </w:tcPr>
          <w:p>
            <w:pPr>
              <w:spacing w:after="0"/>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 Corp.</w:t>
            </w:r>
          </w:p>
        </w:tc>
        <w:tc>
          <w:tcPr>
            <w:tcW w:w="162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6"/>
              </w:rPr>
              <w:t>01/15/2018</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6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37,070,637</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36,720,586</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4.00%)</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86"/>
              </w:rPr>
              <w:t>06/27/2019</w:t>
            </w:r>
          </w:p>
        </w:tc>
        <w:tc>
          <w:tcPr>
            <w:tcW w:w="1840" w:type="dxa"/>
            <w:vAlign w:val="bottom"/>
          </w:tcPr>
          <w:p>
            <w:pPr>
              <w:jc w:val="center"/>
              <w:ind w:left="2"/>
              <w:spacing w:after="0"/>
              <w:rPr>
                <w:sz w:val="20"/>
                <w:szCs w:val="20"/>
                <w:color w:val="auto"/>
              </w:rPr>
            </w:pPr>
            <w:r>
              <w:rPr>
                <w:rFonts w:ascii="Arial" w:cs="Arial" w:eastAsia="Arial" w:hAnsi="Arial"/>
                <w:sz w:val="12"/>
                <w:szCs w:val="12"/>
                <w:color w:val="auto"/>
                <w:w w:val="89"/>
              </w:rPr>
              <w:t>Printing and Publishing</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39,892,933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39,147,926</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39,827,248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6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270,087,700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260,809,374</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w:t>
            </w:r>
          </w:p>
        </w:tc>
        <w:tc>
          <w:tcPr>
            <w:tcW w:w="162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211</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2"/>
                <w:szCs w:val="12"/>
                <w:color w:val="auto"/>
              </w:rPr>
              <w:t>AHC Mezzanine, LLC</w:t>
            </w:r>
          </w:p>
        </w:tc>
        <w:tc>
          <w:tcPr>
            <w:tcW w:w="1620" w:type="dxa"/>
            <w:vAlign w:val="bottom"/>
          </w:tcPr>
          <w:p>
            <w:pPr>
              <w:jc w:val="center"/>
              <w:ind w:left="84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7,505</w:t>
            </w:r>
          </w:p>
        </w:tc>
        <w:tc>
          <w:tcPr>
            <w:tcW w:w="780" w:type="dxa"/>
            <w:vAlign w:val="bottom"/>
          </w:tcPr>
          <w:p>
            <w:pPr>
              <w:jc w:val="right"/>
              <w:spacing w:after="0"/>
              <w:rPr>
                <w:sz w:val="20"/>
                <w:szCs w:val="20"/>
                <w:color w:val="auto"/>
              </w:rPr>
            </w:pPr>
            <w:r>
              <w:rPr>
                <w:rFonts w:ascii="Arial" w:cs="Arial" w:eastAsia="Arial" w:hAnsi="Arial"/>
                <w:sz w:val="12"/>
                <w:szCs w:val="12"/>
                <w:color w:val="auto"/>
              </w:rPr>
              <w:t>318,896</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 Series A</w:t>
            </w:r>
          </w:p>
        </w:tc>
        <w:tc>
          <w:tcPr>
            <w:tcW w:w="162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ind w:left="2"/>
              <w:spacing w:after="0" w:line="129" w:lineRule="exact"/>
              <w:rPr>
                <w:sz w:val="20"/>
                <w:szCs w:val="20"/>
                <w:color w:val="auto"/>
              </w:rPr>
            </w:pPr>
            <w:r>
              <w:rPr>
                <w:rFonts w:ascii="Arial" w:cs="Arial" w:eastAsia="Arial" w:hAnsi="Arial"/>
                <w:sz w:val="12"/>
                <w:szCs w:val="12"/>
                <w:color w:val="auto"/>
                <w:w w:val="88"/>
              </w:rPr>
              <w:t>Financial Services</w:t>
            </w:r>
          </w:p>
        </w:tc>
        <w:tc>
          <w:tcPr>
            <w:tcW w:w="86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949</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949,050</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(Alegeus Technologies, LLC)</w:t>
            </w: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62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76,357</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765,307</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1,187,410</w:t>
            </w:r>
          </w:p>
        </w:tc>
        <w:tc>
          <w:tcPr>
            <w:tcW w:w="0" w:type="dxa"/>
            <w:vAlign w:val="bottom"/>
          </w:tcPr>
          <w:p>
            <w:pPr>
              <w:spacing w:after="0"/>
              <w:rPr>
                <w:sz w:val="1"/>
                <w:szCs w:val="1"/>
                <w:color w:val="auto"/>
              </w:rPr>
            </w:pPr>
          </w:p>
        </w:tc>
      </w:tr>
      <w:tr>
        <w:trPr>
          <w:trHeight w:val="151"/>
        </w:trPr>
        <w:tc>
          <w:tcPr>
            <w:tcW w:w="348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62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7"/>
              </w:rPr>
              <w:t>Healthcare, Education and Childcare</w:t>
            </w:r>
          </w:p>
        </w:tc>
        <w:tc>
          <w:tcPr>
            <w:tcW w:w="86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38,179</w:t>
            </w: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382,654</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16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62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6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2,375</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2,375,000</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2,584,106</w:t>
            </w:r>
          </w:p>
        </w:tc>
        <w:tc>
          <w:tcPr>
            <w:tcW w:w="0" w:type="dxa"/>
            <w:vAlign w:val="bottom"/>
          </w:tcPr>
          <w:p>
            <w:pPr>
              <w:spacing w:after="0"/>
              <w:rPr>
                <w:sz w:val="1"/>
                <w:szCs w:val="1"/>
                <w:color w:val="auto"/>
              </w:rPr>
            </w:pPr>
          </w:p>
        </w:tc>
      </w:tr>
      <w:tr>
        <w:trPr>
          <w:trHeight w:val="151"/>
        </w:trPr>
        <w:tc>
          <w:tcPr>
            <w:tcW w:w="3480" w:type="dxa"/>
            <w:vAlign w:val="bottom"/>
          </w:tcPr>
          <w:p>
            <w:pPr>
              <w:ind w:left="160"/>
              <w:spacing w:after="0"/>
              <w:rPr>
                <w:sz w:val="20"/>
                <w:szCs w:val="20"/>
                <w:color w:val="auto"/>
              </w:rPr>
            </w:pPr>
            <w:r>
              <w:rPr>
                <w:rFonts w:ascii="Arial" w:cs="Arial" w:eastAsia="Arial" w:hAnsi="Arial"/>
                <w:sz w:val="12"/>
                <w:szCs w:val="12"/>
                <w:color w:val="auto"/>
              </w:rPr>
              <w:t>(Convergint Technologies LLC)</w:t>
            </w: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62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326,215</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326,215</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2"/>
                <w:szCs w:val="12"/>
                <w:color w:val="auto"/>
              </w:rPr>
              <w:t>HW Topco, Inc.</w:t>
            </w:r>
          </w:p>
        </w:tc>
        <w:tc>
          <w:tcPr>
            <w:tcW w:w="16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3,591</w:t>
            </w:r>
          </w:p>
        </w:tc>
        <w:tc>
          <w:tcPr>
            <w:tcW w:w="780" w:type="dxa"/>
            <w:vAlign w:val="bottom"/>
          </w:tcPr>
          <w:p>
            <w:pPr>
              <w:jc w:val="right"/>
              <w:spacing w:after="0"/>
              <w:rPr>
                <w:sz w:val="20"/>
                <w:szCs w:val="20"/>
                <w:color w:val="auto"/>
              </w:rPr>
            </w:pPr>
            <w:r>
              <w:rPr>
                <w:rFonts w:ascii="Arial" w:cs="Arial" w:eastAsia="Arial" w:hAnsi="Arial"/>
                <w:sz w:val="12"/>
                <w:szCs w:val="12"/>
                <w:color w:val="auto"/>
              </w:rPr>
              <w:t>24,177</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62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Insurance</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686</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685,820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6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2"/>
                <w:szCs w:val="12"/>
                <w:color w:val="auto"/>
                <w:w w:val="83"/>
              </w:rPr>
              <w:t>Insurance</w:t>
            </w: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1,312</w:t>
            </w:r>
          </w:p>
        </w:tc>
        <w:tc>
          <w:tcPr>
            <w:tcW w:w="780" w:type="dxa"/>
            <w:vAlign w:val="bottom"/>
          </w:tcPr>
          <w:p>
            <w:pPr>
              <w:jc w:val="right"/>
              <w:spacing w:after="0"/>
              <w:rPr>
                <w:sz w:val="20"/>
                <w:szCs w:val="20"/>
                <w:color w:val="auto"/>
              </w:rPr>
            </w:pPr>
            <w:r>
              <w:rPr>
                <w:rFonts w:ascii="Arial" w:cs="Arial" w:eastAsia="Arial" w:hAnsi="Arial"/>
                <w:sz w:val="12"/>
                <w:szCs w:val="12"/>
                <w:color w:val="auto"/>
              </w:rPr>
              <w:t>1,312,006</w:t>
            </w:r>
          </w:p>
        </w:tc>
        <w:tc>
          <w:tcPr>
            <w:tcW w:w="1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62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1,824,167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9,463,292</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8,051,870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right"/>
              <w:ind w:right="102"/>
              <w:spacing w:after="0"/>
              <w:rPr>
                <w:sz w:val="20"/>
                <w:szCs w:val="20"/>
                <w:color w:val="auto"/>
              </w:rPr>
            </w:pPr>
            <w:r>
              <w:rPr>
                <w:rFonts w:ascii="Arial" w:cs="Arial" w:eastAsia="Arial" w:hAnsi="Arial"/>
                <w:sz w:val="12"/>
                <w:szCs w:val="12"/>
                <w:b w:val="1"/>
                <w:bCs w:val="1"/>
                <w:color w:val="auto"/>
              </w:rPr>
              <w:t>Basis Point</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tcPr>
          <w:p>
            <w:pPr>
              <w:jc w:val="right"/>
              <w:ind w:right="38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60" w:type="dxa"/>
            <w:vAlign w:val="bottom"/>
            <w:vMerge w:val="continue"/>
          </w:tcPr>
          <w:p>
            <w:pPr>
              <w:spacing w:after="0"/>
              <w:rPr>
                <w:sz w:val="12"/>
                <w:szCs w:val="12"/>
                <w:color w:val="auto"/>
              </w:rPr>
            </w:pPr>
          </w:p>
        </w:tc>
        <w:tc>
          <w:tcPr>
            <w:tcW w:w="1320" w:type="dxa"/>
            <w:vAlign w:val="bottom"/>
          </w:tcPr>
          <w:p>
            <w:pPr>
              <w:ind w:left="720"/>
              <w:spacing w:after="0"/>
              <w:rPr>
                <w:sz w:val="20"/>
                <w:szCs w:val="20"/>
                <w:color w:val="auto"/>
              </w:rPr>
            </w:pPr>
            <w:r>
              <w:rPr>
                <w:rFonts w:ascii="Arial" w:cs="Arial" w:eastAsia="Arial" w:hAnsi="Arial"/>
                <w:sz w:val="12"/>
                <w:szCs w:val="12"/>
                <w:b w:val="1"/>
                <w:bCs w:val="1"/>
                <w:color w:val="auto"/>
              </w:rPr>
              <w:t>Maturity</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920" w:type="dxa"/>
            <w:vAlign w:val="bottom"/>
          </w:tcPr>
          <w:p>
            <w:pPr>
              <w:jc w:val="right"/>
              <w:ind w:right="342"/>
              <w:spacing w:after="0"/>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3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Common Equity/Warrants/Partnership Interests—10.1%</w:t>
            </w:r>
            <w:r>
              <w:rPr>
                <w:rFonts w:ascii="Arial" w:cs="Arial" w:eastAsia="Arial" w:hAnsi="Arial"/>
                <w:sz w:val="9"/>
                <w:szCs w:val="9"/>
                <w:b w:val="1"/>
                <w:bCs w:val="1"/>
                <w:color w:val="auto"/>
              </w:rPr>
              <w:t>(6)</w:t>
            </w:r>
          </w:p>
        </w:tc>
        <w:tc>
          <w:tcPr>
            <w:tcW w:w="13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1320" w:type="dxa"/>
            <w:vAlign w:val="bottom"/>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rPr>
                <w:sz w:val="20"/>
                <w:szCs w:val="20"/>
                <w:color w:val="auto"/>
              </w:rPr>
            </w:pPr>
            <w:r>
              <w:rPr>
                <w:rFonts w:ascii="Arial" w:cs="Arial" w:eastAsia="Arial" w:hAnsi="Arial"/>
                <w:sz w:val="12"/>
                <w:szCs w:val="12"/>
                <w:color w:val="auto"/>
                <w:w w:val="91"/>
              </w:rPr>
              <w:t>Electronics</w:t>
            </w:r>
          </w:p>
        </w:tc>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1,998</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  2,000,000</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1,572,603</w:t>
            </w:r>
          </w:p>
        </w:tc>
        <w:tc>
          <w:tcPr>
            <w:tcW w:w="0" w:type="dxa"/>
            <w:vAlign w:val="bottom"/>
          </w:tcPr>
          <w:p>
            <w:pPr>
              <w:spacing w:after="0"/>
              <w:rPr>
                <w:sz w:val="1"/>
                <w:szCs w:val="1"/>
                <w:color w:val="auto"/>
              </w:rPr>
            </w:pPr>
          </w:p>
        </w:tc>
      </w:tr>
      <w:tr>
        <w:trPr>
          <w:trHeight w:val="129"/>
        </w:trPr>
        <w:tc>
          <w:tcPr>
            <w:tcW w:w="4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AH Holdings, Inc.</w:t>
            </w:r>
          </w:p>
        </w:tc>
        <w:tc>
          <w:tcPr>
            <w:tcW w:w="1320" w:type="dxa"/>
            <w:vAlign w:val="bottom"/>
            <w:shd w:val="clear" w:color="auto" w:fill="CCEEFF"/>
          </w:tcPr>
          <w:p>
            <w:pPr>
              <w:jc w:val="center"/>
              <w:ind w:left="522"/>
              <w:spacing w:after="0" w:line="129" w:lineRule="exact"/>
              <w:rPr>
                <w:sz w:val="20"/>
                <w:szCs w:val="20"/>
                <w:color w:val="auto"/>
              </w:rPr>
            </w:pPr>
            <w:r>
              <w:rPr>
                <w:rFonts w:ascii="Arial" w:cs="Arial" w:eastAsia="Arial" w:hAnsi="Arial"/>
                <w:sz w:val="12"/>
                <w:szCs w:val="12"/>
                <w:color w:val="auto"/>
                <w:w w:val="89"/>
              </w:rPr>
              <w:t>03/23/2021</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753</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2,499,319</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(Warrants)</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950</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Autumn Games, LLC</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7"/>
              </w:rPr>
              <w:t>Broadcasting and</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1,333,330</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3,000,000</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Entertainment</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320" w:type="dxa"/>
            <w:vAlign w:val="bottom"/>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rPr>
                <w:sz w:val="20"/>
                <w:szCs w:val="20"/>
                <w:color w:val="auto"/>
              </w:rPr>
            </w:pPr>
            <w:r>
              <w:rPr>
                <w:rFonts w:ascii="Arial" w:cs="Arial" w:eastAsia="Arial" w:hAnsi="Arial"/>
                <w:sz w:val="12"/>
                <w:szCs w:val="12"/>
                <w:color w:val="auto"/>
                <w:w w:val="96"/>
              </w:rPr>
              <w:t>Distribution</w:t>
            </w:r>
          </w:p>
        </w:tc>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1,505,000</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1,505,000</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2,308,777</w:t>
            </w:r>
          </w:p>
        </w:tc>
        <w:tc>
          <w:tcPr>
            <w:tcW w:w="0" w:type="dxa"/>
            <w:vAlign w:val="bottom"/>
          </w:tcPr>
          <w:p>
            <w:pPr>
              <w:spacing w:after="0"/>
              <w:rPr>
                <w:sz w:val="1"/>
                <w:szCs w:val="1"/>
                <w:color w:val="auto"/>
              </w:rPr>
            </w:pPr>
          </w:p>
        </w:tc>
      </w:tr>
      <w:tr>
        <w:trPr>
          <w:trHeight w:val="129"/>
        </w:trPr>
        <w:tc>
          <w:tcPr>
            <w:tcW w:w="4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320" w:type="dxa"/>
            <w:vAlign w:val="bottom"/>
            <w:shd w:val="clear" w:color="auto" w:fill="CCEEFF"/>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23,416</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234,693</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11,708</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117,346</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13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1"/>
              </w:rPr>
              <w:t>Electronics</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2,375</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(Convergint Technologies LLC)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CT Technologies Holdings, LLC</w:t>
            </w:r>
          </w:p>
        </w:tc>
        <w:tc>
          <w:tcPr>
            <w:tcW w:w="1320" w:type="dxa"/>
            <w:vAlign w:val="bottom"/>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5,556</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1,918,346</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7,285,399</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1320" w:type="dxa"/>
            <w:vAlign w:val="bottom"/>
            <w:shd w:val="clear" w:color="auto" w:fill="CCEEFF"/>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Other Media</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386,770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2,697,835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3,400,855</w:t>
            </w: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Kadmon Holdings, LLC, Class A</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1,079,920</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1,236,832</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Kadmon Holdings, LLC, Class D</w:t>
            </w:r>
          </w:p>
        </w:tc>
        <w:tc>
          <w:tcPr>
            <w:tcW w:w="1320" w:type="dxa"/>
            <w:vAlign w:val="bottom"/>
            <w:shd w:val="clear" w:color="auto" w:fill="CCEEFF"/>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1,079,920</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1,028,807</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Learning Care Group (US) Inc.</w:t>
            </w:r>
          </w:p>
        </w:tc>
        <w:tc>
          <w:tcPr>
            <w:tcW w:w="1320" w:type="dxa"/>
            <w:vAlign w:val="bottom"/>
          </w:tcPr>
          <w:p>
            <w:pPr>
              <w:jc w:val="center"/>
              <w:ind w:left="522"/>
              <w:spacing w:after="0" w:line="129" w:lineRule="exact"/>
              <w:rPr>
                <w:sz w:val="20"/>
                <w:szCs w:val="20"/>
                <w:color w:val="auto"/>
              </w:rPr>
            </w:pPr>
            <w:r>
              <w:rPr>
                <w:rFonts w:ascii="Arial" w:cs="Arial" w:eastAsia="Arial" w:hAnsi="Arial"/>
                <w:sz w:val="12"/>
                <w:szCs w:val="12"/>
                <w:color w:val="auto"/>
                <w:w w:val="89"/>
              </w:rPr>
              <w:t>04/27/2020</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6"/>
              </w:rPr>
              <w:t>Education</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6,649</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779,920</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4,300,696</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(Warrants)</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Magnum Hunter Resources Corporation</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Oil and Gas</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1,221,932</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3,057,500</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7,539,320</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(Eureka Hunter Pipeline, LLC)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320" w:type="dxa"/>
            <w:vAlign w:val="bottom"/>
          </w:tcPr>
          <w:p>
            <w:pPr>
              <w:jc w:val="center"/>
              <w:ind w:left="522"/>
              <w:spacing w:after="0" w:line="129" w:lineRule="exact"/>
              <w:rPr>
                <w:sz w:val="20"/>
                <w:szCs w:val="20"/>
                <w:color w:val="auto"/>
              </w:rPr>
            </w:pPr>
            <w:r>
              <w:rPr>
                <w:rFonts w:ascii="Arial" w:cs="Arial" w:eastAsia="Arial" w:hAnsi="Arial"/>
                <w:sz w:val="12"/>
                <w:szCs w:val="12"/>
                <w:color w:val="auto"/>
                <w:w w:val="89"/>
              </w:rPr>
              <w:t>10/14/2013</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122,193</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105,697</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360" w:type="dxa"/>
            <w:vAlign w:val="bottom"/>
          </w:tcPr>
          <w:p>
            <w:pPr>
              <w:ind w:left="160"/>
              <w:spacing w:after="0" w:line="135" w:lineRule="exact"/>
              <w:rPr>
                <w:sz w:val="20"/>
                <w:szCs w:val="20"/>
                <w:color w:val="auto"/>
              </w:rPr>
            </w:pPr>
            <w:r>
              <w:rPr>
                <w:rFonts w:ascii="Arial" w:cs="Arial" w:eastAsia="Arial" w:hAnsi="Arial"/>
                <w:sz w:val="12"/>
                <w:szCs w:val="12"/>
                <w:color w:val="auto"/>
              </w:rPr>
              <w:t>(Warrants)</w:t>
            </w:r>
          </w:p>
        </w:tc>
        <w:tc>
          <w:tcPr>
            <w:tcW w:w="1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(Eureka Hunter Pipeline, LLC)</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Magnum Hunter Resources Corporation</w:t>
            </w:r>
          </w:p>
        </w:tc>
        <w:tc>
          <w:tcPr>
            <w:tcW w:w="1320" w:type="dxa"/>
            <w:vAlign w:val="bottom"/>
            <w:shd w:val="clear" w:color="auto" w:fill="CCEEFF"/>
          </w:tcPr>
          <w:p>
            <w:pPr>
              <w:jc w:val="center"/>
              <w:ind w:left="522"/>
              <w:spacing w:after="0" w:line="132" w:lineRule="exact"/>
              <w:rPr>
                <w:sz w:val="20"/>
                <w:szCs w:val="20"/>
                <w:color w:val="auto"/>
              </w:rPr>
            </w:pPr>
            <w:r>
              <w:rPr>
                <w:rFonts w:ascii="Arial" w:cs="Arial" w:eastAsia="Arial" w:hAnsi="Arial"/>
                <w:sz w:val="12"/>
                <w:szCs w:val="12"/>
                <w:color w:val="auto"/>
                <w:w w:val="89"/>
              </w:rPr>
              <w:t>04/16/2016</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Oil and Gas</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122,193</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182,499</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(Warrants)</w:t>
            </w:r>
          </w:p>
        </w:tc>
        <w:tc>
          <w:tcPr>
            <w:tcW w:w="1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(Eureka Hunter Pipeline, LLC)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96"/>
              </w:rPr>
              <w:t>Distribution</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1,850</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1,850,294</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1,845,784</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(JF Acquisition, LLC)</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MidOcean PPL Holdings, Corp.</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5"/>
              </w:rPr>
              <w:t>Personal, Food and</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3,000</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3,000,000</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5,441,976</w:t>
            </w:r>
          </w:p>
        </w:tc>
        <w:tc>
          <w:tcPr>
            <w:tcW w:w="0" w:type="dxa"/>
            <w:vAlign w:val="bottom"/>
          </w:tcPr>
          <w:p>
            <w:pPr>
              <w:spacing w:after="0"/>
              <w:rPr>
                <w:sz w:val="1"/>
                <w:szCs w:val="1"/>
                <w:color w:val="auto"/>
              </w:rPr>
            </w:pPr>
          </w:p>
        </w:tc>
      </w:tr>
      <w:tr>
        <w:trPr>
          <w:trHeight w:val="135"/>
        </w:trPr>
        <w:tc>
          <w:tcPr>
            <w:tcW w:w="43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(Pre-Paid Legal Services, Inc.)</w:t>
            </w:r>
          </w:p>
        </w:tc>
        <w:tc>
          <w:tcPr>
            <w:tcW w:w="1320" w:type="dxa"/>
            <w:vAlign w:val="bottom"/>
            <w:shd w:val="clear" w:color="auto" w:fill="CCEEFF"/>
          </w:tcPr>
          <w:p>
            <w:pPr>
              <w:spacing w:after="0"/>
              <w:rPr>
                <w:sz w:val="11"/>
                <w:szCs w:val="11"/>
                <w:color w:val="auto"/>
              </w:rPr>
            </w:pP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Miscellaneous</w:t>
            </w: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Services</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Paradigm Acquisition Corp.</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20,000</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2,000,000</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3,720,481</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A</w:t>
            </w:r>
          </w:p>
        </w:tc>
        <w:tc>
          <w:tcPr>
            <w:tcW w:w="1320" w:type="dxa"/>
            <w:vAlign w:val="bottom"/>
            <w:shd w:val="clear" w:color="auto" w:fill="CCEEFF"/>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6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4,325</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1,306,167</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2,073,419</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(Questex Media Group, LLC)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531</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(Questex Media Group, LLC)</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SPG Boyd Holdings Corp.</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Chemical, Plastic and</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300,000</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3,000,000</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5,571,120</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(LTI Flexible Products, Inc.)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Rubber</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TRAK Acquisition Corp.</w:t>
            </w:r>
          </w:p>
        </w:tc>
        <w:tc>
          <w:tcPr>
            <w:tcW w:w="1320" w:type="dxa"/>
            <w:vAlign w:val="bottom"/>
          </w:tcPr>
          <w:p>
            <w:pPr>
              <w:jc w:val="center"/>
              <w:ind w:left="522"/>
              <w:spacing w:after="0" w:line="129" w:lineRule="exact"/>
              <w:rPr>
                <w:sz w:val="20"/>
                <w:szCs w:val="20"/>
                <w:color w:val="auto"/>
              </w:rPr>
            </w:pPr>
            <w:r>
              <w:rPr>
                <w:rFonts w:ascii="Arial" w:cs="Arial" w:eastAsia="Arial" w:hAnsi="Arial"/>
                <w:sz w:val="12"/>
                <w:szCs w:val="12"/>
                <w:color w:val="auto"/>
                <w:w w:val="89"/>
              </w:rPr>
              <w:t>12/29/2019</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3,500</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29,400</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51"/>
        </w:trPr>
        <w:tc>
          <w:tcPr>
            <w:tcW w:w="4360" w:type="dxa"/>
            <w:vAlign w:val="bottom"/>
          </w:tcPr>
          <w:p>
            <w:pPr>
              <w:ind w:left="160"/>
              <w:spacing w:after="0"/>
              <w:rPr>
                <w:sz w:val="20"/>
                <w:szCs w:val="20"/>
                <w:color w:val="auto"/>
              </w:rPr>
            </w:pPr>
            <w:r>
              <w:rPr>
                <w:rFonts w:ascii="Arial" w:cs="Arial" w:eastAsia="Arial" w:hAnsi="Arial"/>
                <w:sz w:val="12"/>
                <w:szCs w:val="12"/>
                <w:color w:val="auto"/>
              </w:rPr>
              <w:t>(Warrants)</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1320" w:type="dxa"/>
            <w:vAlign w:val="bottom"/>
            <w:shd w:val="clear" w:color="auto" w:fill="CCEEFF"/>
          </w:tcPr>
          <w:p>
            <w:pPr>
              <w:jc w:val="center"/>
              <w:ind w:left="542"/>
              <w:spacing w:after="0" w:line="132"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Cargo Transport</w:t>
            </w:r>
          </w:p>
        </w:tc>
        <w:tc>
          <w:tcPr>
            <w:tcW w:w="66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137,923</w:t>
            </w: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2,111,588</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(Intermediate Transportation 100, L.L.C.)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TZ Holdings, L.P.</w:t>
            </w:r>
          </w:p>
        </w:tc>
        <w:tc>
          <w:tcPr>
            <w:tcW w:w="1320" w:type="dxa"/>
            <w:vAlign w:val="bottom"/>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2</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9,567</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320" w:type="dxa"/>
            <w:vAlign w:val="bottom"/>
            <w:shd w:val="clear" w:color="auto" w:fill="CCEEFF"/>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Printing and</w:t>
            </w:r>
          </w:p>
        </w:tc>
        <w:tc>
          <w:tcPr>
            <w:tcW w:w="6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211,797</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2,325,555</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2,626,512</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(Vestcom International, Inc.)</w:t>
            </w:r>
          </w:p>
        </w:tc>
        <w:tc>
          <w:tcPr>
            <w:tcW w:w="13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Arial" w:cs="Arial" w:eastAsia="Arial" w:hAnsi="Arial"/>
                <w:sz w:val="12"/>
                <w:szCs w:val="12"/>
                <w:color w:val="auto"/>
              </w:rPr>
              <w:t>VRide Holdings Inc.</w:t>
            </w:r>
          </w:p>
        </w:tc>
        <w:tc>
          <w:tcPr>
            <w:tcW w:w="1320" w:type="dxa"/>
            <w:vAlign w:val="bottom"/>
          </w:tcPr>
          <w:p>
            <w:pPr>
              <w:jc w:val="center"/>
              <w:ind w:left="542"/>
              <w:spacing w:after="0" w:line="129" w:lineRule="exact"/>
              <w:rPr>
                <w:sz w:val="20"/>
                <w:szCs w:val="20"/>
                <w:color w:val="auto"/>
              </w:rPr>
            </w:pPr>
            <w:r>
              <w:rPr>
                <w:rFonts w:ascii="Arial" w:cs="Arial" w:eastAsia="Arial" w:hAnsi="Arial"/>
                <w:sz w:val="12"/>
                <w:szCs w:val="12"/>
                <w:color w:val="auto"/>
                <w:w w:val="99"/>
              </w:rPr>
              <w:t>—</w:t>
            </w:r>
          </w:p>
        </w:tc>
        <w:tc>
          <w:tcPr>
            <w:tcW w:w="1220" w:type="dxa"/>
            <w:vAlign w:val="bottom"/>
          </w:tcPr>
          <w:p>
            <w:pPr>
              <w:jc w:val="center"/>
              <w:spacing w:after="0" w:line="129" w:lineRule="exact"/>
              <w:rPr>
                <w:sz w:val="20"/>
                <w:szCs w:val="20"/>
                <w:color w:val="auto"/>
              </w:rPr>
            </w:pPr>
            <w:r>
              <w:rPr>
                <w:rFonts w:ascii="Arial" w:cs="Arial" w:eastAsia="Arial" w:hAnsi="Arial"/>
                <w:sz w:val="12"/>
                <w:szCs w:val="12"/>
                <w:color w:val="auto"/>
                <w:w w:val="84"/>
              </w:rPr>
              <w:t>Personal</w:t>
            </w:r>
          </w:p>
        </w:tc>
        <w:tc>
          <w:tcPr>
            <w:tcW w:w="6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9,166</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9,166</w:t>
            </w:r>
          </w:p>
        </w:tc>
        <w:tc>
          <w:tcPr>
            <w:tcW w:w="180" w:type="dxa"/>
            <w:vAlign w:val="bottom"/>
          </w:tcPr>
          <w:p>
            <w:pPr>
              <w:spacing w:after="0"/>
              <w:rPr>
                <w:sz w:val="11"/>
                <w:szCs w:val="11"/>
                <w:color w:val="auto"/>
              </w:rPr>
            </w:pPr>
          </w:p>
        </w:tc>
        <w:tc>
          <w:tcPr>
            <w:tcW w:w="76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87"/>
              </w:rPr>
              <w:t>Transportation</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1320" w:type="dxa"/>
            <w:vAlign w:val="bottom"/>
            <w:shd w:val="clear" w:color="auto" w:fill="CCEEFF"/>
          </w:tcPr>
          <w:p>
            <w:pPr>
              <w:jc w:val="center"/>
              <w:ind w:left="542"/>
              <w:spacing w:after="0"/>
              <w:rPr>
                <w:sz w:val="20"/>
                <w:szCs w:val="20"/>
                <w:color w:val="auto"/>
              </w:rPr>
            </w:pPr>
            <w:r>
              <w:rPr>
                <w:rFonts w:ascii="Arial" w:cs="Arial" w:eastAsia="Arial" w:hAnsi="Arial"/>
                <w:sz w:val="12"/>
                <w:szCs w:val="12"/>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35,526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5,966,074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20"/>
                <w:szCs w:val="20"/>
                <w:color w:val="auto"/>
              </w:rPr>
            </w:pPr>
            <w:r>
              <w:rPr>
                <w:rFonts w:ascii="Arial" w:cs="Arial" w:eastAsia="Arial" w:hAnsi="Arial"/>
                <w:sz w:val="12"/>
                <w:szCs w:val="12"/>
                <w:b w:val="1"/>
                <w:bCs w:val="1"/>
                <w:color w:val="auto"/>
              </w:rPr>
              <w:t>Total Common Equity/Warrants/Partnership Interests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37,557,162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70,472,831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928,078,589</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968,471,042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2"/>
              </w:rPr>
              <w:t>Basis Point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Above</w:t>
            </w:r>
          </w:p>
        </w:tc>
        <w:tc>
          <w:tcPr>
            <w:tcW w:w="940" w:type="dxa"/>
            <w:vAlign w:val="bottom"/>
            <w:gridSpan w:val="3"/>
          </w:tcPr>
          <w:p>
            <w:pPr>
              <w:jc w:val="center"/>
              <w:ind w:right="380"/>
              <w:spacing w:after="0" w:line="135" w:lineRule="exact"/>
              <w:rPr>
                <w:sz w:val="20"/>
                <w:szCs w:val="20"/>
                <w:color w:val="auto"/>
              </w:rPr>
            </w:pPr>
            <w:r>
              <w:rPr>
                <w:rFonts w:ascii="Arial" w:cs="Arial" w:eastAsia="Arial" w:hAnsi="Arial"/>
                <w:sz w:val="12"/>
                <w:szCs w:val="12"/>
                <w:b w:val="1"/>
                <w:bCs w:val="1"/>
                <w:color w:val="auto"/>
                <w:w w:val="92"/>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020" w:type="dxa"/>
            <w:vAlign w:val="bottom"/>
          </w:tcPr>
          <w:p>
            <w:pPr>
              <w:ind w:left="420"/>
              <w:spacing w:after="0"/>
              <w:rPr>
                <w:sz w:val="20"/>
                <w:szCs w:val="20"/>
                <w:color w:val="auto"/>
              </w:rPr>
            </w:pPr>
            <w:r>
              <w:rPr>
                <w:rFonts w:ascii="Arial" w:cs="Arial" w:eastAsia="Arial" w:hAnsi="Arial"/>
                <w:sz w:val="12"/>
                <w:szCs w:val="12"/>
                <w:b w:val="1"/>
                <w:bCs w:val="1"/>
                <w:color w:val="auto"/>
              </w:rPr>
              <w:t>Maturity</w:t>
            </w:r>
          </w:p>
        </w:tc>
        <w:tc>
          <w:tcPr>
            <w:tcW w:w="13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94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Investments in Non-Controlled, Affiliated Portfolio Companies—11.0%</w:t>
            </w:r>
            <w:r>
              <w:rPr>
                <w:rFonts w:ascii="Arial" w:cs="Arial" w:eastAsia="Arial" w:hAnsi="Arial"/>
                <w:sz w:val="9"/>
                <w:szCs w:val="9"/>
                <w:b w:val="1"/>
                <w:bCs w:val="1"/>
                <w:color w:val="auto"/>
                <w:w w:val="98"/>
              </w:rPr>
              <w:t>(1),(2)</w:t>
            </w:r>
          </w:p>
        </w:tc>
        <w:tc>
          <w:tcPr>
            <w:tcW w:w="10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102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86"/>
              </w:rPr>
              <w:t>11/05/2019</w:t>
            </w:r>
          </w:p>
        </w:tc>
        <w:tc>
          <w:tcPr>
            <w:tcW w:w="1340" w:type="dxa"/>
            <w:vAlign w:val="bottom"/>
            <w:gridSpan w:val="2"/>
            <w:shd w:val="clear" w:color="auto" w:fill="CCEEFF"/>
          </w:tcPr>
          <w:p>
            <w:pPr>
              <w:jc w:val="center"/>
              <w:ind w:right="20"/>
              <w:spacing w:after="0" w:line="129" w:lineRule="exact"/>
              <w:rPr>
                <w:sz w:val="20"/>
                <w:szCs w:val="20"/>
                <w:color w:val="auto"/>
              </w:rPr>
            </w:pPr>
            <w:r>
              <w:rPr>
                <w:rFonts w:ascii="Arial" w:cs="Arial" w:eastAsia="Arial" w:hAnsi="Arial"/>
                <w:sz w:val="12"/>
                <w:szCs w:val="12"/>
                <w:color w:val="auto"/>
                <w:w w:val="86"/>
              </w:rPr>
              <w:t>Consumer Products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12.00%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w w:val="89"/>
              </w:rPr>
              <w:t>11,428,224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11,428,224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5"/>
              </w:rPr>
              <w:t>(PIK 12.00%)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color w:val="auto"/>
              </w:rPr>
              <w:t>Service Champ, Inc.</w:t>
            </w:r>
          </w:p>
        </w:tc>
        <w:tc>
          <w:tcPr>
            <w:tcW w:w="1020" w:type="dxa"/>
            <w:vAlign w:val="bottom"/>
          </w:tcPr>
          <w:p>
            <w:pPr>
              <w:jc w:val="center"/>
              <w:ind w:left="222"/>
              <w:spacing w:after="0"/>
              <w:rPr>
                <w:sz w:val="20"/>
                <w:szCs w:val="20"/>
                <w:color w:val="auto"/>
              </w:rPr>
            </w:pPr>
            <w:r>
              <w:rPr>
                <w:rFonts w:ascii="Arial" w:cs="Arial" w:eastAsia="Arial" w:hAnsi="Arial"/>
                <w:sz w:val="12"/>
                <w:szCs w:val="12"/>
                <w:color w:val="auto"/>
                <w:w w:val="89"/>
              </w:rPr>
              <w:t>10/02/2017</w:t>
            </w:r>
          </w:p>
        </w:tc>
        <w:tc>
          <w:tcPr>
            <w:tcW w:w="134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Auto Sector</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12.50%</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w w:val="89"/>
              </w:rPr>
              <w:t>28,000,000</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27,474,713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T</w:t>
            </w:r>
            <w:r>
              <w:rPr>
                <w:rFonts w:ascii="Arial" w:cs="Arial" w:eastAsia="Arial" w:hAnsi="Arial"/>
                <w:sz w:val="12"/>
                <w:szCs w:val="12"/>
                <w:b w:val="1"/>
                <w:bCs w:val="1"/>
                <w:color w:val="auto"/>
              </w:rPr>
              <w:t>otal Subordinated Debt/Corporate Notes</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38,902,937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39,676,267</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20"/>
                <w:szCs w:val="20"/>
                <w:color w:val="auto"/>
              </w:rPr>
            </w:pPr>
            <w:r>
              <w:rPr>
                <w:rFonts w:ascii="Arial" w:cs="Arial" w:eastAsia="Arial" w:hAnsi="Arial"/>
                <w:sz w:val="12"/>
                <w:szCs w:val="12"/>
                <w:b w:val="1"/>
                <w:bCs w:val="1"/>
                <w:color w:val="auto"/>
              </w:rPr>
              <w:t>Preferred Equity – 0.2%</w:t>
            </w:r>
            <w:r>
              <w:rPr>
                <w:rFonts w:ascii="Arial" w:cs="Arial" w:eastAsia="Arial" w:hAnsi="Arial"/>
                <w:sz w:val="9"/>
                <w:szCs w:val="9"/>
                <w:b w:val="1"/>
                <w:bCs w:val="1"/>
                <w:color w:val="auto"/>
              </w:rPr>
              <w:t>(6)</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1020" w:type="dxa"/>
            <w:vAlign w:val="bottom"/>
            <w:shd w:val="clear" w:color="auto" w:fill="CCEEFF"/>
          </w:tcPr>
          <w:p>
            <w:pPr>
              <w:jc w:val="center"/>
              <w:ind w:left="242"/>
              <w:spacing w:after="0" w:line="132" w:lineRule="exact"/>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Aerospace and</w:t>
            </w:r>
          </w:p>
        </w:tc>
        <w:tc>
          <w:tcPr>
            <w:tcW w:w="920" w:type="dxa"/>
            <w:vAlign w:val="bottom"/>
            <w:gridSpan w:val="2"/>
            <w:shd w:val="clear" w:color="auto" w:fill="CCEEFF"/>
          </w:tcPr>
          <w:p>
            <w:pPr>
              <w:jc w:val="right"/>
              <w:ind w:right="36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53,071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20,059,340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1,694,296</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4"/>
              </w:rPr>
              <w:t>Defense</w:t>
            </w: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2"/>
                <w:szCs w:val="12"/>
                <w:b w:val="1"/>
                <w:bCs w:val="1"/>
                <w:color w:val="auto"/>
              </w:rPr>
              <w:t>Common Equity/Partnership Interest—5.1%</w:t>
            </w:r>
            <w:r>
              <w:rPr>
                <w:rFonts w:ascii="Arial" w:cs="Arial" w:eastAsia="Arial" w:hAnsi="Arial"/>
                <w:sz w:val="9"/>
                <w:szCs w:val="9"/>
                <w:b w:val="1"/>
                <w:bCs w:val="1"/>
                <w:color w:val="auto"/>
              </w:rPr>
              <w:t>(6)</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6"/>
              </w:rPr>
              <w:t>Consumer Products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104,719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21,492,822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5,556,207</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86"/>
              </w:rPr>
              <w:t>11/05/2022</w:t>
            </w:r>
          </w:p>
        </w:tc>
        <w:tc>
          <w:tcPr>
            <w:tcW w:w="1340" w:type="dxa"/>
            <w:vAlign w:val="bottom"/>
            <w:gridSpan w:val="2"/>
          </w:tcPr>
          <w:p>
            <w:pPr>
              <w:jc w:val="center"/>
              <w:ind w:right="20"/>
              <w:spacing w:after="0"/>
              <w:rPr>
                <w:sz w:val="20"/>
                <w:szCs w:val="20"/>
                <w:color w:val="auto"/>
              </w:rPr>
            </w:pPr>
            <w:r>
              <w:rPr>
                <w:rFonts w:ascii="Arial" w:cs="Arial" w:eastAsia="Arial" w:hAnsi="Arial"/>
                <w:sz w:val="12"/>
                <w:szCs w:val="12"/>
                <w:color w:val="auto"/>
                <w:w w:val="86"/>
              </w:rPr>
              <w:t>Consumer Products</w:t>
            </w: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15,486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142,684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11,891,822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21,265,345</w:t>
            </w:r>
          </w:p>
        </w:tc>
        <w:tc>
          <w:tcPr>
            <w:tcW w:w="0" w:type="dxa"/>
            <w:vAlign w:val="bottom"/>
          </w:tcPr>
          <w:p>
            <w:pPr>
              <w:spacing w:after="0"/>
              <w:rPr>
                <w:sz w:val="1"/>
                <w:szCs w:val="1"/>
                <w:color w:val="auto"/>
              </w:rPr>
            </w:pPr>
          </w:p>
        </w:tc>
      </w:tr>
      <w:tr>
        <w:trPr>
          <w:trHeight w:val="129"/>
        </w:trPr>
        <w:tc>
          <w:tcPr>
            <w:tcW w:w="4200" w:type="dxa"/>
            <w:vAlign w:val="bottom"/>
          </w:tcPr>
          <w:p>
            <w:pPr>
              <w:spacing w:after="0" w:line="129" w:lineRule="exact"/>
              <w:rPr>
                <w:sz w:val="20"/>
                <w:szCs w:val="20"/>
                <w:color w:val="auto"/>
              </w:rPr>
            </w:pPr>
            <w:r>
              <w:rPr>
                <w:rFonts w:ascii="Arial" w:cs="Arial" w:eastAsia="Arial" w:hAnsi="Arial"/>
                <w:sz w:val="12"/>
                <w:szCs w:val="12"/>
                <w:color w:val="auto"/>
              </w:rPr>
              <w:t>NCP-Performance</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340" w:type="dxa"/>
            <w:vAlign w:val="bottom"/>
            <w:gridSpan w:val="2"/>
          </w:tcPr>
          <w:p>
            <w:pPr>
              <w:jc w:val="center"/>
              <w:ind w:right="20"/>
              <w:spacing w:after="0" w:line="129" w:lineRule="exact"/>
              <w:rPr>
                <w:sz w:val="20"/>
                <w:szCs w:val="20"/>
                <w:color w:val="auto"/>
              </w:rPr>
            </w:pPr>
            <w:r>
              <w:rPr>
                <w:rFonts w:ascii="Arial" w:cs="Arial" w:eastAsia="Arial" w:hAnsi="Arial"/>
                <w:sz w:val="12"/>
                <w:szCs w:val="12"/>
                <w:color w:val="auto"/>
                <w:w w:val="88"/>
              </w:rPr>
              <w:t>Leisure, Amusement,</w:t>
            </w:r>
          </w:p>
        </w:tc>
        <w:tc>
          <w:tcPr>
            <w:tcW w:w="92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375,000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3,750,000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2,500,165</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2"/>
                <w:szCs w:val="12"/>
                <w:color w:val="auto"/>
                <w:w w:val="89"/>
              </w:rPr>
              <w:t>Motion Pictures</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7"/>
              </w:rPr>
              <w:t>and Entertainment</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Auto Sector</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16,800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2,721,600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5,222,015</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tcPr>
          <w:p>
            <w:pPr>
              <w:jc w:val="center"/>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53,071</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202,620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35,365,237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99,021,141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76,735,800</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Investments in Controlled, Affiliated Portfolio Companies—4.7%</w:t>
            </w:r>
            <w:r>
              <w:rPr>
                <w:rFonts w:ascii="Arial" w:cs="Arial" w:eastAsia="Arial" w:hAnsi="Arial"/>
                <w:sz w:val="9"/>
                <w:szCs w:val="9"/>
                <w:b w:val="1"/>
                <w:bCs w:val="1"/>
                <w:color w:val="auto"/>
              </w:rPr>
              <w:t>(1),(2)</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06/30/2020</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9,250,000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9,250,000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9,556,385</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1020" w:type="dxa"/>
            <w:vAlign w:val="bottom"/>
          </w:tcPr>
          <w:p>
            <w:pPr>
              <w:jc w:val="center"/>
              <w:ind w:left="222"/>
              <w:spacing w:after="0"/>
              <w:rPr>
                <w:sz w:val="20"/>
                <w:szCs w:val="20"/>
                <w:color w:val="auto"/>
              </w:rPr>
            </w:pPr>
            <w:r>
              <w:rPr>
                <w:rFonts w:ascii="Arial" w:cs="Arial" w:eastAsia="Arial" w:hAnsi="Arial"/>
                <w:sz w:val="12"/>
                <w:szCs w:val="12"/>
                <w:color w:val="auto"/>
                <w:w w:val="89"/>
              </w:rPr>
              <w:t>12/31/2015</w:t>
            </w:r>
          </w:p>
        </w:tc>
        <w:tc>
          <w:tcPr>
            <w:tcW w:w="1340" w:type="dxa"/>
            <w:vAlign w:val="bottom"/>
            <w:gridSpan w:val="2"/>
          </w:tcPr>
          <w:p>
            <w:pPr>
              <w:jc w:val="center"/>
              <w:ind w:right="20"/>
              <w:spacing w:after="0"/>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1,916,667</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1,787,941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1,916,667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11,037,941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2"/>
                <w:szCs w:val="12"/>
                <w:b w:val="1"/>
                <w:bCs w:val="1"/>
                <w:color w:val="auto"/>
              </w:rPr>
              <w:t>Second Lien Secured Debt—2.4%</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Universal Pegasus International, LLC</w:t>
            </w:r>
          </w:p>
        </w:tc>
        <w:tc>
          <w:tcPr>
            <w:tcW w:w="1020" w:type="dxa"/>
            <w:vAlign w:val="bottom"/>
            <w:shd w:val="clear" w:color="auto" w:fill="CCEEFF"/>
          </w:tcPr>
          <w:p>
            <w:pPr>
              <w:jc w:val="center"/>
              <w:ind w:left="222"/>
              <w:spacing w:after="0" w:line="129" w:lineRule="exact"/>
              <w:rPr>
                <w:sz w:val="20"/>
                <w:szCs w:val="20"/>
                <w:color w:val="auto"/>
              </w:rPr>
            </w:pPr>
            <w:r>
              <w:rPr>
                <w:rFonts w:ascii="Arial" w:cs="Arial" w:eastAsia="Arial" w:hAnsi="Arial"/>
                <w:sz w:val="12"/>
                <w:szCs w:val="12"/>
                <w:color w:val="auto"/>
                <w:w w:val="89"/>
              </w:rPr>
              <w:t>12/31/2015</w:t>
            </w:r>
          </w:p>
        </w:tc>
        <w:tc>
          <w:tcPr>
            <w:tcW w:w="1340" w:type="dxa"/>
            <w:vAlign w:val="bottom"/>
            <w:gridSpan w:val="2"/>
            <w:shd w:val="clear" w:color="auto" w:fill="CCEEFF"/>
          </w:tcPr>
          <w:p>
            <w:pPr>
              <w:jc w:val="center"/>
              <w:ind w:right="20"/>
              <w:spacing w:after="0" w:line="129" w:lineRule="exact"/>
              <w:rPr>
                <w:sz w:val="20"/>
                <w:szCs w:val="20"/>
                <w:color w:val="auto"/>
              </w:rPr>
            </w:pPr>
            <w:r>
              <w:rPr>
                <w:rFonts w:ascii="Arial" w:cs="Arial" w:eastAsia="Arial" w:hAnsi="Arial"/>
                <w:sz w:val="12"/>
                <w:szCs w:val="12"/>
                <w:color w:val="auto"/>
                <w:w w:val="88"/>
              </w:rPr>
              <w:t>Oil and Gas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15.00%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w w:val="89"/>
              </w:rPr>
              <w:t>16,615,645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14,709,502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16,449,489</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5"/>
              </w:rPr>
              <w:t>(PIK 15.00%)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89"/>
              </w:rPr>
              <w:t>6/30/2020</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2,250,000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2,250,000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1,961,667</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9"/>
                <w:szCs w:val="9"/>
                <w:b w:val="1"/>
                <w:bCs w:val="1"/>
                <w:color w:val="auto"/>
              </w:rPr>
              <w:t>(6)</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14.00%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1,981,948</w:t>
            </w:r>
          </w:p>
        </w:tc>
        <w:tc>
          <w:tcPr>
            <w:tcW w:w="0" w:type="dxa"/>
            <w:vAlign w:val="bottom"/>
          </w:tcPr>
          <w:p>
            <w:pPr>
              <w:spacing w:after="0"/>
              <w:rPr>
                <w:sz w:val="1"/>
                <w:szCs w:val="1"/>
                <w:color w:val="auto"/>
              </w:rPr>
            </w:pPr>
          </w:p>
        </w:tc>
      </w:tr>
      <w:tr>
        <w:trPr>
          <w:trHeight w:val="129"/>
        </w:trPr>
        <w:tc>
          <w:tcPr>
            <w:tcW w:w="420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120"/>
              <w:spacing w:after="0"/>
              <w:rPr>
                <w:sz w:val="20"/>
                <w:szCs w:val="20"/>
                <w:color w:val="auto"/>
              </w:rPr>
            </w:pPr>
            <w:r>
              <w:rPr>
                <w:rFonts w:ascii="Arial" w:cs="Arial" w:eastAsia="Arial" w:hAnsi="Arial"/>
                <w:sz w:val="12"/>
                <w:szCs w:val="12"/>
                <w:color w:val="auto"/>
              </w:rPr>
              <w:t>(Universal Pegasus International, LLC)</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tcPr>
          <w:p>
            <w:pPr>
              <w:jc w:val="center"/>
              <w:ind w:right="20"/>
              <w:spacing w:after="0"/>
              <w:rPr>
                <w:sz w:val="20"/>
                <w:szCs w:val="20"/>
                <w:color w:val="auto"/>
              </w:rPr>
            </w:pPr>
            <w:r>
              <w:rPr>
                <w:rFonts w:ascii="Arial" w:cs="Arial" w:eastAsia="Arial" w:hAnsi="Arial"/>
                <w:sz w:val="12"/>
                <w:szCs w:val="12"/>
                <w:color w:val="auto"/>
                <w:w w:val="88"/>
              </w:rPr>
              <w:t>Oil and Gas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8.00%</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color w:val="auto"/>
              </w:rPr>
              <w:t>376,988</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34,420,612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1,102,555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36,420,612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3,084,503</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2"/>
                <w:szCs w:val="12"/>
                <w:color w:val="auto"/>
              </w:rPr>
              <w:t>%</w:t>
            </w:r>
            <w:r>
              <w:rPr>
                <w:rFonts w:ascii="Arial" w:cs="Arial" w:eastAsia="Arial" w:hAnsi="Arial"/>
                <w:sz w:val="9"/>
                <w:szCs w:val="9"/>
                <w:color w:val="auto"/>
              </w:rPr>
              <w:t>(6)</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64,418,155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32,968,711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5"/>
              </w:rPr>
              <w:t>1,091,517,885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5"/>
              </w:rPr>
              <w:t>1,078,175,553</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2"/>
                <w:szCs w:val="12"/>
                <w:b w:val="1"/>
                <w:bCs w:val="1"/>
                <w:color w:val="auto"/>
              </w:rPr>
              <w:t>Cash and Cash Equivalents—8.4%</w:t>
            </w: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2,667,511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2,446,232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2,446,232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Cash and Cash Equivalents—163.0%</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5"/>
              </w:rPr>
              <w:t>1,149,958,714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5"/>
              </w:rPr>
              <w:t>1,136,616,382</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(439,110,183)</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8"/>
              </w:rPr>
              <w:t>697,506,199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211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jc w:val="center"/>
        <w:spacing w:after="0"/>
        <w:rPr>
          <w:sz w:val="20"/>
          <w:szCs w:val="20"/>
          <w:color w:val="auto"/>
        </w:rPr>
      </w:pPr>
      <w:r>
        <w:rPr>
          <w:rFonts w:ascii="Arial" w:cs="Arial" w:eastAsia="Arial" w:hAnsi="Arial"/>
          <w:sz w:val="12"/>
          <w:szCs w:val="12"/>
          <w:b w:val="1"/>
          <w:bCs w:val="1"/>
          <w:color w:val="auto"/>
        </w:rPr>
        <w:t>SEPTEMBER 30, 2012</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center"/>
              <w:ind w:right="122"/>
              <w:spacing w:after="0"/>
              <w:rPr>
                <w:sz w:val="20"/>
                <w:szCs w:val="20"/>
                <w:color w:val="auto"/>
              </w:rPr>
            </w:pPr>
            <w:r>
              <w:rPr>
                <w:rFonts w:ascii="Arial" w:cs="Arial" w:eastAsia="Arial" w:hAnsi="Arial"/>
                <w:sz w:val="12"/>
                <w:szCs w:val="12"/>
                <w:b w:val="1"/>
                <w:bCs w:val="1"/>
                <w:color w:val="auto"/>
                <w:w w:val="82"/>
              </w:rPr>
              <w:t>Basis Point</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auto"/>
                <w:w w:val="83"/>
              </w:rPr>
              <w:t>Spread</w:t>
            </w: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1000" w:type="dxa"/>
            <w:vAlign w:val="bottom"/>
          </w:tcPr>
          <w:p>
            <w:pPr>
              <w:jc w:val="right"/>
              <w:ind w:right="42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40" w:type="dxa"/>
            <w:vAlign w:val="bottom"/>
            <w:vMerge w:val="continue"/>
          </w:tcPr>
          <w:p>
            <w:pPr>
              <w:spacing w:after="0"/>
              <w:rPr>
                <w:sz w:val="12"/>
                <w:szCs w:val="12"/>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Maturity</w:t>
            </w:r>
          </w:p>
        </w:tc>
        <w:tc>
          <w:tcPr>
            <w:tcW w:w="1520" w:type="dxa"/>
            <w:vAlign w:val="bottom"/>
          </w:tcPr>
          <w:p>
            <w:pPr>
              <w:jc w:val="center"/>
              <w:ind w:left="22"/>
              <w:spacing w:after="0"/>
              <w:rPr>
                <w:sz w:val="20"/>
                <w:szCs w:val="20"/>
                <w:color w:val="auto"/>
              </w:rPr>
            </w:pPr>
            <w:r>
              <w:rPr>
                <w:rFonts w:ascii="Arial" w:cs="Arial" w:eastAsia="Arial" w:hAnsi="Arial"/>
                <w:sz w:val="12"/>
                <w:szCs w:val="12"/>
                <w:b w:val="1"/>
                <w:bCs w:val="1"/>
                <w:color w:val="auto"/>
                <w:w w:val="92"/>
              </w:rPr>
              <w:t>Industry</w:t>
            </w:r>
          </w:p>
        </w:tc>
        <w:tc>
          <w:tcPr>
            <w:tcW w:w="820" w:type="dxa"/>
            <w:vAlign w:val="bottom"/>
          </w:tcPr>
          <w:p>
            <w:pPr>
              <w:jc w:val="right"/>
              <w:ind w:right="242"/>
              <w:spacing w:after="0"/>
              <w:rPr>
                <w:sz w:val="20"/>
                <w:szCs w:val="20"/>
                <w:color w:val="auto"/>
              </w:rPr>
            </w:pPr>
            <w:r>
              <w:rPr>
                <w:rFonts w:ascii="Arial" w:cs="Arial" w:eastAsia="Arial" w:hAnsi="Arial"/>
                <w:sz w:val="12"/>
                <w:szCs w:val="12"/>
                <w:b w:val="1"/>
                <w:bCs w:val="1"/>
                <w:color w:val="auto"/>
              </w:rPr>
              <w:t>Coupon</w:t>
            </w:r>
          </w:p>
        </w:tc>
        <w:tc>
          <w:tcPr>
            <w:tcW w:w="880" w:type="dxa"/>
            <w:vAlign w:val="bottom"/>
          </w:tcPr>
          <w:p>
            <w:pPr>
              <w:jc w:val="center"/>
              <w:ind w:right="12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00" w:type="dxa"/>
            <w:vAlign w:val="bottom"/>
          </w:tcPr>
          <w:p>
            <w:pPr>
              <w:jc w:val="right"/>
              <w:ind w:right="382"/>
              <w:spacing w:after="0"/>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4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3"/>
              </w:rPr>
              <w:t xml:space="preserve">Investments in Non-Controlled, Non-Affiliated Portfolio Companies—130.3% </w:t>
            </w:r>
            <w:r>
              <w:rPr>
                <w:rFonts w:ascii="Arial" w:cs="Arial" w:eastAsia="Arial" w:hAnsi="Arial"/>
                <w:sz w:val="9"/>
                <w:szCs w:val="9"/>
                <w:b w:val="1"/>
                <w:bCs w:val="1"/>
                <w:color w:val="auto"/>
                <w:w w:val="93"/>
              </w:rPr>
              <w:t>(1),(2)</w:t>
            </w:r>
          </w:p>
        </w:tc>
        <w:tc>
          <w:tcPr>
            <w:tcW w:w="8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b w:val="1"/>
                <w:bCs w:val="1"/>
                <w:color w:val="auto"/>
              </w:rPr>
              <w:t>First Lien Secured Debt—41.7%</w:t>
            </w: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Aircell Business Aviation Services LLC</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06/21/2017</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9"/>
              </w:rPr>
              <w:t>Communications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11.25%</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14,906,250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$ 14,332,682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$ 14,906,250</w:t>
            </w: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American Surgical Holdings, Inc.</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03/23/2015</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87"/>
              </w:rPr>
              <w:t>Healthcare, Education and</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14.00%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17,811,828</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17,441,366</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17,811,828</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6"/>
              </w:rPr>
              <w:t>Childcare</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02/07/2014</w:t>
            </w: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2"/>
              </w:rPr>
              <w:t>Energy/Utilities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3.68%</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L+325</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2,000,000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1,757,029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1,973,334</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CEVA Group PLC</w:t>
            </w:r>
            <w:r>
              <w:rPr>
                <w:rFonts w:ascii="Arial" w:cs="Arial" w:eastAsia="Arial" w:hAnsi="Arial"/>
                <w:sz w:val="9"/>
                <w:szCs w:val="9"/>
                <w:color w:val="auto"/>
              </w:rPr>
              <w:t>(5),(10)</w:t>
            </w:r>
          </w:p>
        </w:tc>
        <w:tc>
          <w:tcPr>
            <w:tcW w:w="860" w:type="dxa"/>
            <w:vAlign w:val="bottom"/>
          </w:tcPr>
          <w:p>
            <w:pPr>
              <w:ind w:left="160"/>
              <w:spacing w:after="0"/>
              <w:rPr>
                <w:sz w:val="20"/>
                <w:szCs w:val="20"/>
                <w:color w:val="auto"/>
              </w:rPr>
            </w:pPr>
            <w:r>
              <w:rPr>
                <w:rFonts w:ascii="Arial" w:cs="Arial" w:eastAsia="Arial" w:hAnsi="Arial"/>
                <w:sz w:val="12"/>
                <w:szCs w:val="12"/>
                <w:color w:val="auto"/>
              </w:rPr>
              <w:t>10/01/2016</w:t>
            </w: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6"/>
              </w:rPr>
              <w:t>Cargo Transport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11.63%</w:t>
            </w:r>
          </w:p>
        </w:tc>
        <w:tc>
          <w:tcPr>
            <w:tcW w:w="8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7,500,000</w:t>
            </w:r>
          </w:p>
        </w:tc>
        <w:tc>
          <w:tcPr>
            <w:tcW w:w="720" w:type="dxa"/>
            <w:vAlign w:val="bottom"/>
          </w:tcPr>
          <w:p>
            <w:pPr>
              <w:jc w:val="right"/>
              <w:spacing w:after="0"/>
              <w:rPr>
                <w:sz w:val="20"/>
                <w:szCs w:val="20"/>
                <w:color w:val="auto"/>
              </w:rPr>
            </w:pPr>
            <w:r>
              <w:rPr>
                <w:rFonts w:ascii="Arial" w:cs="Arial" w:eastAsia="Arial" w:hAnsi="Arial"/>
                <w:sz w:val="12"/>
                <w:szCs w:val="12"/>
                <w:color w:val="auto"/>
              </w:rPr>
              <w:t>7,355,237</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7,687,500</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CEVA Group PLC</w:t>
            </w:r>
            <w:r>
              <w:rPr>
                <w:rFonts w:ascii="Arial" w:cs="Arial" w:eastAsia="Arial" w:hAnsi="Arial"/>
                <w:sz w:val="9"/>
                <w:szCs w:val="9"/>
                <w:color w:val="auto"/>
              </w:rPr>
              <w:t>(5),(10)</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04/01/2018</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6"/>
              </w:rPr>
              <w:t>Cargo Transport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11.50%</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1,000,000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990,089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880,000</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Columbus International, Inc.</w:t>
            </w:r>
            <w:r>
              <w:rPr>
                <w:rFonts w:ascii="Arial" w:cs="Arial" w:eastAsia="Arial" w:hAnsi="Arial"/>
                <w:sz w:val="9"/>
                <w:szCs w:val="9"/>
                <w:color w:val="auto"/>
              </w:rPr>
              <w:t>(5), (10)</w:t>
            </w:r>
          </w:p>
        </w:tc>
        <w:tc>
          <w:tcPr>
            <w:tcW w:w="860" w:type="dxa"/>
            <w:vAlign w:val="bottom"/>
          </w:tcPr>
          <w:p>
            <w:pPr>
              <w:ind w:left="160"/>
              <w:spacing w:after="0"/>
              <w:rPr>
                <w:sz w:val="20"/>
                <w:szCs w:val="20"/>
                <w:color w:val="auto"/>
              </w:rPr>
            </w:pPr>
            <w:r>
              <w:rPr>
                <w:rFonts w:ascii="Arial" w:cs="Arial" w:eastAsia="Arial" w:hAnsi="Arial"/>
                <w:sz w:val="12"/>
                <w:szCs w:val="12"/>
                <w:color w:val="auto"/>
              </w:rPr>
              <w:t>11/20/2014</w:t>
            </w: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9"/>
              </w:rPr>
              <w:t>Communications</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11.50%</w:t>
            </w:r>
          </w:p>
        </w:tc>
        <w:tc>
          <w:tcPr>
            <w:tcW w:w="8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10,000,000</w:t>
            </w:r>
          </w:p>
        </w:tc>
        <w:tc>
          <w:tcPr>
            <w:tcW w:w="720" w:type="dxa"/>
            <w:vAlign w:val="bottom"/>
          </w:tcPr>
          <w:p>
            <w:pPr>
              <w:jc w:val="right"/>
              <w:spacing w:after="0"/>
              <w:rPr>
                <w:sz w:val="20"/>
                <w:szCs w:val="20"/>
                <w:color w:val="auto"/>
              </w:rPr>
            </w:pPr>
            <w:r>
              <w:rPr>
                <w:rFonts w:ascii="Arial" w:cs="Arial" w:eastAsia="Arial" w:hAnsi="Arial"/>
                <w:sz w:val="12"/>
                <w:szCs w:val="12"/>
                <w:color w:val="auto"/>
              </w:rPr>
              <w:t>10,000,000</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11,100,000</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Good Sam Enterprises, LLC</w:t>
            </w:r>
            <w:r>
              <w:rPr>
                <w:rFonts w:ascii="Arial" w:cs="Arial" w:eastAsia="Arial" w:hAnsi="Arial"/>
                <w:sz w:val="9"/>
                <w:szCs w:val="9"/>
                <w:color w:val="auto"/>
              </w:rPr>
              <w:t>(5)</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12/01/2016</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6"/>
              </w:rPr>
              <w:t>Consumer Products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11.50%</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12,000,000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11,795,443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12,720,000</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Hanley-Wood, L.L.C.</w:t>
            </w:r>
          </w:p>
        </w:tc>
        <w:tc>
          <w:tcPr>
            <w:tcW w:w="860" w:type="dxa"/>
            <w:vAlign w:val="bottom"/>
          </w:tcPr>
          <w:p>
            <w:pPr>
              <w:ind w:left="160"/>
              <w:spacing w:after="0"/>
              <w:rPr>
                <w:sz w:val="20"/>
                <w:szCs w:val="20"/>
                <w:color w:val="auto"/>
              </w:rPr>
            </w:pPr>
            <w:r>
              <w:rPr>
                <w:rFonts w:ascii="Arial" w:cs="Arial" w:eastAsia="Arial" w:hAnsi="Arial"/>
                <w:sz w:val="12"/>
                <w:szCs w:val="12"/>
                <w:color w:val="auto"/>
              </w:rPr>
              <w:t>01/13/2017</w:t>
            </w: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90"/>
              </w:rPr>
              <w:t>Other Media</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8.00%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L+650</w:t>
            </w:r>
            <w:r>
              <w:rPr>
                <w:rFonts w:ascii="Arial" w:cs="Arial" w:eastAsia="Arial" w:hAnsi="Arial"/>
                <w:sz w:val="9"/>
                <w:szCs w:val="9"/>
                <w:color w:val="auto"/>
              </w:rPr>
              <w:t>(8)</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1,752,896</w:t>
            </w:r>
          </w:p>
        </w:tc>
        <w:tc>
          <w:tcPr>
            <w:tcW w:w="720" w:type="dxa"/>
            <w:vAlign w:val="bottom"/>
          </w:tcPr>
          <w:p>
            <w:pPr>
              <w:jc w:val="right"/>
              <w:spacing w:after="0"/>
              <w:rPr>
                <w:sz w:val="20"/>
                <w:szCs w:val="20"/>
                <w:color w:val="auto"/>
              </w:rPr>
            </w:pPr>
            <w:r>
              <w:rPr>
                <w:rFonts w:ascii="Arial" w:cs="Arial" w:eastAsia="Arial" w:hAnsi="Arial"/>
                <w:sz w:val="12"/>
                <w:szCs w:val="12"/>
                <w:color w:val="auto"/>
              </w:rPr>
              <w:t>1,752,896</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1,752,896</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04/01/2017</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9"/>
              </w:rPr>
              <w:t>Auto Sector</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11.50%</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11,500,000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11,288,165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12,218,750</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Instant Web, Inc.</w:t>
            </w:r>
          </w:p>
        </w:tc>
        <w:tc>
          <w:tcPr>
            <w:tcW w:w="860" w:type="dxa"/>
            <w:vAlign w:val="bottom"/>
          </w:tcPr>
          <w:p>
            <w:pPr>
              <w:ind w:left="160"/>
              <w:spacing w:after="0"/>
              <w:rPr>
                <w:sz w:val="20"/>
                <w:szCs w:val="20"/>
                <w:color w:val="auto"/>
              </w:rPr>
            </w:pPr>
            <w:r>
              <w:rPr>
                <w:rFonts w:ascii="Arial" w:cs="Arial" w:eastAsia="Arial" w:hAnsi="Arial"/>
                <w:sz w:val="12"/>
                <w:szCs w:val="12"/>
                <w:color w:val="auto"/>
              </w:rPr>
              <w:t>08/07/2014</w:t>
            </w:r>
          </w:p>
        </w:tc>
        <w:tc>
          <w:tcPr>
            <w:tcW w:w="1520" w:type="dxa"/>
            <w:vAlign w:val="bottom"/>
          </w:tcPr>
          <w:p>
            <w:pPr>
              <w:jc w:val="center"/>
              <w:ind w:left="42"/>
              <w:spacing w:after="0"/>
              <w:rPr>
                <w:sz w:val="20"/>
                <w:szCs w:val="20"/>
                <w:color w:val="auto"/>
              </w:rPr>
            </w:pPr>
            <w:r>
              <w:rPr>
                <w:rFonts w:ascii="Arial" w:cs="Arial" w:eastAsia="Arial" w:hAnsi="Arial"/>
                <w:sz w:val="12"/>
                <w:szCs w:val="12"/>
                <w:color w:val="auto"/>
                <w:w w:val="89"/>
              </w:rPr>
              <w:t>Printing and Publishing</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14.50%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24,115,645</w:t>
            </w:r>
          </w:p>
        </w:tc>
        <w:tc>
          <w:tcPr>
            <w:tcW w:w="720" w:type="dxa"/>
            <w:vAlign w:val="bottom"/>
          </w:tcPr>
          <w:p>
            <w:pPr>
              <w:jc w:val="right"/>
              <w:spacing w:after="0"/>
              <w:rPr>
                <w:sz w:val="20"/>
                <w:szCs w:val="20"/>
                <w:color w:val="auto"/>
              </w:rPr>
            </w:pPr>
            <w:r>
              <w:rPr>
                <w:rFonts w:ascii="Arial" w:cs="Arial" w:eastAsia="Arial" w:hAnsi="Arial"/>
                <w:sz w:val="12"/>
                <w:szCs w:val="12"/>
                <w:color w:val="auto"/>
              </w:rPr>
              <w:t>23,829,738</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23,802,142</w:t>
            </w:r>
          </w:p>
        </w:tc>
        <w:tc>
          <w:tcPr>
            <w:tcW w:w="0" w:type="dxa"/>
            <w:vAlign w:val="bottom"/>
          </w:tcPr>
          <w:p>
            <w:pPr>
              <w:spacing w:after="0"/>
              <w:rPr>
                <w:sz w:val="1"/>
                <w:szCs w:val="1"/>
                <w:color w:val="auto"/>
              </w:rPr>
            </w:pPr>
          </w:p>
        </w:tc>
      </w:tr>
      <w:tr>
        <w:trPr>
          <w:trHeight w:val="129"/>
        </w:trPr>
        <w:tc>
          <w:tcPr>
            <w:tcW w:w="4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Interactive Health Solutions, Inc.</w:t>
            </w:r>
          </w:p>
        </w:tc>
        <w:tc>
          <w:tcPr>
            <w:tcW w:w="860" w:type="dxa"/>
            <w:vAlign w:val="bottom"/>
            <w:shd w:val="clear" w:color="auto" w:fill="CCEEFF"/>
          </w:tcPr>
          <w:p>
            <w:pPr>
              <w:ind w:left="160"/>
              <w:spacing w:after="0" w:line="129" w:lineRule="exact"/>
              <w:rPr>
                <w:sz w:val="20"/>
                <w:szCs w:val="20"/>
                <w:color w:val="auto"/>
              </w:rPr>
            </w:pPr>
            <w:r>
              <w:rPr>
                <w:rFonts w:ascii="Arial" w:cs="Arial" w:eastAsia="Arial" w:hAnsi="Arial"/>
                <w:sz w:val="12"/>
                <w:szCs w:val="12"/>
                <w:color w:val="auto"/>
              </w:rPr>
              <w:t>10/04/2016</w:t>
            </w:r>
          </w:p>
        </w:tc>
        <w:tc>
          <w:tcPr>
            <w:tcW w:w="1520" w:type="dxa"/>
            <w:vAlign w:val="bottom"/>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87"/>
              </w:rPr>
              <w:t>Healthcare, Education and</w:t>
            </w:r>
          </w:p>
        </w:tc>
        <w:tc>
          <w:tcPr>
            <w:tcW w:w="82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11.50%</w:t>
            </w:r>
          </w:p>
        </w:tc>
        <w:tc>
          <w:tcPr>
            <w:tcW w:w="88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100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18,525,000</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18,165,492</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18,571,313</w:t>
            </w:r>
          </w:p>
        </w:tc>
        <w:tc>
          <w:tcPr>
            <w:tcW w:w="0" w:type="dxa"/>
            <w:vAlign w:val="bottom"/>
          </w:tcPr>
          <w:p>
            <w:pPr>
              <w:spacing w:after="0"/>
              <w:rPr>
                <w:sz w:val="1"/>
                <w:szCs w:val="1"/>
                <w:color w:val="auto"/>
              </w:rPr>
            </w:pPr>
          </w:p>
        </w:tc>
      </w:tr>
      <w:tr>
        <w:trPr>
          <w:trHeight w:val="141"/>
        </w:trPr>
        <w:tc>
          <w:tcPr>
            <w:tcW w:w="4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6"/>
              </w:rPr>
              <w:t>Childcare</w:t>
            </w: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Jacuzzi Brands Corp.</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02/07/2014</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88"/>
              </w:rPr>
              <w:t>Home and Office</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2.28%</w:t>
            </w:r>
          </w:p>
        </w:tc>
        <w:tc>
          <w:tcPr>
            <w:tcW w:w="8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L+225</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9,598,649</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9,598,649</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6,371,103</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jc w:val="center"/>
              <w:ind w:left="42"/>
              <w:spacing w:after="0" w:line="135" w:lineRule="exact"/>
              <w:rPr>
                <w:sz w:val="20"/>
                <w:szCs w:val="20"/>
                <w:color w:val="auto"/>
              </w:rPr>
            </w:pPr>
            <w:r>
              <w:rPr>
                <w:rFonts w:ascii="Arial" w:cs="Arial" w:eastAsia="Arial" w:hAnsi="Arial"/>
                <w:sz w:val="12"/>
                <w:szCs w:val="12"/>
                <w:color w:val="auto"/>
                <w:w w:val="87"/>
              </w:rPr>
              <w:t>Furnishings, Housewares</w:t>
            </w: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jc w:val="center"/>
              <w:ind w:left="22"/>
              <w:spacing w:after="0" w:line="135" w:lineRule="exact"/>
              <w:rPr>
                <w:sz w:val="20"/>
                <w:szCs w:val="20"/>
                <w:color w:val="auto"/>
              </w:rPr>
            </w:pPr>
            <w:r>
              <w:rPr>
                <w:rFonts w:ascii="Arial" w:cs="Arial" w:eastAsia="Arial" w:hAnsi="Arial"/>
                <w:sz w:val="12"/>
                <w:szCs w:val="12"/>
                <w:color w:val="auto"/>
                <w:w w:val="87"/>
              </w:rPr>
              <w:t>and Durable Consumer</w:t>
            </w: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4"/>
              </w:rPr>
              <w:t>Products</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K2 Pure Solutions NoCal, L.P.</w:t>
            </w:r>
          </w:p>
        </w:tc>
        <w:tc>
          <w:tcPr>
            <w:tcW w:w="860" w:type="dxa"/>
            <w:vAlign w:val="bottom"/>
            <w:shd w:val="clear" w:color="auto" w:fill="CCEEFF"/>
          </w:tcPr>
          <w:p>
            <w:pPr>
              <w:ind w:left="160"/>
              <w:spacing w:after="0" w:line="129" w:lineRule="exact"/>
              <w:rPr>
                <w:sz w:val="20"/>
                <w:szCs w:val="20"/>
                <w:color w:val="auto"/>
              </w:rPr>
            </w:pPr>
            <w:r>
              <w:rPr>
                <w:rFonts w:ascii="Arial" w:cs="Arial" w:eastAsia="Arial" w:hAnsi="Arial"/>
                <w:sz w:val="12"/>
                <w:szCs w:val="12"/>
                <w:color w:val="auto"/>
              </w:rPr>
              <w:t>09/10/2015</w:t>
            </w:r>
          </w:p>
        </w:tc>
        <w:tc>
          <w:tcPr>
            <w:tcW w:w="1520" w:type="dxa"/>
            <w:vAlign w:val="bottom"/>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87"/>
              </w:rPr>
              <w:t>Chemicals, Plastics and</w:t>
            </w:r>
          </w:p>
        </w:tc>
        <w:tc>
          <w:tcPr>
            <w:tcW w:w="82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10.00%</w:t>
            </w:r>
          </w:p>
        </w:tc>
        <w:tc>
          <w:tcPr>
            <w:tcW w:w="88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L+775</w:t>
            </w:r>
            <w:r>
              <w:rPr>
                <w:rFonts w:ascii="Arial" w:cs="Arial" w:eastAsia="Arial" w:hAnsi="Arial"/>
                <w:sz w:val="9"/>
                <w:szCs w:val="9"/>
                <w:color w:val="auto"/>
              </w:rPr>
              <w:t>(8)</w:t>
            </w:r>
          </w:p>
        </w:tc>
        <w:tc>
          <w:tcPr>
            <w:tcW w:w="100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18,952,500</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18,216,865</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19,236,788</w:t>
            </w:r>
          </w:p>
        </w:tc>
        <w:tc>
          <w:tcPr>
            <w:tcW w:w="0" w:type="dxa"/>
            <w:vAlign w:val="bottom"/>
          </w:tcPr>
          <w:p>
            <w:pPr>
              <w:spacing w:after="0"/>
              <w:rPr>
                <w:sz w:val="1"/>
                <w:szCs w:val="1"/>
                <w:color w:val="auto"/>
              </w:rPr>
            </w:pPr>
          </w:p>
        </w:tc>
      </w:tr>
      <w:tr>
        <w:trPr>
          <w:trHeight w:val="141"/>
        </w:trPr>
        <w:tc>
          <w:tcPr>
            <w:tcW w:w="4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6"/>
              </w:rPr>
              <w:t>Rubber</w:t>
            </w: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Kadmon Pharmaceuticals, LLC</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10/31/2012</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87"/>
              </w:rPr>
              <w:t>Healthcare, Education and</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15.00%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L+1,300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4,931,494</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4,992,740</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5,110,409</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6"/>
              </w:rPr>
              <w:t>Childcare</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Learning Care Group, Inc.</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04/27/2016</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9"/>
              </w:rPr>
              <w:t>Education</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12.00%</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26,052,632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25,640,832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25,857,237</w:t>
            </w: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Penton Media, Inc.</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08/01/2014</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90"/>
              </w:rPr>
              <w:t>Other Media</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5.00%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37,775,294</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33,971,917</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30,503,550</w:t>
            </w: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(PIK 1.00%)</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Pre-Paid Legal Services, Inc., Tranche A</w:t>
            </w:r>
          </w:p>
        </w:tc>
        <w:tc>
          <w:tcPr>
            <w:tcW w:w="86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12/30/2016</w:t>
            </w:r>
          </w:p>
        </w:tc>
        <w:tc>
          <w:tcPr>
            <w:tcW w:w="1520" w:type="dxa"/>
            <w:vAlign w:val="bottom"/>
            <w:shd w:val="clear" w:color="auto" w:fill="CCEEFF"/>
          </w:tcPr>
          <w:p>
            <w:pPr>
              <w:jc w:val="center"/>
              <w:ind w:left="42"/>
              <w:spacing w:after="0" w:line="132" w:lineRule="exact"/>
              <w:rPr>
                <w:sz w:val="20"/>
                <w:szCs w:val="20"/>
                <w:color w:val="auto"/>
              </w:rPr>
            </w:pPr>
            <w:r>
              <w:rPr>
                <w:rFonts w:ascii="Arial" w:cs="Arial" w:eastAsia="Arial" w:hAnsi="Arial"/>
                <w:sz w:val="12"/>
                <w:szCs w:val="12"/>
                <w:color w:val="auto"/>
                <w:w w:val="85"/>
              </w:rPr>
              <w:t>Personal, Food and</w:t>
            </w:r>
          </w:p>
        </w:tc>
        <w:tc>
          <w:tcPr>
            <w:tcW w:w="82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7.50%</w:t>
            </w:r>
          </w:p>
        </w:tc>
        <w:tc>
          <w:tcPr>
            <w:tcW w:w="88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L+600</w:t>
            </w:r>
            <w:r>
              <w:rPr>
                <w:rFonts w:ascii="Arial" w:cs="Arial" w:eastAsia="Arial" w:hAnsi="Arial"/>
                <w:sz w:val="9"/>
                <w:szCs w:val="9"/>
                <w:color w:val="auto"/>
              </w:rPr>
              <w:t>(8)</w:t>
            </w:r>
          </w:p>
        </w:tc>
        <w:tc>
          <w:tcPr>
            <w:tcW w:w="100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1,552,846</w:t>
            </w:r>
          </w:p>
        </w:tc>
        <w:tc>
          <w:tcPr>
            <w:tcW w:w="7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1,533,687</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1,556,728</w:t>
            </w:r>
          </w:p>
        </w:tc>
        <w:tc>
          <w:tcPr>
            <w:tcW w:w="0" w:type="dxa"/>
            <w:vAlign w:val="bottom"/>
          </w:tcPr>
          <w:p>
            <w:pPr>
              <w:spacing w:after="0"/>
              <w:rPr>
                <w:sz w:val="1"/>
                <w:szCs w:val="1"/>
                <w:color w:val="auto"/>
              </w:rPr>
            </w:pPr>
          </w:p>
        </w:tc>
      </w:tr>
      <w:tr>
        <w:trPr>
          <w:trHeight w:val="141"/>
        </w:trPr>
        <w:tc>
          <w:tcPr>
            <w:tcW w:w="4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7"/>
              </w:rPr>
              <w:t>Miscellaneous Services</w:t>
            </w: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Pre-Paid Legal Services, Inc., Tranche B</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12/30/2016</w:t>
            </w:r>
          </w:p>
        </w:tc>
        <w:tc>
          <w:tcPr>
            <w:tcW w:w="1520" w:type="dxa"/>
            <w:vAlign w:val="bottom"/>
          </w:tcPr>
          <w:p>
            <w:pPr>
              <w:jc w:val="center"/>
              <w:ind w:left="42"/>
              <w:spacing w:after="0" w:line="129" w:lineRule="exact"/>
              <w:rPr>
                <w:sz w:val="20"/>
                <w:szCs w:val="20"/>
                <w:color w:val="auto"/>
              </w:rPr>
            </w:pPr>
            <w:r>
              <w:rPr>
                <w:rFonts w:ascii="Arial" w:cs="Arial" w:eastAsia="Arial" w:hAnsi="Arial"/>
                <w:sz w:val="12"/>
                <w:szCs w:val="12"/>
                <w:color w:val="auto"/>
                <w:w w:val="85"/>
              </w:rPr>
              <w:t>Personal, Food and</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11.00%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35,000,000</w:t>
            </w: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34,118,800</w:t>
            </w: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35,350,000</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42"/>
              <w:spacing w:after="0"/>
              <w:rPr>
                <w:sz w:val="20"/>
                <w:szCs w:val="20"/>
                <w:color w:val="auto"/>
              </w:rPr>
            </w:pPr>
            <w:r>
              <w:rPr>
                <w:rFonts w:ascii="Arial" w:cs="Arial" w:eastAsia="Arial" w:hAnsi="Arial"/>
                <w:sz w:val="12"/>
                <w:szCs w:val="12"/>
                <w:color w:val="auto"/>
                <w:w w:val="87"/>
              </w:rPr>
              <w:t>Miscellaneous Services</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w:t>
            </w:r>
            <w:r>
              <w:rPr>
                <w:rFonts w:ascii="Arial" w:cs="Arial" w:eastAsia="Arial" w:hAnsi="Arial"/>
                <w:sz w:val="9"/>
                <w:szCs w:val="9"/>
                <w:color w:val="auto"/>
              </w:rPr>
              <w:t>(9)</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12/16/2012</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0"/>
              </w:rPr>
              <w:t>Other Media</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1.36%</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133,603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133,603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133,603</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Tekelec Global Inc. (First Out)</w:t>
            </w:r>
          </w:p>
        </w:tc>
        <w:tc>
          <w:tcPr>
            <w:tcW w:w="860" w:type="dxa"/>
            <w:vAlign w:val="bottom"/>
          </w:tcPr>
          <w:p>
            <w:pPr>
              <w:ind w:left="160"/>
              <w:spacing w:after="0"/>
              <w:rPr>
                <w:sz w:val="20"/>
                <w:szCs w:val="20"/>
                <w:color w:val="auto"/>
              </w:rPr>
            </w:pPr>
            <w:r>
              <w:rPr>
                <w:rFonts w:ascii="Arial" w:cs="Arial" w:eastAsia="Arial" w:hAnsi="Arial"/>
                <w:sz w:val="12"/>
                <w:szCs w:val="12"/>
                <w:color w:val="auto"/>
              </w:rPr>
              <w:t>01/29/2018</w:t>
            </w: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7"/>
              </w:rPr>
              <w:t>Telecommunications</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9.00%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L+750</w:t>
            </w:r>
            <w:r>
              <w:rPr>
                <w:rFonts w:ascii="Arial" w:cs="Arial" w:eastAsia="Arial" w:hAnsi="Arial"/>
                <w:sz w:val="9"/>
                <w:szCs w:val="9"/>
                <w:color w:val="auto"/>
              </w:rPr>
              <w:t>(8)</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850,000</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838,369</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850,000</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Tekelec Global Inc. (Second Out)</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01/29/2018</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7"/>
              </w:rPr>
              <w:t>Telecommunications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13.50%</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L+1,200</w:t>
            </w:r>
            <w:r>
              <w:rPr>
                <w:rFonts w:ascii="Arial" w:cs="Arial" w:eastAsia="Arial" w:hAnsi="Arial"/>
                <w:sz w:val="9"/>
                <w:szCs w:val="9"/>
                <w:color w:val="auto"/>
              </w:rPr>
              <w:t>(8)</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10,625,000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10,338,450</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10,848,126</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860" w:type="dxa"/>
            <w:vAlign w:val="bottom"/>
          </w:tcPr>
          <w:p>
            <w:pPr>
              <w:ind w:left="160"/>
              <w:spacing w:after="0"/>
              <w:rPr>
                <w:sz w:val="20"/>
                <w:szCs w:val="20"/>
                <w:color w:val="auto"/>
              </w:rPr>
            </w:pPr>
            <w:r>
              <w:rPr>
                <w:rFonts w:ascii="Arial" w:cs="Arial" w:eastAsia="Arial" w:hAnsi="Arial"/>
                <w:sz w:val="12"/>
                <w:szCs w:val="12"/>
                <w:color w:val="auto"/>
              </w:rPr>
              <w:t>07/06/2017</w:t>
            </w: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3"/>
              </w:rPr>
              <w:t>Insurance</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12.50%</w:t>
            </w: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14,934,000</w:t>
            </w:r>
          </w:p>
        </w:tc>
        <w:tc>
          <w:tcPr>
            <w:tcW w:w="720" w:type="dxa"/>
            <w:vAlign w:val="bottom"/>
          </w:tcPr>
          <w:p>
            <w:pPr>
              <w:jc w:val="right"/>
              <w:spacing w:after="0"/>
              <w:rPr>
                <w:sz w:val="20"/>
                <w:szCs w:val="20"/>
                <w:color w:val="auto"/>
              </w:rPr>
            </w:pPr>
            <w:r>
              <w:rPr>
                <w:rFonts w:ascii="Arial" w:cs="Arial" w:eastAsia="Arial" w:hAnsi="Arial"/>
                <w:sz w:val="12"/>
                <w:szCs w:val="12"/>
                <w:color w:val="auto"/>
              </w:rPr>
              <w:t>14,934,000</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14,859,330</w:t>
            </w:r>
          </w:p>
        </w:tc>
        <w:tc>
          <w:tcPr>
            <w:tcW w:w="0" w:type="dxa"/>
            <w:vAlign w:val="bottom"/>
          </w:tcPr>
          <w:p>
            <w:pPr>
              <w:spacing w:after="0"/>
              <w:rPr>
                <w:sz w:val="1"/>
                <w:szCs w:val="1"/>
                <w:color w:val="auto"/>
              </w:rPr>
            </w:pPr>
          </w:p>
        </w:tc>
      </w:tr>
      <w:tr>
        <w:trPr>
          <w:trHeight w:val="129"/>
        </w:trPr>
        <w:tc>
          <w:tcPr>
            <w:tcW w:w="4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Yonkers Racing Corp.</w:t>
            </w:r>
            <w:r>
              <w:rPr>
                <w:rFonts w:ascii="Arial" w:cs="Arial" w:eastAsia="Arial" w:hAnsi="Arial"/>
                <w:sz w:val="9"/>
                <w:szCs w:val="9"/>
                <w:color w:val="auto"/>
              </w:rPr>
              <w:t>(5)</w:t>
            </w:r>
          </w:p>
        </w:tc>
        <w:tc>
          <w:tcPr>
            <w:tcW w:w="860" w:type="dxa"/>
            <w:vAlign w:val="bottom"/>
            <w:shd w:val="clear" w:color="auto" w:fill="CCEEFF"/>
          </w:tcPr>
          <w:p>
            <w:pPr>
              <w:ind w:left="160"/>
              <w:spacing w:after="0" w:line="129" w:lineRule="exact"/>
              <w:rPr>
                <w:sz w:val="20"/>
                <w:szCs w:val="20"/>
                <w:color w:val="auto"/>
              </w:rPr>
            </w:pPr>
            <w:r>
              <w:rPr>
                <w:rFonts w:ascii="Arial" w:cs="Arial" w:eastAsia="Arial" w:hAnsi="Arial"/>
                <w:sz w:val="12"/>
                <w:szCs w:val="12"/>
                <w:color w:val="auto"/>
              </w:rPr>
              <w:t>07/15/2016</w:t>
            </w:r>
          </w:p>
        </w:tc>
        <w:tc>
          <w:tcPr>
            <w:tcW w:w="1520" w:type="dxa"/>
            <w:vAlign w:val="bottom"/>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90"/>
              </w:rPr>
              <w:t>Hotels, Motels, Inns and</w:t>
            </w:r>
          </w:p>
        </w:tc>
        <w:tc>
          <w:tcPr>
            <w:tcW w:w="82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11.38%</w:t>
            </w:r>
          </w:p>
        </w:tc>
        <w:tc>
          <w:tcPr>
            <w:tcW w:w="88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4,500,000</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4,401,515</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4,860,000</w:t>
            </w:r>
          </w:p>
        </w:tc>
        <w:tc>
          <w:tcPr>
            <w:tcW w:w="0" w:type="dxa"/>
            <w:vAlign w:val="bottom"/>
          </w:tcPr>
          <w:p>
            <w:pPr>
              <w:spacing w:after="0"/>
              <w:rPr>
                <w:sz w:val="1"/>
                <w:szCs w:val="1"/>
                <w:color w:val="auto"/>
              </w:rPr>
            </w:pPr>
          </w:p>
        </w:tc>
      </w:tr>
      <w:tr>
        <w:trPr>
          <w:trHeight w:val="141"/>
        </w:trPr>
        <w:tc>
          <w:tcPr>
            <w:tcW w:w="4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0"/>
              </w:rPr>
              <w:t>Gaming</w:t>
            </w: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4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277,427,564</w:t>
            </w:r>
          </w:p>
        </w:tc>
        <w:tc>
          <w:tcPr>
            <w:tcW w:w="2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278,960,887</w:t>
            </w: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Debt—25.3%</w:t>
            </w:r>
          </w:p>
        </w:tc>
        <w:tc>
          <w:tcPr>
            <w:tcW w:w="8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American Gilsonite Company</w:t>
            </w:r>
            <w:r>
              <w:rPr>
                <w:rFonts w:ascii="Arial" w:cs="Arial" w:eastAsia="Arial" w:hAnsi="Arial"/>
                <w:sz w:val="9"/>
                <w:szCs w:val="9"/>
                <w:color w:val="auto"/>
              </w:rPr>
              <w:t>(5)</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09/01/2017</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93"/>
              </w:rPr>
              <w:t>Diversified Natural</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11.50%</w:t>
            </w:r>
          </w:p>
        </w:tc>
        <w:tc>
          <w:tcPr>
            <w:tcW w:w="8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25,400,000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25,400,000</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26,098,500</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jc w:val="center"/>
              <w:ind w:left="22"/>
              <w:spacing w:after="0" w:line="135" w:lineRule="exact"/>
              <w:rPr>
                <w:sz w:val="20"/>
                <w:szCs w:val="20"/>
                <w:color w:val="auto"/>
              </w:rPr>
            </w:pPr>
            <w:r>
              <w:rPr>
                <w:rFonts w:ascii="Arial" w:cs="Arial" w:eastAsia="Arial" w:hAnsi="Arial"/>
                <w:sz w:val="12"/>
                <w:szCs w:val="12"/>
                <w:color w:val="auto"/>
                <w:w w:val="85"/>
              </w:rPr>
              <w:t>Resources, Precious Metals</w:t>
            </w: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7"/>
              </w:rPr>
              <w:t>and Minerals</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02/07/2015</w:t>
            </w: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2"/>
              </w:rPr>
              <w:t>Energy/Utilities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6.33%</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L+600</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13,600,000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13,378,432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12,729,600</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Brand Energy and Infrastructure Services, Inc.</w:t>
            </w:r>
          </w:p>
        </w:tc>
        <w:tc>
          <w:tcPr>
            <w:tcW w:w="860" w:type="dxa"/>
            <w:vAlign w:val="bottom"/>
          </w:tcPr>
          <w:p>
            <w:pPr>
              <w:ind w:left="160"/>
              <w:spacing w:after="0"/>
              <w:rPr>
                <w:sz w:val="20"/>
                <w:szCs w:val="20"/>
                <w:color w:val="auto"/>
              </w:rPr>
            </w:pPr>
            <w:r>
              <w:rPr>
                <w:rFonts w:ascii="Arial" w:cs="Arial" w:eastAsia="Arial" w:hAnsi="Arial"/>
                <w:sz w:val="12"/>
                <w:szCs w:val="12"/>
                <w:color w:val="auto"/>
              </w:rPr>
              <w:t>02/07/2015</w:t>
            </w:r>
          </w:p>
        </w:tc>
        <w:tc>
          <w:tcPr>
            <w:tcW w:w="1520" w:type="dxa"/>
            <w:vAlign w:val="bottom"/>
          </w:tcPr>
          <w:p>
            <w:pPr>
              <w:jc w:val="center"/>
              <w:ind w:left="42"/>
              <w:spacing w:after="0"/>
              <w:rPr>
                <w:sz w:val="20"/>
                <w:szCs w:val="20"/>
                <w:color w:val="auto"/>
              </w:rPr>
            </w:pPr>
            <w:r>
              <w:rPr>
                <w:rFonts w:ascii="Arial" w:cs="Arial" w:eastAsia="Arial" w:hAnsi="Arial"/>
                <w:sz w:val="12"/>
                <w:szCs w:val="12"/>
                <w:color w:val="auto"/>
                <w:w w:val="92"/>
              </w:rPr>
              <w:t>Energy/Utilities</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7.36%</w:t>
            </w:r>
          </w:p>
        </w:tc>
        <w:tc>
          <w:tcPr>
            <w:tcW w:w="880" w:type="dxa"/>
            <w:vAlign w:val="bottom"/>
          </w:tcPr>
          <w:p>
            <w:pPr>
              <w:jc w:val="right"/>
              <w:ind w:right="182"/>
              <w:spacing w:after="0"/>
              <w:rPr>
                <w:sz w:val="20"/>
                <w:szCs w:val="20"/>
                <w:color w:val="auto"/>
              </w:rPr>
            </w:pPr>
            <w:r>
              <w:rPr>
                <w:rFonts w:ascii="Arial" w:cs="Arial" w:eastAsia="Arial" w:hAnsi="Arial"/>
                <w:sz w:val="12"/>
                <w:szCs w:val="12"/>
                <w:color w:val="auto"/>
              </w:rPr>
              <w:t>L+700</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12,000,000</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11,866,485</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11,232,000</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r>
              <w:rPr>
                <w:rFonts w:ascii="Arial" w:cs="Arial" w:eastAsia="Arial" w:hAnsi="Arial"/>
                <w:sz w:val="9"/>
                <w:szCs w:val="9"/>
                <w:color w:val="auto"/>
              </w:rPr>
              <w:t>(5), (6)</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02/01/2017</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6"/>
              </w:rPr>
              <w:t>Consumer Products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12.00%</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34,000,000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31,964,822</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10,880,000</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860" w:type="dxa"/>
            <w:vAlign w:val="bottom"/>
          </w:tcPr>
          <w:p>
            <w:pPr>
              <w:ind w:left="160"/>
              <w:spacing w:after="0"/>
              <w:rPr>
                <w:sz w:val="20"/>
                <w:szCs w:val="20"/>
                <w:color w:val="auto"/>
              </w:rPr>
            </w:pPr>
            <w:r>
              <w:rPr>
                <w:rFonts w:ascii="Arial" w:cs="Arial" w:eastAsia="Arial" w:hAnsi="Arial"/>
                <w:sz w:val="12"/>
                <w:szCs w:val="12"/>
                <w:color w:val="auto"/>
              </w:rPr>
              <w:t>08/16/2018</w:t>
            </w:r>
          </w:p>
        </w:tc>
        <w:tc>
          <w:tcPr>
            <w:tcW w:w="1520" w:type="dxa"/>
            <w:vAlign w:val="bottom"/>
          </w:tcPr>
          <w:p>
            <w:pPr>
              <w:jc w:val="center"/>
              <w:ind w:left="42"/>
              <w:spacing w:after="0"/>
              <w:rPr>
                <w:sz w:val="20"/>
                <w:szCs w:val="20"/>
                <w:color w:val="auto"/>
              </w:rPr>
            </w:pPr>
            <w:r>
              <w:rPr>
                <w:rFonts w:ascii="Arial" w:cs="Arial" w:eastAsia="Arial" w:hAnsi="Arial"/>
                <w:sz w:val="12"/>
                <w:szCs w:val="12"/>
                <w:color w:val="auto"/>
                <w:w w:val="92"/>
              </w:rPr>
              <w:t>Energy/Utilities</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12.50%</w:t>
            </w:r>
          </w:p>
        </w:tc>
        <w:tc>
          <w:tcPr>
            <w:tcW w:w="8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62"/>
              <w:spacing w:after="0"/>
              <w:rPr>
                <w:sz w:val="20"/>
                <w:szCs w:val="20"/>
                <w:color w:val="auto"/>
              </w:rPr>
            </w:pPr>
            <w:r>
              <w:rPr>
                <w:rFonts w:ascii="Arial" w:cs="Arial" w:eastAsia="Arial" w:hAnsi="Arial"/>
                <w:sz w:val="12"/>
                <w:szCs w:val="12"/>
                <w:color w:val="auto"/>
              </w:rPr>
              <w:t>45,000,000</w:t>
            </w:r>
          </w:p>
        </w:tc>
        <w:tc>
          <w:tcPr>
            <w:tcW w:w="720" w:type="dxa"/>
            <w:vAlign w:val="bottom"/>
          </w:tcPr>
          <w:p>
            <w:pPr>
              <w:jc w:val="right"/>
              <w:spacing w:after="0"/>
              <w:rPr>
                <w:sz w:val="20"/>
                <w:szCs w:val="20"/>
                <w:color w:val="auto"/>
              </w:rPr>
            </w:pPr>
            <w:r>
              <w:rPr>
                <w:rFonts w:ascii="Arial" w:cs="Arial" w:eastAsia="Arial" w:hAnsi="Arial"/>
                <w:sz w:val="12"/>
                <w:szCs w:val="12"/>
                <w:color w:val="auto"/>
              </w:rPr>
              <w:t>44,543,688</w:t>
            </w:r>
          </w:p>
        </w:tc>
        <w:tc>
          <w:tcPr>
            <w:tcW w:w="2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45,000,000</w:t>
            </w:r>
          </w:p>
        </w:tc>
        <w:tc>
          <w:tcPr>
            <w:tcW w:w="0" w:type="dxa"/>
            <w:vAlign w:val="bottom"/>
          </w:tcPr>
          <w:p>
            <w:pPr>
              <w:spacing w:after="0"/>
              <w:rPr>
                <w:sz w:val="1"/>
                <w:szCs w:val="1"/>
                <w:color w:val="auto"/>
              </w:rPr>
            </w:pPr>
          </w:p>
        </w:tc>
      </w:tr>
      <w:tr>
        <w:trPr>
          <w:trHeight w:val="129"/>
        </w:trPr>
        <w:tc>
          <w:tcPr>
            <w:tcW w:w="4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Greatwide Logistics Services, L.L.C.</w:t>
            </w:r>
          </w:p>
        </w:tc>
        <w:tc>
          <w:tcPr>
            <w:tcW w:w="860" w:type="dxa"/>
            <w:vAlign w:val="bottom"/>
            <w:shd w:val="clear" w:color="auto" w:fill="CCEEFF"/>
          </w:tcPr>
          <w:p>
            <w:pPr>
              <w:ind w:left="160"/>
              <w:spacing w:after="0" w:line="129" w:lineRule="exact"/>
              <w:rPr>
                <w:sz w:val="20"/>
                <w:szCs w:val="20"/>
                <w:color w:val="auto"/>
              </w:rPr>
            </w:pPr>
            <w:r>
              <w:rPr>
                <w:rFonts w:ascii="Arial" w:cs="Arial" w:eastAsia="Arial" w:hAnsi="Arial"/>
                <w:sz w:val="12"/>
                <w:szCs w:val="12"/>
                <w:color w:val="auto"/>
              </w:rPr>
              <w:t>03/01/2014</w:t>
            </w:r>
          </w:p>
        </w:tc>
        <w:tc>
          <w:tcPr>
            <w:tcW w:w="1520" w:type="dxa"/>
            <w:vAlign w:val="bottom"/>
            <w:shd w:val="clear" w:color="auto" w:fill="CCEEFF"/>
          </w:tcPr>
          <w:p>
            <w:pPr>
              <w:jc w:val="center"/>
              <w:ind w:left="22"/>
              <w:spacing w:after="0" w:line="129" w:lineRule="exact"/>
              <w:rPr>
                <w:sz w:val="20"/>
                <w:szCs w:val="20"/>
                <w:color w:val="auto"/>
              </w:rPr>
            </w:pPr>
            <w:r>
              <w:rPr>
                <w:rFonts w:ascii="Arial" w:cs="Arial" w:eastAsia="Arial" w:hAnsi="Arial"/>
                <w:sz w:val="12"/>
                <w:szCs w:val="12"/>
                <w:color w:val="auto"/>
                <w:w w:val="86"/>
              </w:rPr>
              <w:t>Cargo Transport</w:t>
            </w:r>
          </w:p>
        </w:tc>
        <w:tc>
          <w:tcPr>
            <w:tcW w:w="82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11.00%</w:t>
            </w:r>
          </w:p>
        </w:tc>
        <w:tc>
          <w:tcPr>
            <w:tcW w:w="88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100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3,184,219</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3,184,222</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2,292,640</w:t>
            </w:r>
          </w:p>
        </w:tc>
        <w:tc>
          <w:tcPr>
            <w:tcW w:w="0" w:type="dxa"/>
            <w:vAlign w:val="bottom"/>
          </w:tcPr>
          <w:p>
            <w:pPr>
              <w:spacing w:after="0"/>
              <w:rPr>
                <w:sz w:val="1"/>
                <w:szCs w:val="1"/>
                <w:color w:val="auto"/>
              </w:rPr>
            </w:pPr>
          </w:p>
        </w:tc>
      </w:tr>
      <w:tr>
        <w:trPr>
          <w:trHeight w:val="155"/>
        </w:trPr>
        <w:tc>
          <w:tcPr>
            <w:tcW w:w="4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(PIK 11.00%)</w:t>
            </w:r>
          </w:p>
        </w:tc>
        <w:tc>
          <w:tcPr>
            <w:tcW w:w="8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Paradigm Management Services, LLC</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07/31/2017</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87"/>
              </w:rPr>
              <w:t>Healthcare, Education and</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12.50%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20,512,821</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20,059,979</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20,512,821</w:t>
            </w: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6"/>
              </w:rPr>
              <w:t>Childcare</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12/15/2014</w:t>
            </w: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0"/>
              </w:rPr>
              <w:t>Other Media</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9.50%</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L+650</w:t>
            </w:r>
            <w:r>
              <w:rPr>
                <w:rFonts w:ascii="Arial" w:cs="Arial" w:eastAsia="Arial" w:hAnsi="Arial"/>
                <w:sz w:val="9"/>
                <w:szCs w:val="9"/>
                <w:color w:val="auto"/>
              </w:rPr>
              <w:t>(8)</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2,752,666</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2,752,666</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2,584,753</w:t>
            </w: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12/15/2015</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90"/>
              </w:rPr>
              <w:t>Other Media</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11.50%</w:t>
            </w:r>
          </w:p>
        </w:tc>
        <w:tc>
          <w:tcPr>
            <w:tcW w:w="880" w:type="dxa"/>
            <w:vAlign w:val="bottom"/>
          </w:tcPr>
          <w:p>
            <w:pPr>
              <w:jc w:val="right"/>
              <w:ind w:right="6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2,230,508</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2,230,508</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2,002,996</w:t>
            </w: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(PIK 11.50%)</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Realogy Corp.</w:t>
            </w:r>
          </w:p>
        </w:tc>
        <w:tc>
          <w:tcPr>
            <w:tcW w:w="86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10/15/2017</w:t>
            </w:r>
          </w:p>
        </w:tc>
        <w:tc>
          <w:tcPr>
            <w:tcW w:w="1520" w:type="dxa"/>
            <w:vAlign w:val="bottom"/>
            <w:shd w:val="clear" w:color="auto" w:fill="CCEEFF"/>
          </w:tcPr>
          <w:p>
            <w:pPr>
              <w:jc w:val="center"/>
              <w:ind w:left="42"/>
              <w:spacing w:after="0" w:line="132" w:lineRule="exact"/>
              <w:rPr>
                <w:sz w:val="20"/>
                <w:szCs w:val="20"/>
                <w:color w:val="auto"/>
              </w:rPr>
            </w:pPr>
            <w:r>
              <w:rPr>
                <w:rFonts w:ascii="Arial" w:cs="Arial" w:eastAsia="Arial" w:hAnsi="Arial"/>
                <w:sz w:val="12"/>
                <w:szCs w:val="12"/>
                <w:color w:val="auto"/>
                <w:w w:val="89"/>
              </w:rPr>
              <w:t>Buildings and Real</w:t>
            </w:r>
          </w:p>
        </w:tc>
        <w:tc>
          <w:tcPr>
            <w:tcW w:w="82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13.50%</w:t>
            </w:r>
          </w:p>
        </w:tc>
        <w:tc>
          <w:tcPr>
            <w:tcW w:w="88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10,000,000</w:t>
            </w:r>
          </w:p>
        </w:tc>
        <w:tc>
          <w:tcPr>
            <w:tcW w:w="7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10,000,000</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10,062,500</w:t>
            </w:r>
          </w:p>
        </w:tc>
        <w:tc>
          <w:tcPr>
            <w:tcW w:w="0" w:type="dxa"/>
            <w:vAlign w:val="bottom"/>
          </w:tcPr>
          <w:p>
            <w:pPr>
              <w:spacing w:after="0"/>
              <w:rPr>
                <w:sz w:val="1"/>
                <w:szCs w:val="1"/>
                <w:color w:val="auto"/>
              </w:rPr>
            </w:pPr>
          </w:p>
        </w:tc>
      </w:tr>
      <w:tr>
        <w:trPr>
          <w:trHeight w:val="155"/>
        </w:trPr>
        <w:tc>
          <w:tcPr>
            <w:tcW w:w="4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2"/>
              </w:rPr>
              <w:t>Estate</w:t>
            </w: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line="129" w:lineRule="exact"/>
              <w:rPr>
                <w:sz w:val="20"/>
                <w:szCs w:val="20"/>
                <w:color w:val="auto"/>
              </w:rPr>
            </w:pPr>
            <w:r>
              <w:rPr>
                <w:rFonts w:ascii="Arial" w:cs="Arial" w:eastAsia="Arial" w:hAnsi="Arial"/>
                <w:sz w:val="12"/>
                <w:szCs w:val="12"/>
                <w:color w:val="auto"/>
              </w:rPr>
              <w:t>ROC Finance LLC and ROC Finance 1 Corp.</w:t>
            </w:r>
          </w:p>
        </w:tc>
        <w:tc>
          <w:tcPr>
            <w:tcW w:w="860" w:type="dxa"/>
            <w:vAlign w:val="bottom"/>
          </w:tcPr>
          <w:p>
            <w:pPr>
              <w:ind w:left="160"/>
              <w:spacing w:after="0" w:line="129" w:lineRule="exact"/>
              <w:rPr>
                <w:sz w:val="20"/>
                <w:szCs w:val="20"/>
                <w:color w:val="auto"/>
              </w:rPr>
            </w:pPr>
            <w:r>
              <w:rPr>
                <w:rFonts w:ascii="Arial" w:cs="Arial" w:eastAsia="Arial" w:hAnsi="Arial"/>
                <w:sz w:val="12"/>
                <w:szCs w:val="12"/>
                <w:color w:val="auto"/>
              </w:rPr>
              <w:t>09/01/2018</w:t>
            </w:r>
          </w:p>
        </w:tc>
        <w:tc>
          <w:tcPr>
            <w:tcW w:w="1520" w:type="dxa"/>
            <w:vAlign w:val="bottom"/>
          </w:tcPr>
          <w:p>
            <w:pPr>
              <w:jc w:val="center"/>
              <w:ind w:left="22"/>
              <w:spacing w:after="0" w:line="129" w:lineRule="exact"/>
              <w:rPr>
                <w:sz w:val="20"/>
                <w:szCs w:val="20"/>
                <w:color w:val="auto"/>
              </w:rPr>
            </w:pPr>
            <w:r>
              <w:rPr>
                <w:rFonts w:ascii="Arial" w:cs="Arial" w:eastAsia="Arial" w:hAnsi="Arial"/>
                <w:sz w:val="12"/>
                <w:szCs w:val="12"/>
                <w:color w:val="auto"/>
                <w:w w:val="90"/>
              </w:rPr>
              <w:t>Hotels, Motels,</w:t>
            </w:r>
          </w:p>
        </w:tc>
        <w:tc>
          <w:tcPr>
            <w:tcW w:w="82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12.13%</w:t>
            </w:r>
          </w:p>
        </w:tc>
        <w:tc>
          <w:tcPr>
            <w:tcW w:w="8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16,000,000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15,752,822</w:t>
            </w:r>
          </w:p>
        </w:tc>
        <w:tc>
          <w:tcPr>
            <w:tcW w:w="2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18,560,000</w:t>
            </w:r>
          </w:p>
        </w:tc>
        <w:tc>
          <w:tcPr>
            <w:tcW w:w="0" w:type="dxa"/>
            <w:vAlign w:val="bottom"/>
          </w:tcPr>
          <w:p>
            <w:pPr>
              <w:spacing w:after="0"/>
              <w:rPr>
                <w:sz w:val="1"/>
                <w:szCs w:val="1"/>
                <w:color w:val="auto"/>
              </w:rPr>
            </w:pPr>
          </w:p>
        </w:tc>
      </w:tr>
      <w:tr>
        <w:trPr>
          <w:trHeight w:val="151"/>
        </w:trPr>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jc w:val="center"/>
              <w:ind w:left="22"/>
              <w:spacing w:after="0"/>
              <w:rPr>
                <w:sz w:val="20"/>
                <w:szCs w:val="20"/>
                <w:color w:val="auto"/>
              </w:rPr>
            </w:pPr>
            <w:r>
              <w:rPr>
                <w:rFonts w:ascii="Arial" w:cs="Arial" w:eastAsia="Arial" w:hAnsi="Arial"/>
                <w:sz w:val="12"/>
                <w:szCs w:val="12"/>
                <w:color w:val="auto"/>
                <w:w w:val="87"/>
              </w:rPr>
              <w:t>Inns and Gaming</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TransFirst Holdings, Inc.</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06/15/2015</w:t>
            </w:r>
          </w:p>
        </w:tc>
        <w:tc>
          <w:tcPr>
            <w:tcW w:w="152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Financial Services</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6.22%</w:t>
            </w:r>
          </w:p>
        </w:tc>
        <w:tc>
          <w:tcPr>
            <w:tcW w:w="8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L+600</w:t>
            </w:r>
          </w:p>
        </w:tc>
        <w:tc>
          <w:tcPr>
            <w:tcW w:w="10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7,811,488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7,511,344</w:t>
            </w:r>
          </w:p>
        </w:tc>
        <w:tc>
          <w:tcPr>
            <w:tcW w:w="2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7,411,149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188,644,968</w:t>
            </w:r>
          </w:p>
        </w:tc>
        <w:tc>
          <w:tcPr>
            <w:tcW w:w="2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169,366,959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82"/>
              </w:rPr>
              <w:t>Basis Point</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3"/>
              </w:rPr>
              <w:t>Spread</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1"/>
              </w:rPr>
              <w:t>Above</w:t>
            </w:r>
          </w:p>
        </w:tc>
        <w:tc>
          <w:tcPr>
            <w:tcW w:w="104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auto"/>
              </w:rPr>
              <w:t>Par /</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1640" w:type="dxa"/>
            <w:vAlign w:val="bottom"/>
          </w:tcPr>
          <w:p>
            <w:pPr>
              <w:ind w:left="1040"/>
              <w:spacing w:after="0"/>
              <w:rPr>
                <w:sz w:val="20"/>
                <w:szCs w:val="20"/>
                <w:color w:val="auto"/>
              </w:rPr>
            </w:pPr>
            <w:r>
              <w:rPr>
                <w:rFonts w:ascii="Arial" w:cs="Arial" w:eastAsia="Arial" w:hAnsi="Arial"/>
                <w:sz w:val="12"/>
                <w:szCs w:val="12"/>
                <w:b w:val="1"/>
                <w:bCs w:val="1"/>
                <w:color w:val="auto"/>
              </w:rPr>
              <w:t>Maturity</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40" w:type="dxa"/>
            <w:vAlign w:val="bottom"/>
          </w:tcPr>
          <w:p>
            <w:pPr>
              <w:jc w:val="right"/>
              <w:ind w:right="382"/>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3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Notes—52.4%</w:t>
            </w:r>
          </w:p>
        </w:tc>
        <w:tc>
          <w:tcPr>
            <w:tcW w:w="16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Acentia, LLC</w:t>
            </w:r>
          </w:p>
        </w:tc>
        <w:tc>
          <w:tcPr>
            <w:tcW w:w="1640" w:type="dxa"/>
            <w:vAlign w:val="bottom"/>
          </w:tcPr>
          <w:p>
            <w:pPr>
              <w:jc w:val="center"/>
              <w:ind w:left="842"/>
              <w:spacing w:after="0"/>
              <w:rPr>
                <w:sz w:val="20"/>
                <w:szCs w:val="20"/>
                <w:color w:val="auto"/>
              </w:rPr>
            </w:pPr>
            <w:r>
              <w:rPr>
                <w:rFonts w:ascii="Arial" w:cs="Arial" w:eastAsia="Arial" w:hAnsi="Arial"/>
                <w:sz w:val="12"/>
                <w:szCs w:val="12"/>
                <w:color w:val="auto"/>
                <w:w w:val="89"/>
              </w:rPr>
              <w:t>10/02/2017</w:t>
            </w:r>
          </w:p>
        </w:tc>
        <w:tc>
          <w:tcPr>
            <w:tcW w:w="140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13.75%</w:t>
            </w:r>
          </w:p>
        </w:tc>
        <w:tc>
          <w:tcPr>
            <w:tcW w:w="800" w:type="dxa"/>
            <w:vAlign w:val="bottom"/>
          </w:tcPr>
          <w:p>
            <w:pPr>
              <w:ind w:left="5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rPr>
                <w:sz w:val="20"/>
                <w:szCs w:val="20"/>
                <w:color w:val="auto"/>
              </w:rPr>
            </w:pPr>
            <w:r>
              <w:rPr>
                <w:rFonts w:ascii="Arial" w:cs="Arial" w:eastAsia="Arial" w:hAnsi="Arial"/>
                <w:sz w:val="12"/>
                <w:szCs w:val="12"/>
                <w:color w:val="auto"/>
              </w:rPr>
              <w:t>19,000,000</w:t>
            </w:r>
          </w:p>
        </w:tc>
        <w:tc>
          <w:tcPr>
            <w:tcW w:w="1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18,563,943</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  19,000,000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64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89"/>
              </w:rPr>
              <w:t>11/15/2015</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11.63%</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35,552,000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34,172,451</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24,175,360</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640" w:type="dxa"/>
            <w:vAlign w:val="bottom"/>
          </w:tcPr>
          <w:p>
            <w:pPr>
              <w:jc w:val="center"/>
              <w:ind w:left="842"/>
              <w:spacing w:after="0"/>
              <w:rPr>
                <w:sz w:val="20"/>
                <w:szCs w:val="20"/>
                <w:color w:val="auto"/>
              </w:rPr>
            </w:pPr>
            <w:r>
              <w:rPr>
                <w:rFonts w:ascii="Arial" w:cs="Arial" w:eastAsia="Arial" w:hAnsi="Arial"/>
                <w:sz w:val="12"/>
                <w:szCs w:val="12"/>
                <w:color w:val="auto"/>
                <w:w w:val="89"/>
              </w:rPr>
              <w:t>02/15/2019</w:t>
            </w:r>
          </w:p>
        </w:tc>
        <w:tc>
          <w:tcPr>
            <w:tcW w:w="140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rPr>
                <w:sz w:val="20"/>
                <w:szCs w:val="20"/>
                <w:color w:val="auto"/>
              </w:rPr>
            </w:pPr>
            <w:r>
              <w:rPr>
                <w:rFonts w:ascii="Arial" w:cs="Arial" w:eastAsia="Arial" w:hAnsi="Arial"/>
                <w:sz w:val="12"/>
                <w:szCs w:val="12"/>
                <w:color w:val="auto"/>
              </w:rPr>
              <w:t>8,930,000</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8,754,461</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8,930,000</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64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9"/>
              </w:rPr>
              <w:t>03/26/2018</w:t>
            </w:r>
          </w:p>
        </w:tc>
        <w:tc>
          <w:tcPr>
            <w:tcW w:w="14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8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23,277,586</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22,812,086</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22,812,034</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1.00%)</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Diversitech Corporation</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01/29/2017</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90"/>
              </w:rPr>
              <w:t>Manufacturing/</w:t>
            </w:r>
          </w:p>
        </w:tc>
        <w:tc>
          <w:tcPr>
            <w:tcW w:w="8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13.50%</w:t>
            </w:r>
            <w:r>
              <w:rPr>
                <w:rFonts w:ascii="Arial" w:cs="Arial" w:eastAsia="Arial" w:hAnsi="Arial"/>
                <w:sz w:val="9"/>
                <w:szCs w:val="9"/>
                <w:color w:val="auto"/>
              </w:rPr>
              <w:t>(7)</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11,000,000</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10,836,901</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11,275,000</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90"/>
              </w:rPr>
              <w:t>Basic Industry</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Escort, Inc.</w:t>
            </w:r>
          </w:p>
        </w:tc>
        <w:tc>
          <w:tcPr>
            <w:tcW w:w="164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89"/>
              </w:rPr>
              <w:t>06/01/2016</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Electronics</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14.75%</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25,254,035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24,751,548</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25,254,035</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2.75%)</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Galls, LLC; Quartermaster Inc.</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03/31/2017</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13.00%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21,797,263</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21,399,764</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21,906,249</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JF Acquisition, LLC</w:t>
            </w:r>
          </w:p>
        </w:tc>
        <w:tc>
          <w:tcPr>
            <w:tcW w:w="164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89"/>
              </w:rPr>
              <w:t>06/30/2017</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3"/>
              </w:rPr>
              <w:t>Distribution</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14.00%</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17,171,374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16,748,220</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17,377,430</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Last Mile Funding Corp.</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06/30/2016</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6"/>
              </w:rPr>
              <w:t>Cargo Transport</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14.50%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45,597,139</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44,677,474</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45,095,570</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2.50%)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64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89"/>
              </w:rPr>
              <w:t>06/30/2016</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9"/>
              </w:rPr>
              <w:t>Education</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5,277,718</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4,696,436</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4,815,918</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15.00%)</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LTI Flexible Products, Inc.</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01/19/2019</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8"/>
              </w:rPr>
              <w:t>Chemical, Plastic and</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12.50%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30,000,000</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30,000,000</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30,000,000</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6"/>
              </w:rPr>
              <w:t>Rubber</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LTI Flexible Products, Inc.</w:t>
            </w:r>
            <w:r>
              <w:rPr>
                <w:rFonts w:ascii="Arial" w:cs="Arial" w:eastAsia="Arial" w:hAnsi="Arial"/>
                <w:sz w:val="9"/>
                <w:szCs w:val="9"/>
                <w:color w:val="auto"/>
              </w:rPr>
              <w:t>(9)</w:t>
            </w:r>
          </w:p>
        </w:tc>
        <w:tc>
          <w:tcPr>
            <w:tcW w:w="164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9"/>
              </w:rPr>
              <w:t>01/11/2014</w:t>
            </w:r>
          </w:p>
        </w:tc>
        <w:tc>
          <w:tcPr>
            <w:tcW w:w="14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Chemical, Plastic and</w:t>
            </w:r>
          </w:p>
        </w:tc>
        <w:tc>
          <w:tcPr>
            <w:tcW w:w="88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5,000,000</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4,825,000</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41"/>
        </w:trPr>
        <w:tc>
          <w:tcPr>
            <w:tcW w:w="35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Rubber</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Mailsouth, Inc.</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06/15/2017</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9"/>
              </w:rPr>
              <w:t>Printing and Publishing</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14.50%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15,000,000</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14,632,413</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15,210,000</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Technologies, Inc.</w:t>
            </w:r>
          </w:p>
        </w:tc>
        <w:tc>
          <w:tcPr>
            <w:tcW w:w="1640" w:type="dxa"/>
            <w:vAlign w:val="bottom"/>
            <w:shd w:val="clear" w:color="auto" w:fill="CCEEFF"/>
          </w:tcPr>
          <w:p>
            <w:pPr>
              <w:jc w:val="center"/>
              <w:ind w:left="842"/>
              <w:spacing w:after="0" w:line="132" w:lineRule="exact"/>
              <w:rPr>
                <w:sz w:val="20"/>
                <w:szCs w:val="20"/>
                <w:color w:val="auto"/>
              </w:rPr>
            </w:pPr>
            <w:r>
              <w:rPr>
                <w:rFonts w:ascii="Arial" w:cs="Arial" w:eastAsia="Arial" w:hAnsi="Arial"/>
                <w:sz w:val="12"/>
                <w:szCs w:val="12"/>
                <w:color w:val="auto"/>
                <w:w w:val="89"/>
              </w:rPr>
              <w:t>05/12/2017</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5"/>
              </w:rPr>
              <w:t>Aerospace and Defense</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15.02%</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17,123,218</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16,783,033</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17,123,218</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3.02%)</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Prince Mineral Holdings Corp.</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12/03/2016</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93"/>
              </w:rPr>
              <w:t>Mining, Steel, Iron</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13.50%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26,696,517</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26,263,685</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26,696,517</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7"/>
              </w:rPr>
              <w:t>and Non-Precious Metals</w:t>
            </w: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Realogy Corp.</w:t>
            </w:r>
          </w:p>
        </w:tc>
        <w:tc>
          <w:tcPr>
            <w:tcW w:w="164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89"/>
              </w:rPr>
              <w:t>04/15/2018</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Buildings and Real Estate</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11.00%</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10,000,000</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9,247,298</w:t>
            </w: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9,400,000</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TRAK Acquisition Corp.</w:t>
            </w:r>
          </w:p>
        </w:tc>
        <w:tc>
          <w:tcPr>
            <w:tcW w:w="1640" w:type="dxa"/>
            <w:vAlign w:val="bottom"/>
          </w:tcPr>
          <w:p>
            <w:pPr>
              <w:jc w:val="center"/>
              <w:ind w:left="842"/>
              <w:spacing w:after="0"/>
              <w:rPr>
                <w:sz w:val="20"/>
                <w:szCs w:val="20"/>
                <w:color w:val="auto"/>
              </w:rPr>
            </w:pPr>
            <w:r>
              <w:rPr>
                <w:rFonts w:ascii="Arial" w:cs="Arial" w:eastAsia="Arial" w:hAnsi="Arial"/>
                <w:sz w:val="12"/>
                <w:szCs w:val="12"/>
                <w:color w:val="auto"/>
                <w:w w:val="89"/>
              </w:rPr>
              <w:t>12/29/2015</w:t>
            </w:r>
          </w:p>
        </w:tc>
        <w:tc>
          <w:tcPr>
            <w:tcW w:w="14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15.00%</w:t>
            </w:r>
            <w:r>
              <w:rPr>
                <w:rFonts w:ascii="Arial" w:cs="Arial" w:eastAsia="Arial" w:hAnsi="Arial"/>
                <w:sz w:val="9"/>
                <w:szCs w:val="9"/>
                <w:color w:val="auto"/>
              </w:rPr>
              <w:t>(7)</w:t>
            </w:r>
          </w:p>
        </w:tc>
        <w:tc>
          <w:tcPr>
            <w:tcW w:w="800" w:type="dxa"/>
            <w:vAlign w:val="bottom"/>
          </w:tcPr>
          <w:p>
            <w:pPr>
              <w:ind w:left="5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rPr>
                <w:sz w:val="20"/>
                <w:szCs w:val="20"/>
                <w:color w:val="auto"/>
              </w:rPr>
            </w:pPr>
            <w:r>
              <w:rPr>
                <w:rFonts w:ascii="Arial" w:cs="Arial" w:eastAsia="Arial" w:hAnsi="Arial"/>
                <w:sz w:val="12"/>
                <w:szCs w:val="12"/>
                <w:color w:val="auto"/>
              </w:rPr>
              <w:t>12,020,950</w:t>
            </w:r>
          </w:p>
        </w:tc>
        <w:tc>
          <w:tcPr>
            <w:tcW w:w="18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11,708,199</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12,020,950</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TrustHouse Services Group, Inc.</w:t>
            </w:r>
          </w:p>
        </w:tc>
        <w:tc>
          <w:tcPr>
            <w:tcW w:w="1640" w:type="dxa"/>
            <w:vAlign w:val="bottom"/>
            <w:shd w:val="clear" w:color="auto" w:fill="CCEEFF"/>
          </w:tcPr>
          <w:p>
            <w:pPr>
              <w:jc w:val="center"/>
              <w:ind w:left="842"/>
              <w:spacing w:after="0" w:line="129" w:lineRule="exact"/>
              <w:rPr>
                <w:sz w:val="20"/>
                <w:szCs w:val="20"/>
                <w:color w:val="auto"/>
              </w:rPr>
            </w:pPr>
            <w:r>
              <w:rPr>
                <w:rFonts w:ascii="Arial" w:cs="Arial" w:eastAsia="Arial" w:hAnsi="Arial"/>
                <w:sz w:val="12"/>
                <w:szCs w:val="12"/>
                <w:color w:val="auto"/>
                <w:w w:val="89"/>
              </w:rPr>
              <w:t>06/03/2019</w:t>
            </w:r>
          </w:p>
        </w:tc>
        <w:tc>
          <w:tcPr>
            <w:tcW w:w="14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Beverage, Food, and</w:t>
            </w:r>
          </w:p>
        </w:tc>
        <w:tc>
          <w:tcPr>
            <w:tcW w:w="88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14.25%</w:t>
            </w:r>
          </w:p>
        </w:tc>
        <w:tc>
          <w:tcPr>
            <w:tcW w:w="800" w:type="dxa"/>
            <w:vAlign w:val="bottom"/>
            <w:shd w:val="clear" w:color="auto" w:fill="CCEEFF"/>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14,778,578</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14,527,411</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14,778,578</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Tobacco</w:t>
            </w: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2.25%)</w:t>
            </w: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TrustHouse Services Group, Inc.</w:t>
            </w:r>
            <w:r>
              <w:rPr>
                <w:rFonts w:ascii="Arial" w:cs="Arial" w:eastAsia="Arial" w:hAnsi="Arial"/>
                <w:sz w:val="9"/>
                <w:szCs w:val="9"/>
                <w:color w:val="auto"/>
              </w:rPr>
              <w:t>(9)</w:t>
            </w:r>
          </w:p>
        </w:tc>
        <w:tc>
          <w:tcPr>
            <w:tcW w:w="1640" w:type="dxa"/>
            <w:vAlign w:val="bottom"/>
          </w:tcPr>
          <w:p>
            <w:pPr>
              <w:jc w:val="center"/>
              <w:ind w:left="842"/>
              <w:spacing w:after="0" w:line="129" w:lineRule="exact"/>
              <w:rPr>
                <w:sz w:val="20"/>
                <w:szCs w:val="20"/>
                <w:color w:val="auto"/>
              </w:rPr>
            </w:pPr>
            <w:r>
              <w:rPr>
                <w:rFonts w:ascii="Arial" w:cs="Arial" w:eastAsia="Arial" w:hAnsi="Arial"/>
                <w:sz w:val="12"/>
                <w:szCs w:val="12"/>
                <w:color w:val="auto"/>
                <w:w w:val="89"/>
              </w:rPr>
              <w:t>06/02/2014</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5"/>
              </w:rPr>
              <w:t>Beverage, Food, and</w:t>
            </w:r>
          </w:p>
        </w:tc>
        <w:tc>
          <w:tcPr>
            <w:tcW w:w="88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4,000,000</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3,920,000</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4,000,000</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6"/>
              </w:rPr>
              <w:t>Tobacco</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Veritext Corp.</w:t>
            </w:r>
          </w:p>
        </w:tc>
        <w:tc>
          <w:tcPr>
            <w:tcW w:w="164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89"/>
              </w:rPr>
              <w:t>12/31/2015</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13.00%</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16,200,000</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15,916,579</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2"/>
              </w:rPr>
              <w:t>355,236,902</w:t>
            </w:r>
          </w:p>
        </w:tc>
        <w:tc>
          <w:tcPr>
            <w:tcW w:w="2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351,070,859</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Equity/Partnership Interests—1.7% </w:t>
            </w:r>
            <w:r>
              <w:rPr>
                <w:rFonts w:ascii="Arial" w:cs="Arial" w:eastAsia="Arial" w:hAnsi="Arial"/>
                <w:sz w:val="9"/>
                <w:szCs w:val="9"/>
                <w:b w:val="1"/>
                <w:bCs w:val="1"/>
                <w:color w:val="auto"/>
              </w:rPr>
              <w:t>(6)</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AH Holdings, Inc.</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6.00%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211</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624,081</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(American Surgical Holdings, Inc.)</w:t>
            </w:r>
          </w:p>
        </w:tc>
        <w:tc>
          <w:tcPr>
            <w:tcW w:w="16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640" w:type="dxa"/>
            <w:vAlign w:val="bottom"/>
            <w:shd w:val="clear" w:color="auto" w:fill="CCEEFF"/>
          </w:tcPr>
          <w:p>
            <w:pPr>
              <w:jc w:val="center"/>
              <w:ind w:left="862"/>
              <w:spacing w:after="0"/>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7,505</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318,896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Series A</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8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949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949,050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1,031,820</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CI (IHS) Investment Holdings, LLC</w:t>
            </w:r>
          </w:p>
        </w:tc>
        <w:tc>
          <w:tcPr>
            <w:tcW w:w="1640" w:type="dxa"/>
            <w:vAlign w:val="bottom"/>
            <w:shd w:val="clear" w:color="auto" w:fill="CCEEFF"/>
          </w:tcPr>
          <w:p>
            <w:pPr>
              <w:jc w:val="center"/>
              <w:ind w:left="862"/>
              <w:spacing w:after="0" w:line="132" w:lineRule="exact"/>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Healthcare, Education</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76,357</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765,307</w:t>
            </w: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881,885</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88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38,179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382,654</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16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Convergint Technologies Holdings, LLC</w:t>
            </w:r>
          </w:p>
        </w:tc>
        <w:tc>
          <w:tcPr>
            <w:tcW w:w="1640" w:type="dxa"/>
            <w:vAlign w:val="bottom"/>
            <w:shd w:val="clear" w:color="auto" w:fill="CCEEFF"/>
          </w:tcPr>
          <w:p>
            <w:pPr>
              <w:jc w:val="center"/>
              <w:ind w:left="862"/>
              <w:spacing w:after="0"/>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Electronics</w:t>
            </w:r>
          </w:p>
        </w:tc>
        <w:tc>
          <w:tcPr>
            <w:tcW w:w="8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2,375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2,375,000</w:t>
            </w: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2,375,000</w:t>
            </w: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HW Topco, Inc.</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3,591</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24,177</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27,916</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(Hanley-Wood, LLC)</w:t>
            </w: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Tech Holdings, Inc., Series A-1</w:t>
            </w:r>
          </w:p>
        </w:tc>
        <w:tc>
          <w:tcPr>
            <w:tcW w:w="1640" w:type="dxa"/>
            <w:vAlign w:val="bottom"/>
            <w:shd w:val="clear" w:color="auto" w:fill="CCEEFF"/>
          </w:tcPr>
          <w:p>
            <w:pPr>
              <w:jc w:val="center"/>
              <w:ind w:left="862"/>
              <w:spacing w:after="0" w:line="132" w:lineRule="exact"/>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5"/>
              </w:rPr>
              <w:t>Aerospace and Defense</w:t>
            </w:r>
          </w:p>
        </w:tc>
        <w:tc>
          <w:tcPr>
            <w:tcW w:w="8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20"/>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1,980,000</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823,710</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(PAS Technologies, Inc.)</w:t>
            </w: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TrustHouse Services Holdings, LLC</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7"/>
              </w:rPr>
              <w:t>Beverage, Food,</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1,099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984,344</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1,111,742</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w w:val="83"/>
              </w:rPr>
              <w:t>and Tobacco</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TZ Holdings, L.P., Series A</w:t>
            </w:r>
          </w:p>
        </w:tc>
        <w:tc>
          <w:tcPr>
            <w:tcW w:w="1640" w:type="dxa"/>
            <w:vAlign w:val="bottom"/>
            <w:shd w:val="clear" w:color="auto" w:fill="CCEEFF"/>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Insurance</w:t>
            </w:r>
          </w:p>
        </w:tc>
        <w:tc>
          <w:tcPr>
            <w:tcW w:w="88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686</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685,820</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(Trizetto Group, Inc.)</w:t>
            </w:r>
          </w:p>
        </w:tc>
        <w:tc>
          <w:tcPr>
            <w:tcW w:w="16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TZ Holdings, L.P., Series B</w:t>
            </w:r>
          </w:p>
        </w:tc>
        <w:tc>
          <w:tcPr>
            <w:tcW w:w="1640" w:type="dxa"/>
            <w:vAlign w:val="bottom"/>
          </w:tcPr>
          <w:p>
            <w:pPr>
              <w:jc w:val="center"/>
              <w:ind w:left="862"/>
              <w:spacing w:after="0" w:line="129" w:lineRule="exact"/>
              <w:rPr>
                <w:sz w:val="20"/>
                <w:szCs w:val="20"/>
                <w:color w:val="auto"/>
              </w:rPr>
            </w:pPr>
            <w:r>
              <w:rPr>
                <w:rFonts w:ascii="Arial" w:cs="Arial" w:eastAsia="Arial" w:hAnsi="Arial"/>
                <w:sz w:val="12"/>
                <w:szCs w:val="12"/>
                <w:color w:val="auto"/>
                <w:w w:val="99"/>
              </w:rPr>
              <w:t>—</w:t>
            </w:r>
          </w:p>
        </w:tc>
        <w:tc>
          <w:tcPr>
            <w:tcW w:w="1400" w:type="dxa"/>
            <w:vAlign w:val="bottom"/>
          </w:tcPr>
          <w:p>
            <w:pPr>
              <w:jc w:val="center"/>
              <w:spacing w:after="0" w:line="129" w:lineRule="exact"/>
              <w:rPr>
                <w:sz w:val="20"/>
                <w:szCs w:val="20"/>
                <w:color w:val="auto"/>
              </w:rPr>
            </w:pPr>
            <w:r>
              <w:rPr>
                <w:rFonts w:ascii="Arial" w:cs="Arial" w:eastAsia="Arial" w:hAnsi="Arial"/>
                <w:sz w:val="12"/>
                <w:szCs w:val="12"/>
                <w:color w:val="auto"/>
                <w:w w:val="87"/>
              </w:rPr>
              <w:t>Insurance</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6.50%</w:t>
            </w:r>
          </w:p>
        </w:tc>
        <w:tc>
          <w:tcPr>
            <w:tcW w:w="800" w:type="dxa"/>
            <w:vAlign w:val="bottom"/>
          </w:tcPr>
          <w:p>
            <w:pPr>
              <w:ind w:left="520"/>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1,312</w:t>
            </w: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1,312,006</w:t>
            </w:r>
          </w:p>
        </w:tc>
        <w:tc>
          <w:tcPr>
            <w:tcW w:w="26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1,666,679</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(Trizetto Group, Inc.)</w:t>
            </w: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Verde Parent Holdings, Inc.</w:t>
            </w:r>
          </w:p>
        </w:tc>
        <w:tc>
          <w:tcPr>
            <w:tcW w:w="1640" w:type="dxa"/>
            <w:vAlign w:val="bottom"/>
            <w:shd w:val="clear" w:color="auto" w:fill="CCEEFF"/>
          </w:tcPr>
          <w:p>
            <w:pPr>
              <w:jc w:val="center"/>
              <w:ind w:left="862"/>
              <w:spacing w:after="0"/>
              <w:rPr>
                <w:sz w:val="20"/>
                <w:szCs w:val="20"/>
                <w:color w:val="auto"/>
              </w:rPr>
            </w:pPr>
            <w:r>
              <w:rPr>
                <w:rFonts w:ascii="Arial" w:cs="Arial" w:eastAsia="Arial" w:hAnsi="Arial"/>
                <w:sz w:val="12"/>
                <w:szCs w:val="12"/>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1,824,167</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2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1,949,629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12,101,421</w:t>
            </w: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11,178,282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jc w:val="right"/>
              <w:ind w:right="102"/>
              <w:spacing w:after="0"/>
              <w:rPr>
                <w:sz w:val="20"/>
                <w:szCs w:val="20"/>
                <w:color w:val="auto"/>
              </w:rPr>
            </w:pPr>
            <w:r>
              <w:rPr>
                <w:rFonts w:ascii="Arial" w:cs="Arial" w:eastAsia="Arial" w:hAnsi="Arial"/>
                <w:sz w:val="12"/>
                <w:szCs w:val="12"/>
                <w:b w:val="1"/>
                <w:bCs w:val="1"/>
                <w:color w:val="auto"/>
                <w:w w:val="97"/>
              </w:rPr>
              <w:t>Basis Point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4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7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80" w:type="dxa"/>
            <w:vAlign w:val="bottom"/>
            <w:vMerge w:val="continue"/>
          </w:tcPr>
          <w:p>
            <w:pPr>
              <w:spacing w:after="0"/>
              <w:rPr>
                <w:sz w:val="12"/>
                <w:szCs w:val="12"/>
                <w:color w:val="auto"/>
              </w:rPr>
            </w:pPr>
          </w:p>
        </w:tc>
        <w:tc>
          <w:tcPr>
            <w:tcW w:w="1400" w:type="dxa"/>
            <w:vAlign w:val="bottom"/>
          </w:tcPr>
          <w:p>
            <w:pPr>
              <w:ind w:left="780"/>
              <w:spacing w:after="0"/>
              <w:rPr>
                <w:sz w:val="20"/>
                <w:szCs w:val="20"/>
                <w:color w:val="auto"/>
              </w:rPr>
            </w:pPr>
            <w:r>
              <w:rPr>
                <w:rFonts w:ascii="Arial" w:cs="Arial" w:eastAsia="Arial" w:hAnsi="Arial"/>
                <w:sz w:val="12"/>
                <w:szCs w:val="12"/>
                <w:b w:val="1"/>
                <w:bCs w:val="1"/>
                <w:color w:val="auto"/>
              </w:rPr>
              <w:t>Maturity</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640" w:type="dxa"/>
            <w:vAlign w:val="bottom"/>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60" w:type="dxa"/>
            <w:vAlign w:val="bottom"/>
          </w:tcPr>
          <w:p>
            <w:pPr>
              <w:jc w:val="right"/>
              <w:ind w:right="20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4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Common Equity/Warrants/Partnership Interests—9.2%</w:t>
            </w:r>
            <w:r>
              <w:rPr>
                <w:rFonts w:ascii="Arial" w:cs="Arial" w:eastAsia="Arial" w:hAnsi="Arial"/>
                <w:sz w:val="9"/>
                <w:szCs w:val="9"/>
                <w:b w:val="1"/>
                <w:bCs w:val="1"/>
                <w:color w:val="auto"/>
              </w:rPr>
              <w:t>(6)</w:t>
            </w:r>
          </w:p>
        </w:tc>
        <w:tc>
          <w:tcPr>
            <w:tcW w:w="140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1400" w:type="dxa"/>
            <w:vAlign w:val="bottom"/>
          </w:tcPr>
          <w:p>
            <w:pPr>
              <w:jc w:val="center"/>
              <w:ind w:left="557"/>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Electronics</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auto"/>
              </w:rPr>
              <w:t>1,998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   2,000,000</w:t>
            </w:r>
          </w:p>
        </w:tc>
        <w:tc>
          <w:tcPr>
            <w:tcW w:w="140" w:type="dxa"/>
            <w:vAlign w:val="bottom"/>
          </w:tcPr>
          <w:p>
            <w:pPr>
              <w:spacing w:after="0"/>
              <w:rPr>
                <w:sz w:val="12"/>
                <w:szCs w:val="1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   1,737,396</w:t>
            </w:r>
          </w:p>
        </w:tc>
        <w:tc>
          <w:tcPr>
            <w:tcW w:w="0" w:type="dxa"/>
            <w:vAlign w:val="bottom"/>
          </w:tcPr>
          <w:p>
            <w:pPr>
              <w:spacing w:after="0"/>
              <w:rPr>
                <w:sz w:val="1"/>
                <w:szCs w:val="1"/>
                <w:color w:val="auto"/>
              </w:rPr>
            </w:pPr>
          </w:p>
        </w:tc>
      </w:tr>
      <w:tr>
        <w:trPr>
          <w:trHeight w:val="121"/>
        </w:trPr>
        <w:tc>
          <w:tcPr>
            <w:tcW w:w="43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AH Holdings, Inc. (Warrants)</w:t>
            </w:r>
          </w:p>
        </w:tc>
        <w:tc>
          <w:tcPr>
            <w:tcW w:w="1400" w:type="dxa"/>
            <w:vAlign w:val="bottom"/>
            <w:shd w:val="clear" w:color="auto" w:fill="CCEEFF"/>
          </w:tcPr>
          <w:p>
            <w:pPr>
              <w:jc w:val="center"/>
              <w:ind w:left="557"/>
              <w:spacing w:after="0" w:line="121" w:lineRule="exact"/>
              <w:rPr>
                <w:sz w:val="20"/>
                <w:szCs w:val="20"/>
                <w:color w:val="auto"/>
              </w:rPr>
            </w:pPr>
            <w:r>
              <w:rPr>
                <w:rFonts w:ascii="Arial" w:cs="Arial" w:eastAsia="Arial" w:hAnsi="Arial"/>
                <w:sz w:val="13"/>
                <w:szCs w:val="13"/>
                <w:color w:val="auto"/>
                <w:w w:val="89"/>
              </w:rPr>
              <w:t>03/23/2021</w:t>
            </w:r>
          </w:p>
        </w:tc>
        <w:tc>
          <w:tcPr>
            <w:tcW w:w="13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02"/>
              <w:spacing w:after="0" w:line="121" w:lineRule="exact"/>
              <w:rPr>
                <w:sz w:val="20"/>
                <w:szCs w:val="20"/>
                <w:color w:val="auto"/>
              </w:rPr>
            </w:pPr>
            <w:r>
              <w:rPr>
                <w:rFonts w:ascii="Arial" w:cs="Arial" w:eastAsia="Arial" w:hAnsi="Arial"/>
                <w:sz w:val="12"/>
                <w:szCs w:val="12"/>
                <w:color w:val="auto"/>
              </w:rPr>
              <w:t>753</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2,063,780</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(American Surgical Holdings, Inc.)</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89"/>
              </w:rPr>
              <w:t>Financial Services</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950</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1,033</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Autumn Games, LLC</w:t>
            </w:r>
          </w:p>
        </w:tc>
        <w:tc>
          <w:tcPr>
            <w:tcW w:w="1400" w:type="dxa"/>
            <w:vAlign w:val="bottom"/>
            <w:shd w:val="clear" w:color="auto" w:fill="CCEEFF"/>
          </w:tcPr>
          <w:p>
            <w:pPr>
              <w:jc w:val="center"/>
              <w:ind w:left="557"/>
              <w:spacing w:after="0" w:line="124"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Broadcasting and</w:t>
            </w:r>
          </w:p>
        </w:tc>
        <w:tc>
          <w:tcPr>
            <w:tcW w:w="640" w:type="dxa"/>
            <w:vAlign w:val="bottom"/>
            <w:shd w:val="clear" w:color="auto" w:fill="CCEEFF"/>
          </w:tcPr>
          <w:p>
            <w:pPr>
              <w:jc w:val="right"/>
              <w:ind w:right="62"/>
              <w:spacing w:after="0" w:line="124"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4" w:lineRule="exact"/>
              <w:rPr>
                <w:sz w:val="20"/>
                <w:szCs w:val="20"/>
                <w:color w:val="auto"/>
              </w:rPr>
            </w:pPr>
            <w:r>
              <w:rPr>
                <w:rFonts w:ascii="Arial" w:cs="Arial" w:eastAsia="Arial" w:hAnsi="Arial"/>
                <w:sz w:val="12"/>
                <w:szCs w:val="12"/>
                <w:color w:val="auto"/>
              </w:rPr>
              <w:t>1,333,330</w:t>
            </w:r>
          </w:p>
        </w:tc>
        <w:tc>
          <w:tcPr>
            <w:tcW w:w="8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Entertainment</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5"/>
              </w:rPr>
              <w:t>Distribution</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1,505,000</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1,505,000</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1,680,720</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(Galls, LLC; Quartermaster Inc.)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CI (IHS) Investment Holdings, LLC</w:t>
            </w:r>
          </w:p>
        </w:tc>
        <w:tc>
          <w:tcPr>
            <w:tcW w:w="1400" w:type="dxa"/>
            <w:vAlign w:val="bottom"/>
            <w:shd w:val="clear" w:color="auto" w:fill="CCEEFF"/>
          </w:tcPr>
          <w:p>
            <w:pPr>
              <w:jc w:val="center"/>
              <w:ind w:left="557"/>
              <w:spacing w:after="0" w:line="124"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7"/>
              </w:rPr>
              <w:t>Healthcare, Education</w:t>
            </w:r>
          </w:p>
        </w:tc>
        <w:tc>
          <w:tcPr>
            <w:tcW w:w="640" w:type="dxa"/>
            <w:vAlign w:val="bottom"/>
            <w:shd w:val="clear" w:color="auto" w:fill="CCEEFF"/>
          </w:tcPr>
          <w:p>
            <w:pPr>
              <w:jc w:val="right"/>
              <w:ind w:right="62"/>
              <w:spacing w:after="0" w:line="124"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4" w:lineRule="exact"/>
              <w:rPr>
                <w:sz w:val="20"/>
                <w:szCs w:val="20"/>
                <w:color w:val="auto"/>
              </w:rPr>
            </w:pPr>
            <w:r>
              <w:rPr>
                <w:rFonts w:ascii="Arial" w:cs="Arial" w:eastAsia="Arial" w:hAnsi="Arial"/>
                <w:sz w:val="12"/>
                <w:szCs w:val="12"/>
                <w:color w:val="auto"/>
              </w:rPr>
              <w:t>23,416</w:t>
            </w:r>
          </w:p>
        </w:tc>
        <w:tc>
          <w:tcPr>
            <w:tcW w:w="940" w:type="dxa"/>
            <w:vAlign w:val="bottom"/>
            <w:gridSpan w:val="3"/>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234,693</w:t>
            </w:r>
          </w:p>
        </w:tc>
        <w:tc>
          <w:tcPr>
            <w:tcW w:w="920" w:type="dxa"/>
            <w:vAlign w:val="bottom"/>
            <w:gridSpan w:val="3"/>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270,457</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line="121" w:lineRule="exact"/>
              <w:rPr>
                <w:sz w:val="20"/>
                <w:szCs w:val="20"/>
                <w:color w:val="auto"/>
              </w:rPr>
            </w:pPr>
            <w:r>
              <w:rPr>
                <w:rFonts w:ascii="Arial" w:cs="Arial" w:eastAsia="Arial" w:hAnsi="Arial"/>
                <w:sz w:val="12"/>
                <w:szCs w:val="12"/>
                <w:color w:val="auto"/>
              </w:rPr>
              <w:t>CI (IHS) Investment Holdings, LLC</w:t>
            </w:r>
            <w:r>
              <w:rPr>
                <w:rFonts w:ascii="Arial" w:cs="Arial" w:eastAsia="Arial" w:hAnsi="Arial"/>
                <w:sz w:val="9"/>
                <w:szCs w:val="9"/>
                <w:color w:val="auto"/>
              </w:rPr>
              <w:t>(9)</w:t>
            </w:r>
          </w:p>
        </w:tc>
        <w:tc>
          <w:tcPr>
            <w:tcW w:w="1400" w:type="dxa"/>
            <w:vAlign w:val="bottom"/>
          </w:tcPr>
          <w:p>
            <w:pPr>
              <w:jc w:val="center"/>
              <w:ind w:left="557"/>
              <w:spacing w:after="0" w:line="121"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640" w:type="dxa"/>
            <w:vAlign w:val="bottom"/>
          </w:tcPr>
          <w:p>
            <w:pPr>
              <w:jc w:val="right"/>
              <w:ind w:right="62"/>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1"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1" w:lineRule="exact"/>
              <w:rPr>
                <w:sz w:val="20"/>
                <w:szCs w:val="20"/>
                <w:color w:val="auto"/>
              </w:rPr>
            </w:pPr>
            <w:r>
              <w:rPr>
                <w:rFonts w:ascii="Arial" w:cs="Arial" w:eastAsia="Arial" w:hAnsi="Arial"/>
                <w:sz w:val="12"/>
                <w:szCs w:val="12"/>
                <w:color w:val="auto"/>
              </w:rPr>
              <w:t>11,708</w:t>
            </w:r>
          </w:p>
        </w:tc>
        <w:tc>
          <w:tcPr>
            <w:tcW w:w="940" w:type="dxa"/>
            <w:vAlign w:val="bottom"/>
            <w:gridSpan w:val="3"/>
          </w:tcPr>
          <w:p>
            <w:pPr>
              <w:jc w:val="right"/>
              <w:ind w:right="140"/>
              <w:spacing w:after="0" w:line="121" w:lineRule="exact"/>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0"/>
                <w:szCs w:val="10"/>
                <w:color w:val="auto"/>
              </w:rPr>
            </w:pP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438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1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Convergint Technologies Holdings, LLC</w:t>
            </w:r>
          </w:p>
        </w:tc>
        <w:tc>
          <w:tcPr>
            <w:tcW w:w="1400" w:type="dxa"/>
            <w:vAlign w:val="bottom"/>
            <w:shd w:val="clear" w:color="auto" w:fill="CCEEFF"/>
          </w:tcPr>
          <w:p>
            <w:pPr>
              <w:jc w:val="center"/>
              <w:ind w:left="557"/>
              <w:spacing w:after="0" w:line="130"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3"/>
                <w:szCs w:val="13"/>
                <w:color w:val="auto"/>
                <w:w w:val="91"/>
              </w:rPr>
              <w:t>Electronics</w:t>
            </w:r>
          </w:p>
        </w:tc>
        <w:tc>
          <w:tcPr>
            <w:tcW w:w="640" w:type="dxa"/>
            <w:vAlign w:val="bottom"/>
            <w:shd w:val="clear" w:color="auto" w:fill="CCEEFF"/>
          </w:tcPr>
          <w:p>
            <w:pPr>
              <w:jc w:val="right"/>
              <w:ind w:right="62"/>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30" w:lineRule="exact"/>
              <w:rPr>
                <w:sz w:val="20"/>
                <w:szCs w:val="20"/>
                <w:color w:val="auto"/>
              </w:rPr>
            </w:pPr>
            <w:r>
              <w:rPr>
                <w:rFonts w:ascii="Arial" w:cs="Arial" w:eastAsia="Arial" w:hAnsi="Arial"/>
                <w:sz w:val="12"/>
                <w:szCs w:val="12"/>
                <w:color w:val="auto"/>
              </w:rPr>
              <w:t>2,375</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(Convergint Technologies) LLC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20"/>
                <w:szCs w:val="20"/>
                <w:color w:val="auto"/>
              </w:rPr>
            </w:pPr>
            <w:r>
              <w:rPr>
                <w:rFonts w:ascii="Arial" w:cs="Arial" w:eastAsia="Arial" w:hAnsi="Arial"/>
                <w:sz w:val="12"/>
                <w:szCs w:val="12"/>
                <w:color w:val="auto"/>
              </w:rPr>
              <w:t>CT Technologies Holdings, LLC</w:t>
            </w:r>
          </w:p>
        </w:tc>
        <w:tc>
          <w:tcPr>
            <w:tcW w:w="1400" w:type="dxa"/>
            <w:vAlign w:val="bottom"/>
          </w:tcPr>
          <w:p>
            <w:pPr>
              <w:jc w:val="center"/>
              <w:ind w:left="557"/>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auto"/>
              </w:rPr>
              <w:t>5,556</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1,904,033</w:t>
            </w:r>
          </w:p>
        </w:tc>
        <w:tc>
          <w:tcPr>
            <w:tcW w:w="140" w:type="dxa"/>
            <w:vAlign w:val="bottom"/>
          </w:tcPr>
          <w:p>
            <w:pPr>
              <w:spacing w:after="0"/>
              <w:rPr>
                <w:sz w:val="12"/>
                <w:szCs w:val="1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6,665,183</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DirectBuy Investors, L.P.</w:t>
            </w:r>
          </w:p>
        </w:tc>
        <w:tc>
          <w:tcPr>
            <w:tcW w:w="1400" w:type="dxa"/>
            <w:vAlign w:val="bottom"/>
            <w:shd w:val="clear" w:color="auto" w:fill="CCEEFF"/>
          </w:tcPr>
          <w:p>
            <w:pPr>
              <w:jc w:val="center"/>
              <w:ind w:left="5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Consumer Products</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1,350,000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20"/>
                <w:szCs w:val="20"/>
                <w:color w:val="auto"/>
              </w:rPr>
            </w:pPr>
            <w:r>
              <w:rPr>
                <w:rFonts w:ascii="Arial" w:cs="Arial" w:eastAsia="Arial" w:hAnsi="Arial"/>
                <w:sz w:val="12"/>
                <w:szCs w:val="12"/>
                <w:color w:val="auto"/>
              </w:rPr>
              <w:t>HW Topco, Inc. (Hanley-Wood, LLC)</w:t>
            </w:r>
          </w:p>
        </w:tc>
        <w:tc>
          <w:tcPr>
            <w:tcW w:w="1400" w:type="dxa"/>
            <w:vAlign w:val="bottom"/>
          </w:tcPr>
          <w:p>
            <w:pPr>
              <w:jc w:val="center"/>
              <w:ind w:left="557"/>
              <w:spacing w:after="0"/>
              <w:rPr>
                <w:sz w:val="20"/>
                <w:szCs w:val="20"/>
                <w:color w:val="auto"/>
              </w:rPr>
            </w:pPr>
            <w:r>
              <w:rPr>
                <w:rFonts w:ascii="Arial" w:cs="Arial" w:eastAsia="Arial" w:hAnsi="Arial"/>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Other Media</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auto"/>
              </w:rPr>
              <w:t>348,912</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2,443,050</w:t>
            </w:r>
          </w:p>
        </w:tc>
        <w:tc>
          <w:tcPr>
            <w:tcW w:w="140" w:type="dxa"/>
            <w:vAlign w:val="bottom"/>
          </w:tcPr>
          <w:p>
            <w:pPr>
              <w:spacing w:after="0"/>
              <w:rPr>
                <w:sz w:val="12"/>
                <w:szCs w:val="1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2,642,438</w:t>
            </w:r>
          </w:p>
        </w:tc>
        <w:tc>
          <w:tcPr>
            <w:tcW w:w="0" w:type="dxa"/>
            <w:vAlign w:val="bottom"/>
          </w:tcPr>
          <w:p>
            <w:pPr>
              <w:spacing w:after="0"/>
              <w:rPr>
                <w:sz w:val="1"/>
                <w:szCs w:val="1"/>
                <w:color w:val="auto"/>
              </w:rPr>
            </w:pPr>
          </w:p>
        </w:tc>
      </w:tr>
      <w:tr>
        <w:trPr>
          <w:trHeight w:val="121"/>
        </w:trPr>
        <w:tc>
          <w:tcPr>
            <w:tcW w:w="43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Kadmon Holdings, LLC, Class A</w:t>
            </w:r>
          </w:p>
        </w:tc>
        <w:tc>
          <w:tcPr>
            <w:tcW w:w="1400" w:type="dxa"/>
            <w:vAlign w:val="bottom"/>
            <w:shd w:val="clear" w:color="auto" w:fill="CCEEFF"/>
          </w:tcPr>
          <w:p>
            <w:pPr>
              <w:jc w:val="center"/>
              <w:ind w:left="557"/>
              <w:spacing w:after="0" w:line="121"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640" w:type="dxa"/>
            <w:vAlign w:val="bottom"/>
            <w:shd w:val="clear" w:color="auto" w:fill="CCEEFF"/>
          </w:tcPr>
          <w:p>
            <w:pPr>
              <w:jc w:val="right"/>
              <w:ind w:right="62"/>
              <w:spacing w:after="0" w:line="121"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1"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1" w:lineRule="exact"/>
              <w:rPr>
                <w:sz w:val="20"/>
                <w:szCs w:val="20"/>
                <w:color w:val="auto"/>
              </w:rPr>
            </w:pPr>
            <w:r>
              <w:rPr>
                <w:rFonts w:ascii="Arial" w:cs="Arial" w:eastAsia="Arial" w:hAnsi="Arial"/>
                <w:sz w:val="12"/>
                <w:szCs w:val="12"/>
                <w:color w:val="auto"/>
              </w:rPr>
              <w:t>1,079,920</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1,236,832</w:t>
            </w:r>
          </w:p>
        </w:tc>
        <w:tc>
          <w:tcPr>
            <w:tcW w:w="14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12,013,688</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(Kadmon Pharmaceuticals, LLC)</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line="121" w:lineRule="exact"/>
              <w:rPr>
                <w:sz w:val="20"/>
                <w:szCs w:val="20"/>
                <w:color w:val="auto"/>
              </w:rPr>
            </w:pPr>
            <w:r>
              <w:rPr>
                <w:rFonts w:ascii="Arial" w:cs="Arial" w:eastAsia="Arial" w:hAnsi="Arial"/>
                <w:sz w:val="12"/>
                <w:szCs w:val="12"/>
                <w:color w:val="auto"/>
              </w:rPr>
              <w:t>Kadmon Holdings, LLC, Class D</w:t>
            </w:r>
          </w:p>
        </w:tc>
        <w:tc>
          <w:tcPr>
            <w:tcW w:w="1400" w:type="dxa"/>
            <w:vAlign w:val="bottom"/>
          </w:tcPr>
          <w:p>
            <w:pPr>
              <w:jc w:val="center"/>
              <w:ind w:left="557"/>
              <w:spacing w:after="0" w:line="121"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640" w:type="dxa"/>
            <w:vAlign w:val="bottom"/>
          </w:tcPr>
          <w:p>
            <w:pPr>
              <w:jc w:val="right"/>
              <w:ind w:right="62"/>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1"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1" w:lineRule="exact"/>
              <w:rPr>
                <w:sz w:val="20"/>
                <w:szCs w:val="20"/>
                <w:color w:val="auto"/>
              </w:rPr>
            </w:pPr>
            <w:r>
              <w:rPr>
                <w:rFonts w:ascii="Arial" w:cs="Arial" w:eastAsia="Arial" w:hAnsi="Arial"/>
                <w:sz w:val="12"/>
                <w:szCs w:val="12"/>
                <w:color w:val="auto"/>
              </w:rPr>
              <w:t>1,079,920</w:t>
            </w:r>
          </w:p>
        </w:tc>
        <w:tc>
          <w:tcPr>
            <w:tcW w:w="80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1,028,807</w:t>
            </w:r>
          </w:p>
        </w:tc>
        <w:tc>
          <w:tcPr>
            <w:tcW w:w="140" w:type="dxa"/>
            <w:vAlign w:val="bottom"/>
          </w:tcPr>
          <w:p>
            <w:pPr>
              <w:spacing w:after="0"/>
              <w:rPr>
                <w:sz w:val="10"/>
                <w:szCs w:val="10"/>
                <w:color w:val="auto"/>
              </w:rPr>
            </w:pPr>
          </w:p>
        </w:tc>
        <w:tc>
          <w:tcPr>
            <w:tcW w:w="920" w:type="dxa"/>
            <w:vAlign w:val="bottom"/>
            <w:gridSpan w:val="3"/>
          </w:tcPr>
          <w:p>
            <w:pPr>
              <w:jc w:val="right"/>
              <w:ind w:right="120"/>
              <w:spacing w:after="0" w:line="121"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61"/>
        </w:trPr>
        <w:tc>
          <w:tcPr>
            <w:tcW w:w="4380" w:type="dxa"/>
            <w:vAlign w:val="bottom"/>
          </w:tcPr>
          <w:p>
            <w:pPr>
              <w:ind w:left="160"/>
              <w:spacing w:after="0"/>
              <w:rPr>
                <w:sz w:val="20"/>
                <w:szCs w:val="20"/>
                <w:color w:val="auto"/>
              </w:rPr>
            </w:pPr>
            <w:r>
              <w:rPr>
                <w:rFonts w:ascii="Arial" w:cs="Arial" w:eastAsia="Arial" w:hAnsi="Arial"/>
                <w:sz w:val="12"/>
                <w:szCs w:val="12"/>
                <w:color w:val="auto"/>
              </w:rPr>
              <w:t>(Kadmon Pharmaceuticals, LLC)</w:t>
            </w:r>
          </w:p>
        </w:tc>
        <w:tc>
          <w:tcPr>
            <w:tcW w:w="1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Learning Care Group (US) Inc. (Warrants)</w:t>
            </w:r>
          </w:p>
        </w:tc>
        <w:tc>
          <w:tcPr>
            <w:tcW w:w="1400" w:type="dxa"/>
            <w:vAlign w:val="bottom"/>
            <w:shd w:val="clear" w:color="auto" w:fill="CCEEFF"/>
          </w:tcPr>
          <w:p>
            <w:pPr>
              <w:jc w:val="center"/>
              <w:ind w:left="557"/>
              <w:spacing w:after="0"/>
              <w:rPr>
                <w:sz w:val="20"/>
                <w:szCs w:val="20"/>
                <w:color w:val="auto"/>
              </w:rPr>
            </w:pPr>
            <w:r>
              <w:rPr>
                <w:rFonts w:ascii="Arial" w:cs="Arial" w:eastAsia="Arial" w:hAnsi="Arial"/>
                <w:sz w:val="13"/>
                <w:szCs w:val="13"/>
                <w:color w:val="auto"/>
                <w:w w:val="89"/>
              </w:rPr>
              <w:t>04/27/2020</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Education</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1,267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779,920</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1,221,932</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3,239,999</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5,425,378</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(Eureka Hunter Pipeline, LLC)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Magnum Hunter Resources Corporation</w:t>
            </w:r>
          </w:p>
        </w:tc>
        <w:tc>
          <w:tcPr>
            <w:tcW w:w="1400" w:type="dxa"/>
            <w:vAlign w:val="bottom"/>
            <w:shd w:val="clear" w:color="auto" w:fill="CCEEFF"/>
          </w:tcPr>
          <w:p>
            <w:pPr>
              <w:jc w:val="center"/>
              <w:ind w:left="557"/>
              <w:spacing w:after="0" w:line="133" w:lineRule="exact"/>
              <w:rPr>
                <w:sz w:val="20"/>
                <w:szCs w:val="20"/>
                <w:color w:val="auto"/>
              </w:rPr>
            </w:pPr>
            <w:r>
              <w:rPr>
                <w:rFonts w:ascii="Arial" w:cs="Arial" w:eastAsia="Arial" w:hAnsi="Arial"/>
                <w:sz w:val="13"/>
                <w:szCs w:val="13"/>
                <w:color w:val="auto"/>
                <w:w w:val="89"/>
              </w:rPr>
              <w:t>10/14/2013</w:t>
            </w: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7"/>
              </w:rPr>
              <w:t>Oil and Gas</w:t>
            </w:r>
          </w:p>
        </w:tc>
        <w:tc>
          <w:tcPr>
            <w:tcW w:w="6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122,193</w:t>
            </w:r>
          </w:p>
        </w:tc>
        <w:tc>
          <w:tcPr>
            <w:tcW w:w="940" w:type="dxa"/>
            <w:vAlign w:val="bottom"/>
            <w:gridSpan w:val="3"/>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105,697</w:t>
            </w:r>
          </w:p>
        </w:tc>
        <w:tc>
          <w:tcPr>
            <w:tcW w:w="920" w:type="dxa"/>
            <w:vAlign w:val="bottom"/>
            <w:gridSpan w:val="3"/>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31,778</w:t>
            </w:r>
          </w:p>
        </w:tc>
        <w:tc>
          <w:tcPr>
            <w:tcW w:w="0" w:type="dxa"/>
            <w:vAlign w:val="bottom"/>
          </w:tcPr>
          <w:p>
            <w:pPr>
              <w:spacing w:after="0"/>
              <w:rPr>
                <w:sz w:val="1"/>
                <w:szCs w:val="1"/>
                <w:color w:val="auto"/>
              </w:rPr>
            </w:pPr>
          </w:p>
        </w:tc>
      </w:tr>
      <w:tr>
        <w:trPr>
          <w:trHeight w:val="135"/>
        </w:trPr>
        <w:tc>
          <w:tcPr>
            <w:tcW w:w="438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(Warrants)</w:t>
            </w:r>
          </w:p>
        </w:tc>
        <w:tc>
          <w:tcPr>
            <w:tcW w:w="14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(Eureka Hunter Pipeline, LLC)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95"/>
              </w:rPr>
              <w:t>Distribution</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1,700</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1,700,000</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1,641,575</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(JF Acquisition, LLC)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MidOcean PPL Holdings, Inc.</w:t>
            </w:r>
          </w:p>
        </w:tc>
        <w:tc>
          <w:tcPr>
            <w:tcW w:w="1400" w:type="dxa"/>
            <w:vAlign w:val="bottom"/>
            <w:shd w:val="clear" w:color="auto" w:fill="CCEEFF"/>
          </w:tcPr>
          <w:p>
            <w:pPr>
              <w:jc w:val="center"/>
              <w:ind w:left="557"/>
              <w:spacing w:after="0" w:line="124"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Personal, Food and</w:t>
            </w:r>
          </w:p>
        </w:tc>
        <w:tc>
          <w:tcPr>
            <w:tcW w:w="640" w:type="dxa"/>
            <w:vAlign w:val="bottom"/>
            <w:shd w:val="clear" w:color="auto" w:fill="CCEEFF"/>
          </w:tcPr>
          <w:p>
            <w:pPr>
              <w:jc w:val="right"/>
              <w:ind w:right="62"/>
              <w:spacing w:after="0" w:line="124"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4" w:lineRule="exact"/>
              <w:rPr>
                <w:sz w:val="20"/>
                <w:szCs w:val="20"/>
                <w:color w:val="auto"/>
              </w:rPr>
            </w:pPr>
            <w:r>
              <w:rPr>
                <w:rFonts w:ascii="Arial" w:cs="Arial" w:eastAsia="Arial" w:hAnsi="Arial"/>
                <w:sz w:val="12"/>
                <w:szCs w:val="12"/>
                <w:color w:val="auto"/>
              </w:rPr>
              <w:t>3,000</w:t>
            </w:r>
          </w:p>
        </w:tc>
        <w:tc>
          <w:tcPr>
            <w:tcW w:w="8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3,000,000</w:t>
            </w:r>
          </w:p>
        </w:tc>
        <w:tc>
          <w:tcPr>
            <w:tcW w:w="14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4,377,360</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Legal Services, Inc.)</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line="121" w:lineRule="exact"/>
              <w:rPr>
                <w:sz w:val="20"/>
                <w:szCs w:val="20"/>
                <w:color w:val="auto"/>
              </w:rPr>
            </w:pPr>
            <w:r>
              <w:rPr>
                <w:rFonts w:ascii="Arial" w:cs="Arial" w:eastAsia="Arial" w:hAnsi="Arial"/>
                <w:sz w:val="12"/>
                <w:szCs w:val="12"/>
                <w:color w:val="auto"/>
              </w:rPr>
              <w:t>Paradigm Acquisition Corp.</w:t>
            </w:r>
          </w:p>
        </w:tc>
        <w:tc>
          <w:tcPr>
            <w:tcW w:w="1400" w:type="dxa"/>
            <w:vAlign w:val="bottom"/>
          </w:tcPr>
          <w:p>
            <w:pPr>
              <w:jc w:val="center"/>
              <w:ind w:left="557"/>
              <w:spacing w:after="0" w:line="121"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w:t>
            </w:r>
          </w:p>
        </w:tc>
        <w:tc>
          <w:tcPr>
            <w:tcW w:w="640" w:type="dxa"/>
            <w:vAlign w:val="bottom"/>
          </w:tcPr>
          <w:p>
            <w:pPr>
              <w:jc w:val="right"/>
              <w:ind w:right="62"/>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1"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1" w:lineRule="exact"/>
              <w:rPr>
                <w:sz w:val="20"/>
                <w:szCs w:val="20"/>
                <w:color w:val="auto"/>
              </w:rPr>
            </w:pPr>
            <w:r>
              <w:rPr>
                <w:rFonts w:ascii="Arial" w:cs="Arial" w:eastAsia="Arial" w:hAnsi="Arial"/>
                <w:sz w:val="12"/>
                <w:szCs w:val="12"/>
                <w:color w:val="auto"/>
              </w:rPr>
              <w:t>20,000</w:t>
            </w:r>
          </w:p>
        </w:tc>
        <w:tc>
          <w:tcPr>
            <w:tcW w:w="80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2,000,000</w:t>
            </w:r>
          </w:p>
        </w:tc>
        <w:tc>
          <w:tcPr>
            <w:tcW w:w="140" w:type="dxa"/>
            <w:vAlign w:val="bottom"/>
          </w:tcPr>
          <w:p>
            <w:pPr>
              <w:spacing w:after="0"/>
              <w:rPr>
                <w:sz w:val="10"/>
                <w:szCs w:val="10"/>
                <w:color w:val="auto"/>
              </w:rPr>
            </w:pPr>
          </w:p>
        </w:tc>
        <w:tc>
          <w:tcPr>
            <w:tcW w:w="920" w:type="dxa"/>
            <w:vAlign w:val="bottom"/>
            <w:gridSpan w:val="3"/>
          </w:tcPr>
          <w:p>
            <w:pPr>
              <w:jc w:val="right"/>
              <w:ind w:right="120"/>
              <w:spacing w:after="0" w:line="121" w:lineRule="exact"/>
              <w:rPr>
                <w:sz w:val="20"/>
                <w:szCs w:val="20"/>
                <w:color w:val="auto"/>
              </w:rPr>
            </w:pPr>
            <w:r>
              <w:rPr>
                <w:rFonts w:ascii="Arial" w:cs="Arial" w:eastAsia="Arial" w:hAnsi="Arial"/>
                <w:sz w:val="12"/>
                <w:szCs w:val="12"/>
                <w:color w:val="auto"/>
              </w:rPr>
              <w:t>2,124,491</w:t>
            </w:r>
          </w:p>
        </w:tc>
        <w:tc>
          <w:tcPr>
            <w:tcW w:w="0" w:type="dxa"/>
            <w:vAlign w:val="bottom"/>
          </w:tcPr>
          <w:p>
            <w:pPr>
              <w:spacing w:after="0"/>
              <w:rPr>
                <w:sz w:val="1"/>
                <w:szCs w:val="1"/>
                <w:color w:val="auto"/>
              </w:rPr>
            </w:pPr>
          </w:p>
        </w:tc>
      </w:tr>
      <w:tr>
        <w:trPr>
          <w:trHeight w:val="161"/>
        </w:trPr>
        <w:tc>
          <w:tcPr>
            <w:tcW w:w="4380" w:type="dxa"/>
            <w:vAlign w:val="bottom"/>
          </w:tcPr>
          <w:p>
            <w:pPr>
              <w:ind w:left="160"/>
              <w:spacing w:after="0"/>
              <w:rPr>
                <w:sz w:val="20"/>
                <w:szCs w:val="20"/>
                <w:color w:val="auto"/>
              </w:rPr>
            </w:pPr>
            <w:r>
              <w:rPr>
                <w:rFonts w:ascii="Arial" w:cs="Arial" w:eastAsia="Arial" w:hAnsi="Arial"/>
                <w:sz w:val="12"/>
                <w:szCs w:val="12"/>
                <w:color w:val="auto"/>
              </w:rPr>
              <w:t>(Paradigm Management Services, LLC)</w:t>
            </w:r>
          </w:p>
        </w:tc>
        <w:tc>
          <w:tcPr>
            <w:tcW w:w="1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7"/>
              </w:rPr>
              <w:t>and Childcare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PAS Tech Holdings, Inc.</w:t>
            </w:r>
          </w:p>
        </w:tc>
        <w:tc>
          <w:tcPr>
            <w:tcW w:w="1400" w:type="dxa"/>
            <w:vAlign w:val="bottom"/>
            <w:shd w:val="clear" w:color="auto" w:fill="CCEEFF"/>
          </w:tcPr>
          <w:p>
            <w:pPr>
              <w:jc w:val="center"/>
              <w:ind w:left="557"/>
              <w:spacing w:after="0" w:line="130"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3"/>
                <w:szCs w:val="13"/>
                <w:color w:val="auto"/>
                <w:w w:val="84"/>
              </w:rPr>
              <w:t>Aerospace and Defense</w:t>
            </w:r>
          </w:p>
        </w:tc>
        <w:tc>
          <w:tcPr>
            <w:tcW w:w="640" w:type="dxa"/>
            <w:vAlign w:val="bottom"/>
            <w:shd w:val="clear" w:color="auto" w:fill="CCEEFF"/>
          </w:tcPr>
          <w:p>
            <w:pPr>
              <w:jc w:val="right"/>
              <w:ind w:right="62"/>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30" w:lineRule="exact"/>
              <w:rPr>
                <w:sz w:val="20"/>
                <w:szCs w:val="20"/>
                <w:color w:val="auto"/>
              </w:rPr>
            </w:pPr>
            <w:r>
              <w:rPr>
                <w:rFonts w:ascii="Arial" w:cs="Arial" w:eastAsia="Arial" w:hAnsi="Arial"/>
                <w:sz w:val="12"/>
                <w:szCs w:val="12"/>
                <w:color w:val="auto"/>
              </w:rPr>
              <w:t>20,000</w:t>
            </w:r>
          </w:p>
        </w:tc>
        <w:tc>
          <w:tcPr>
            <w:tcW w:w="94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20,000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(PAS Technologies, Inc.)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QMG HoldCo, LLC, Class A</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4,325</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1,306,166</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1,404,661</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(Questex Media Group, Inc.)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QMG HoldCo, LLC, Class B</w:t>
            </w:r>
          </w:p>
        </w:tc>
        <w:tc>
          <w:tcPr>
            <w:tcW w:w="1400" w:type="dxa"/>
            <w:vAlign w:val="bottom"/>
            <w:shd w:val="clear" w:color="auto" w:fill="CCEEFF"/>
          </w:tcPr>
          <w:p>
            <w:pPr>
              <w:jc w:val="center"/>
              <w:ind w:left="557"/>
              <w:spacing w:after="0" w:line="133"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Other Media</w:t>
            </w:r>
          </w:p>
        </w:tc>
        <w:tc>
          <w:tcPr>
            <w:tcW w:w="6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531</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172,457</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(Questex Media Group, Inc.)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line="121" w:lineRule="exact"/>
              <w:rPr>
                <w:sz w:val="20"/>
                <w:szCs w:val="20"/>
                <w:color w:val="auto"/>
              </w:rPr>
            </w:pPr>
            <w:r>
              <w:rPr>
                <w:rFonts w:ascii="Arial" w:cs="Arial" w:eastAsia="Arial" w:hAnsi="Arial"/>
                <w:sz w:val="12"/>
                <w:szCs w:val="12"/>
                <w:color w:val="auto"/>
              </w:rPr>
              <w:t>SPG Boyd Holdings Corp.</w:t>
            </w:r>
          </w:p>
        </w:tc>
        <w:tc>
          <w:tcPr>
            <w:tcW w:w="1400" w:type="dxa"/>
            <w:vAlign w:val="bottom"/>
          </w:tcPr>
          <w:p>
            <w:pPr>
              <w:jc w:val="center"/>
              <w:ind w:left="557"/>
              <w:spacing w:after="0" w:line="121"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1" w:lineRule="exact"/>
              <w:rPr>
                <w:sz w:val="20"/>
                <w:szCs w:val="20"/>
                <w:color w:val="auto"/>
              </w:rPr>
            </w:pPr>
            <w:r>
              <w:rPr>
                <w:rFonts w:ascii="Arial" w:cs="Arial" w:eastAsia="Arial" w:hAnsi="Arial"/>
                <w:sz w:val="13"/>
                <w:szCs w:val="13"/>
                <w:color w:val="auto"/>
                <w:w w:val="88"/>
              </w:rPr>
              <w:t>Chemical, Plastic</w:t>
            </w:r>
          </w:p>
        </w:tc>
        <w:tc>
          <w:tcPr>
            <w:tcW w:w="640" w:type="dxa"/>
            <w:vAlign w:val="bottom"/>
          </w:tcPr>
          <w:p>
            <w:pPr>
              <w:jc w:val="right"/>
              <w:ind w:right="62"/>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1"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1" w:lineRule="exact"/>
              <w:rPr>
                <w:sz w:val="20"/>
                <w:szCs w:val="20"/>
                <w:color w:val="auto"/>
              </w:rPr>
            </w:pPr>
            <w:r>
              <w:rPr>
                <w:rFonts w:ascii="Arial" w:cs="Arial" w:eastAsia="Arial" w:hAnsi="Arial"/>
                <w:sz w:val="12"/>
                <w:szCs w:val="12"/>
                <w:color w:val="auto"/>
              </w:rPr>
              <w:t>300,000</w:t>
            </w:r>
          </w:p>
        </w:tc>
        <w:tc>
          <w:tcPr>
            <w:tcW w:w="80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3,000,000</w:t>
            </w:r>
          </w:p>
        </w:tc>
        <w:tc>
          <w:tcPr>
            <w:tcW w:w="140" w:type="dxa"/>
            <w:vAlign w:val="bottom"/>
          </w:tcPr>
          <w:p>
            <w:pPr>
              <w:spacing w:after="0"/>
              <w:rPr>
                <w:sz w:val="10"/>
                <w:szCs w:val="10"/>
                <w:color w:val="auto"/>
              </w:rPr>
            </w:pPr>
          </w:p>
        </w:tc>
        <w:tc>
          <w:tcPr>
            <w:tcW w:w="920" w:type="dxa"/>
            <w:vAlign w:val="bottom"/>
            <w:gridSpan w:val="3"/>
          </w:tcPr>
          <w:p>
            <w:pPr>
              <w:jc w:val="right"/>
              <w:ind w:right="120"/>
              <w:spacing w:after="0" w:line="121" w:lineRule="exact"/>
              <w:rPr>
                <w:sz w:val="20"/>
                <w:szCs w:val="20"/>
                <w:color w:val="auto"/>
              </w:rPr>
            </w:pPr>
            <w:r>
              <w:rPr>
                <w:rFonts w:ascii="Arial" w:cs="Arial" w:eastAsia="Arial" w:hAnsi="Arial"/>
                <w:sz w:val="12"/>
                <w:szCs w:val="12"/>
                <w:color w:val="auto"/>
              </w:rPr>
              <w:t>3,000,000</w:t>
            </w:r>
          </w:p>
        </w:tc>
        <w:tc>
          <w:tcPr>
            <w:tcW w:w="0" w:type="dxa"/>
            <w:vAlign w:val="bottom"/>
          </w:tcPr>
          <w:p>
            <w:pPr>
              <w:spacing w:after="0"/>
              <w:rPr>
                <w:sz w:val="1"/>
                <w:szCs w:val="1"/>
                <w:color w:val="auto"/>
              </w:rPr>
            </w:pPr>
          </w:p>
        </w:tc>
      </w:tr>
      <w:tr>
        <w:trPr>
          <w:trHeight w:val="161"/>
        </w:trPr>
        <w:tc>
          <w:tcPr>
            <w:tcW w:w="4380" w:type="dxa"/>
            <w:vAlign w:val="bottom"/>
          </w:tcPr>
          <w:p>
            <w:pPr>
              <w:ind w:left="160"/>
              <w:spacing w:after="0"/>
              <w:rPr>
                <w:sz w:val="20"/>
                <w:szCs w:val="20"/>
                <w:color w:val="auto"/>
              </w:rPr>
            </w:pPr>
            <w:r>
              <w:rPr>
                <w:rFonts w:ascii="Arial" w:cs="Arial" w:eastAsia="Arial" w:hAnsi="Arial"/>
                <w:sz w:val="12"/>
                <w:szCs w:val="12"/>
                <w:color w:val="auto"/>
              </w:rPr>
              <w:t>(LTI Flexible Products, Inc.)</w:t>
            </w:r>
          </w:p>
        </w:tc>
        <w:tc>
          <w:tcPr>
            <w:tcW w:w="1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5"/>
              </w:rPr>
              <w:t>and Rubber</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Titan Private Holdings I, LLC – Class A</w:t>
            </w:r>
          </w:p>
        </w:tc>
        <w:tc>
          <w:tcPr>
            <w:tcW w:w="1400" w:type="dxa"/>
            <w:vAlign w:val="bottom"/>
            <w:shd w:val="clear" w:color="auto" w:fill="CCEEFF"/>
          </w:tcPr>
          <w:p>
            <w:pPr>
              <w:jc w:val="center"/>
              <w:ind w:left="557"/>
              <w:spacing w:after="0" w:line="130"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3"/>
                <w:szCs w:val="13"/>
                <w:color w:val="auto"/>
                <w:w w:val="88"/>
              </w:rPr>
              <w:t>Telecommunications</w:t>
            </w:r>
          </w:p>
        </w:tc>
        <w:tc>
          <w:tcPr>
            <w:tcW w:w="640" w:type="dxa"/>
            <w:vAlign w:val="bottom"/>
            <w:shd w:val="clear" w:color="auto" w:fill="CCEEFF"/>
          </w:tcPr>
          <w:p>
            <w:pPr>
              <w:jc w:val="right"/>
              <w:ind w:right="62"/>
              <w:spacing w:after="0" w:line="130"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30"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30" w:lineRule="exact"/>
              <w:rPr>
                <w:sz w:val="20"/>
                <w:szCs w:val="20"/>
                <w:color w:val="auto"/>
              </w:rPr>
            </w:pPr>
            <w:r>
              <w:rPr>
                <w:rFonts w:ascii="Arial" w:cs="Arial" w:eastAsia="Arial" w:hAnsi="Arial"/>
                <w:sz w:val="12"/>
                <w:szCs w:val="12"/>
                <w:color w:val="auto"/>
              </w:rPr>
              <w:t>2,276,847</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2"/>
                <w:szCs w:val="12"/>
                <w:color w:val="auto"/>
              </w:rPr>
              <w:t>2,274,883</w:t>
            </w:r>
          </w:p>
        </w:tc>
        <w:tc>
          <w:tcPr>
            <w:tcW w:w="1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6,182,426</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(Tekelec Global, Inc.)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1400" w:type="dxa"/>
            <w:vAlign w:val="bottom"/>
          </w:tcPr>
          <w:p>
            <w:pPr>
              <w:jc w:val="center"/>
              <w:ind w:left="557"/>
              <w:spacing w:after="0"/>
              <w:rPr>
                <w:sz w:val="20"/>
                <w:szCs w:val="20"/>
                <w:color w:val="auto"/>
              </w:rPr>
            </w:pPr>
            <w:r>
              <w:rPr>
                <w:rFonts w:ascii="Arial" w:cs="Arial" w:eastAsia="Arial" w:hAnsi="Arial"/>
                <w:sz w:val="13"/>
                <w:szCs w:val="13"/>
                <w:color w:val="auto"/>
                <w:w w:val="89"/>
              </w:rPr>
              <w:t>12/29/2019</w:t>
            </w:r>
          </w:p>
        </w:tc>
        <w:tc>
          <w:tcPr>
            <w:tcW w:w="13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auto"/>
              </w:rPr>
              <w:t>3,500</w:t>
            </w:r>
          </w:p>
        </w:tc>
        <w:tc>
          <w:tcPr>
            <w:tcW w:w="940" w:type="dxa"/>
            <w:vAlign w:val="bottom"/>
            <w:gridSpan w:val="3"/>
          </w:tcPr>
          <w:p>
            <w:pPr>
              <w:jc w:val="right"/>
              <w:ind w:right="140"/>
              <w:spacing w:after="0"/>
              <w:rPr>
                <w:sz w:val="20"/>
                <w:szCs w:val="20"/>
                <w:color w:val="auto"/>
              </w:rPr>
            </w:pPr>
            <w:r>
              <w:rPr>
                <w:rFonts w:ascii="Arial" w:cs="Arial" w:eastAsia="Arial" w:hAnsi="Arial"/>
                <w:sz w:val="12"/>
                <w:szCs w:val="12"/>
                <w:color w:val="auto"/>
              </w:rPr>
              <w:t>29,400</w:t>
            </w:r>
          </w:p>
        </w:tc>
        <w:tc>
          <w:tcPr>
            <w:tcW w:w="920" w:type="dxa"/>
            <w:vAlign w:val="bottom"/>
            <w:gridSpan w:val="3"/>
          </w:tcPr>
          <w:p>
            <w:pPr>
              <w:jc w:val="right"/>
              <w:ind w:right="120"/>
              <w:spacing w:after="0"/>
              <w:rPr>
                <w:sz w:val="20"/>
                <w:szCs w:val="20"/>
                <w:color w:val="auto"/>
              </w:rPr>
            </w:pPr>
            <w:r>
              <w:rPr>
                <w:rFonts w:ascii="Arial" w:cs="Arial" w:eastAsia="Arial" w:hAnsi="Arial"/>
                <w:sz w:val="12"/>
                <w:szCs w:val="12"/>
                <w:color w:val="auto"/>
              </w:rPr>
              <w:t>1,197,412</w:t>
            </w:r>
          </w:p>
        </w:tc>
        <w:tc>
          <w:tcPr>
            <w:tcW w:w="0" w:type="dxa"/>
            <w:vAlign w:val="bottom"/>
          </w:tcPr>
          <w:p>
            <w:pPr>
              <w:spacing w:after="0"/>
              <w:rPr>
                <w:sz w:val="1"/>
                <w:szCs w:val="1"/>
                <w:color w:val="auto"/>
              </w:rPr>
            </w:pPr>
          </w:p>
        </w:tc>
      </w:tr>
      <w:tr>
        <w:trPr>
          <w:trHeight w:val="129"/>
        </w:trPr>
        <w:tc>
          <w:tcPr>
            <w:tcW w:w="4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1400" w:type="dxa"/>
            <w:vAlign w:val="bottom"/>
            <w:shd w:val="clear" w:color="auto" w:fill="CCEEFF"/>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Cargo Transport</w:t>
            </w:r>
          </w:p>
        </w:tc>
        <w:tc>
          <w:tcPr>
            <w:tcW w:w="6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137,923</w:t>
            </w:r>
          </w:p>
        </w:tc>
        <w:tc>
          <w:tcPr>
            <w:tcW w:w="94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(Greatwide Logistics Services, L.L.C.)</w:t>
            </w:r>
          </w:p>
        </w:tc>
        <w:tc>
          <w:tcPr>
            <w:tcW w:w="1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TZ Holdings, L.P.</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87"/>
              </w:rPr>
              <w:t>Insurance</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2</w:t>
            </w:r>
          </w:p>
        </w:tc>
        <w:tc>
          <w:tcPr>
            <w:tcW w:w="94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9,567</w:t>
            </w: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713,718</w:t>
            </w:r>
          </w:p>
        </w:tc>
        <w:tc>
          <w:tcPr>
            <w:tcW w:w="0" w:type="dxa"/>
            <w:vAlign w:val="bottom"/>
          </w:tcPr>
          <w:p>
            <w:pPr>
              <w:spacing w:after="0"/>
              <w:rPr>
                <w:sz w:val="1"/>
                <w:szCs w:val="1"/>
                <w:color w:val="auto"/>
              </w:rPr>
            </w:pPr>
          </w:p>
        </w:tc>
      </w:tr>
      <w:tr>
        <w:trPr>
          <w:trHeight w:val="151"/>
        </w:trPr>
        <w:tc>
          <w:tcPr>
            <w:tcW w:w="4380" w:type="dxa"/>
            <w:vAlign w:val="bottom"/>
          </w:tcPr>
          <w:p>
            <w:pPr>
              <w:ind w:left="160"/>
              <w:spacing w:after="0"/>
              <w:rPr>
                <w:sz w:val="20"/>
                <w:szCs w:val="20"/>
                <w:color w:val="auto"/>
              </w:rPr>
            </w:pPr>
            <w:r>
              <w:rPr>
                <w:rFonts w:ascii="Arial" w:cs="Arial" w:eastAsia="Arial" w:hAnsi="Arial"/>
                <w:sz w:val="12"/>
                <w:szCs w:val="12"/>
                <w:color w:val="auto"/>
              </w:rPr>
              <w:t>(Trizetto Group, Inc.)</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Verde Parent Holdings, Inc.</w:t>
            </w:r>
          </w:p>
        </w:tc>
        <w:tc>
          <w:tcPr>
            <w:tcW w:w="1400" w:type="dxa"/>
            <w:vAlign w:val="bottom"/>
            <w:shd w:val="clear" w:color="auto" w:fill="CCEEFF"/>
          </w:tcPr>
          <w:p>
            <w:pPr>
              <w:jc w:val="center"/>
              <w:ind w:left="557"/>
              <w:spacing w:after="0" w:line="124" w:lineRule="exact"/>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1"/>
              </w:rPr>
              <w:t>Personal</w:t>
            </w:r>
          </w:p>
        </w:tc>
        <w:tc>
          <w:tcPr>
            <w:tcW w:w="640" w:type="dxa"/>
            <w:vAlign w:val="bottom"/>
            <w:shd w:val="clear" w:color="auto" w:fill="CCEEFF"/>
          </w:tcPr>
          <w:p>
            <w:pPr>
              <w:jc w:val="right"/>
              <w:ind w:right="62"/>
              <w:spacing w:after="0" w:line="124"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2"/>
              <w:spacing w:after="0" w:line="12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2"/>
              <w:spacing w:after="0" w:line="124" w:lineRule="exact"/>
              <w:rPr>
                <w:sz w:val="20"/>
                <w:szCs w:val="20"/>
                <w:color w:val="auto"/>
              </w:rPr>
            </w:pPr>
            <w:r>
              <w:rPr>
                <w:rFonts w:ascii="Arial" w:cs="Arial" w:eastAsia="Arial" w:hAnsi="Arial"/>
                <w:sz w:val="12"/>
                <w:szCs w:val="12"/>
                <w:color w:val="auto"/>
              </w:rPr>
              <w:t>9,166</w:t>
            </w:r>
          </w:p>
        </w:tc>
        <w:tc>
          <w:tcPr>
            <w:tcW w:w="940" w:type="dxa"/>
            <w:vAlign w:val="bottom"/>
            <w:gridSpan w:val="3"/>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9,167</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Transportation</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line="129" w:lineRule="exact"/>
              <w:rPr>
                <w:sz w:val="20"/>
                <w:szCs w:val="20"/>
                <w:color w:val="auto"/>
              </w:rPr>
            </w:pPr>
            <w:r>
              <w:rPr>
                <w:rFonts w:ascii="Arial" w:cs="Arial" w:eastAsia="Arial" w:hAnsi="Arial"/>
                <w:sz w:val="12"/>
                <w:szCs w:val="12"/>
                <w:color w:val="auto"/>
              </w:rPr>
              <w:t>VText Holdings, Inc.</w:t>
            </w:r>
          </w:p>
        </w:tc>
        <w:tc>
          <w:tcPr>
            <w:tcW w:w="1400" w:type="dxa"/>
            <w:vAlign w:val="bottom"/>
          </w:tcPr>
          <w:p>
            <w:pPr>
              <w:jc w:val="center"/>
              <w:ind w:left="55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center"/>
              <w:spacing w:after="0" w:line="129" w:lineRule="exact"/>
              <w:rPr>
                <w:sz w:val="20"/>
                <w:szCs w:val="20"/>
                <w:color w:val="auto"/>
              </w:rPr>
            </w:pPr>
            <w:r>
              <w:rPr>
                <w:rFonts w:ascii="Arial" w:cs="Arial" w:eastAsia="Arial" w:hAnsi="Arial"/>
                <w:sz w:val="13"/>
                <w:szCs w:val="13"/>
                <w:color w:val="auto"/>
                <w:w w:val="84"/>
              </w:rPr>
              <w:t>Business Services</w:t>
            </w:r>
          </w:p>
        </w:tc>
        <w:tc>
          <w:tcPr>
            <w:tcW w:w="6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35,526</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4,050,000</w:t>
            </w:r>
          </w:p>
        </w:tc>
        <w:tc>
          <w:tcPr>
            <w:tcW w:w="140" w:type="dxa"/>
            <w:vAlign w:val="bottom"/>
          </w:tcPr>
          <w:p>
            <w:pPr>
              <w:spacing w:after="0"/>
              <w:rPr>
                <w:sz w:val="11"/>
                <w:szCs w:val="11"/>
                <w:color w:val="auto"/>
              </w:rPr>
            </w:pPr>
          </w:p>
        </w:tc>
        <w:tc>
          <w:tcPr>
            <w:tcW w:w="920" w:type="dxa"/>
            <w:vAlign w:val="bottom"/>
            <w:gridSpan w:val="3"/>
          </w:tcPr>
          <w:p>
            <w:pPr>
              <w:jc w:val="right"/>
              <w:ind w:right="120"/>
              <w:spacing w:after="0" w:line="129" w:lineRule="exact"/>
              <w:rPr>
                <w:sz w:val="20"/>
                <w:szCs w:val="20"/>
                <w:color w:val="auto"/>
              </w:rPr>
            </w:pPr>
            <w:r>
              <w:rPr>
                <w:rFonts w:ascii="Arial" w:cs="Arial" w:eastAsia="Arial" w:hAnsi="Arial"/>
                <w:sz w:val="12"/>
                <w:szCs w:val="12"/>
                <w:color w:val="auto"/>
              </w:rPr>
              <w:t>6,941,000</w:t>
            </w:r>
          </w:p>
        </w:tc>
        <w:tc>
          <w:tcPr>
            <w:tcW w:w="0" w:type="dxa"/>
            <w:vAlign w:val="bottom"/>
          </w:tcPr>
          <w:p>
            <w:pPr>
              <w:spacing w:after="0"/>
              <w:rPr>
                <w:sz w:val="1"/>
                <w:szCs w:val="1"/>
                <w:color w:val="auto"/>
              </w:rPr>
            </w:pPr>
          </w:p>
        </w:tc>
      </w:tr>
      <w:tr>
        <w:trPr>
          <w:trHeight w:val="162"/>
        </w:trPr>
        <w:tc>
          <w:tcPr>
            <w:tcW w:w="4380" w:type="dxa"/>
            <w:vAlign w:val="bottom"/>
          </w:tcPr>
          <w:p>
            <w:pPr>
              <w:ind w:left="160"/>
              <w:spacing w:after="0"/>
              <w:rPr>
                <w:sz w:val="20"/>
                <w:szCs w:val="20"/>
                <w:color w:val="auto"/>
              </w:rPr>
            </w:pPr>
            <w:r>
              <w:rPr>
                <w:rFonts w:ascii="Arial" w:cs="Arial" w:eastAsia="Arial" w:hAnsi="Arial"/>
                <w:sz w:val="12"/>
                <w:szCs w:val="12"/>
                <w:color w:val="auto"/>
              </w:rPr>
              <w:t>(Veritext Corp.)</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Equity/Warrants/ Partnership Interests</w:t>
            </w:r>
          </w:p>
        </w:tc>
        <w:tc>
          <w:tcPr>
            <w:tcW w:w="1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38,457,098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61,315,758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871,867,953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871,892,745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(CONTINUED)</w:t>
      </w:r>
    </w:p>
    <w:p>
      <w:pPr>
        <w:jc w:val="center"/>
        <w:spacing w:after="0"/>
        <w:rPr>
          <w:sz w:val="20"/>
          <w:szCs w:val="20"/>
          <w:color w:val="auto"/>
        </w:rPr>
      </w:pPr>
      <w:r>
        <w:rPr>
          <w:rFonts w:ascii="Arial" w:cs="Arial" w:eastAsia="Arial" w:hAnsi="Arial"/>
          <w:sz w:val="12"/>
          <w:szCs w:val="12"/>
          <w:b w:val="1"/>
          <w:bCs w:val="1"/>
          <w:color w:val="auto"/>
        </w:rPr>
        <w:t>SEPTEMBER 30,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ind w:right="62"/>
              <w:spacing w:after="0"/>
              <w:rPr>
                <w:sz w:val="20"/>
                <w:szCs w:val="20"/>
                <w:color w:val="auto"/>
              </w:rPr>
            </w:pPr>
            <w:r>
              <w:rPr>
                <w:rFonts w:ascii="Arial" w:cs="Arial" w:eastAsia="Arial" w:hAnsi="Arial"/>
                <w:sz w:val="12"/>
                <w:szCs w:val="12"/>
                <w:b w:val="1"/>
                <w:bCs w:val="1"/>
                <w:color w:val="auto"/>
                <w:w w:val="82"/>
              </w:rPr>
              <w:t>Basis Point</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83"/>
              </w:rPr>
              <w:t>Spread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342"/>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60" w:type="dxa"/>
            <w:vAlign w:val="bottom"/>
            <w:vMerge w:val="continue"/>
          </w:tcPr>
          <w:p>
            <w:pPr>
              <w:spacing w:after="0"/>
              <w:rPr>
                <w:sz w:val="12"/>
                <w:szCs w:val="12"/>
                <w:color w:val="auto"/>
              </w:rPr>
            </w:pPr>
          </w:p>
        </w:tc>
        <w:tc>
          <w:tcPr>
            <w:tcW w:w="1200" w:type="dxa"/>
            <w:vAlign w:val="bottom"/>
          </w:tcPr>
          <w:p>
            <w:pPr>
              <w:ind w:left="660"/>
              <w:spacing w:after="0"/>
              <w:rPr>
                <w:sz w:val="20"/>
                <w:szCs w:val="20"/>
                <w:color w:val="auto"/>
              </w:rPr>
            </w:pPr>
            <w:r>
              <w:rPr>
                <w:rFonts w:ascii="Arial" w:cs="Arial" w:eastAsia="Arial" w:hAnsi="Arial"/>
                <w:sz w:val="12"/>
                <w:szCs w:val="12"/>
                <w:b w:val="1"/>
                <w:bCs w:val="1"/>
                <w:color w:val="auto"/>
              </w:rPr>
              <w:t>Maturity</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tcPr>
          <w:p>
            <w:pPr>
              <w:jc w:val="right"/>
              <w:ind w:right="322"/>
              <w:spacing w:after="0"/>
              <w:rPr>
                <w:sz w:val="20"/>
                <w:szCs w:val="20"/>
                <w:color w:val="auto"/>
              </w:rPr>
            </w:pPr>
            <w:r>
              <w:rPr>
                <w:rFonts w:ascii="Arial" w:cs="Arial" w:eastAsia="Arial" w:hAnsi="Arial"/>
                <w:sz w:val="12"/>
                <w:szCs w:val="12"/>
                <w:b w:val="1"/>
                <w:bCs w:val="1"/>
                <w:color w:val="auto"/>
              </w:rPr>
              <w:t>Coupon</w:t>
            </w:r>
          </w:p>
        </w:tc>
        <w:tc>
          <w:tcPr>
            <w:tcW w:w="820" w:type="dxa"/>
            <w:vAlign w:val="bottom"/>
          </w:tcPr>
          <w:p>
            <w:pPr>
              <w:jc w:val="center"/>
              <w:ind w:right="6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2"/>
                <w:szCs w:val="1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4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Affiliated Portfolio Companies—12.0% </w:t>
            </w:r>
            <w:r>
              <w:rPr>
                <w:rFonts w:ascii="Arial" w:cs="Arial" w:eastAsia="Arial" w:hAnsi="Arial"/>
                <w:sz w:val="9"/>
                <w:szCs w:val="9"/>
                <w:b w:val="1"/>
                <w:bCs w:val="1"/>
                <w:color w:val="auto"/>
              </w:rPr>
              <w:t>(1),(2)</w:t>
            </w:r>
          </w:p>
        </w:tc>
        <w:tc>
          <w:tcPr>
            <w:tcW w:w="12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Performance, Inc.</w:t>
            </w:r>
          </w:p>
        </w:tc>
        <w:tc>
          <w:tcPr>
            <w:tcW w:w="1200" w:type="dxa"/>
            <w:vAlign w:val="bottom"/>
            <w:shd w:val="clear" w:color="auto" w:fill="CCEEFF"/>
          </w:tcPr>
          <w:p>
            <w:pPr>
              <w:jc w:val="center"/>
              <w:ind w:left="502"/>
              <w:spacing w:after="0" w:line="129" w:lineRule="exact"/>
              <w:rPr>
                <w:sz w:val="20"/>
                <w:szCs w:val="20"/>
                <w:color w:val="auto"/>
              </w:rPr>
            </w:pPr>
            <w:r>
              <w:rPr>
                <w:rFonts w:ascii="Arial" w:cs="Arial" w:eastAsia="Arial" w:hAnsi="Arial"/>
                <w:sz w:val="12"/>
                <w:szCs w:val="12"/>
                <w:color w:val="auto"/>
                <w:w w:val="86"/>
              </w:rPr>
              <w:t>01/16/2015</w:t>
            </w:r>
          </w:p>
        </w:tc>
        <w:tc>
          <w:tcPr>
            <w:tcW w:w="12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Leisure, Amusement</w:t>
            </w:r>
          </w:p>
        </w:tc>
        <w:tc>
          <w:tcPr>
            <w:tcW w:w="88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7.25%</w:t>
            </w:r>
          </w:p>
        </w:tc>
        <w:tc>
          <w:tcPr>
            <w:tcW w:w="8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L+625</w:t>
            </w:r>
            <w:r>
              <w:rPr>
                <w:rFonts w:ascii="Arial" w:cs="Arial" w:eastAsia="Arial" w:hAnsi="Arial"/>
                <w:sz w:val="9"/>
                <w:szCs w:val="9"/>
                <w:color w:val="auto"/>
              </w:rPr>
              <w:t>(8)</w:t>
            </w:r>
          </w:p>
        </w:tc>
        <w:tc>
          <w:tcPr>
            <w:tcW w:w="8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8,000,000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8,000,000</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7,672,000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Motion Pictures and</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Entertainment</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Notes—7.1%</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4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Performance Holdings, Inc.</w:t>
            </w:r>
          </w:p>
        </w:tc>
        <w:tc>
          <w:tcPr>
            <w:tcW w:w="1200" w:type="dxa"/>
            <w:vAlign w:val="bottom"/>
            <w:shd w:val="clear" w:color="auto" w:fill="CCEEFF"/>
          </w:tcPr>
          <w:p>
            <w:pPr>
              <w:jc w:val="center"/>
              <w:ind w:left="502"/>
              <w:spacing w:after="0" w:line="132" w:lineRule="exact"/>
              <w:rPr>
                <w:sz w:val="20"/>
                <w:szCs w:val="20"/>
                <w:color w:val="auto"/>
              </w:rPr>
            </w:pPr>
            <w:r>
              <w:rPr>
                <w:rFonts w:ascii="Arial" w:cs="Arial" w:eastAsia="Arial" w:hAnsi="Arial"/>
                <w:sz w:val="12"/>
                <w:szCs w:val="12"/>
                <w:color w:val="auto"/>
                <w:w w:val="86"/>
              </w:rPr>
              <w:t>07/16/2015</w:t>
            </w:r>
          </w:p>
        </w:tc>
        <w:tc>
          <w:tcPr>
            <w:tcW w:w="126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Leisure, Amusement,</w:t>
            </w:r>
          </w:p>
        </w:tc>
        <w:tc>
          <w:tcPr>
            <w:tcW w:w="880" w:type="dxa"/>
            <w:vAlign w:val="bottom"/>
            <w:shd w:val="clear" w:color="auto" w:fill="CCEEFF"/>
          </w:tcPr>
          <w:p>
            <w:pPr>
              <w:jc w:val="right"/>
              <w:ind w:right="22"/>
              <w:spacing w:after="0" w:line="132" w:lineRule="exact"/>
              <w:rPr>
                <w:sz w:val="20"/>
                <w:szCs w:val="20"/>
                <w:color w:val="auto"/>
              </w:rPr>
            </w:pPr>
            <w:r>
              <w:rPr>
                <w:rFonts w:ascii="Arial" w:cs="Arial" w:eastAsia="Arial" w:hAnsi="Arial"/>
                <w:sz w:val="12"/>
                <w:szCs w:val="12"/>
                <w:color w:val="auto"/>
              </w:rPr>
              <w:t>15.00%</w:t>
            </w:r>
            <w:r>
              <w:rPr>
                <w:rFonts w:ascii="Arial" w:cs="Arial" w:eastAsia="Arial" w:hAnsi="Arial"/>
                <w:sz w:val="9"/>
                <w:szCs w:val="9"/>
                <w:color w:val="auto"/>
              </w:rPr>
              <w:t>(7)</w:t>
            </w:r>
          </w:p>
        </w:tc>
        <w:tc>
          <w:tcPr>
            <w:tcW w:w="82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7,567,234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2" w:lineRule="exact"/>
              <w:rPr>
                <w:sz w:val="20"/>
                <w:szCs w:val="20"/>
                <w:color w:val="auto"/>
              </w:rPr>
            </w:pPr>
            <w:r>
              <w:rPr>
                <w:rFonts w:ascii="Arial" w:cs="Arial" w:eastAsia="Arial" w:hAnsi="Arial"/>
                <w:sz w:val="12"/>
                <w:szCs w:val="12"/>
                <w:color w:val="auto"/>
              </w:rPr>
              <w:t>7,435,314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7,453,725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Motion Pictures and</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Entertainment</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2"/>
                <w:szCs w:val="12"/>
                <w:color w:val="auto"/>
              </w:rPr>
              <w:t>Service Champ, Inc.</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86"/>
              </w:rPr>
              <w:t>10/02/2017</w:t>
            </w:r>
          </w:p>
        </w:tc>
        <w:tc>
          <w:tcPr>
            <w:tcW w:w="126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12.50%</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w w:val="96"/>
              </w:rPr>
              <w:t>24,000,000</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23,495,700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Service Champ, Inc. </w:t>
            </w:r>
            <w:r>
              <w:rPr>
                <w:rFonts w:ascii="Arial" w:cs="Arial" w:eastAsia="Arial" w:hAnsi="Arial"/>
                <w:sz w:val="9"/>
                <w:szCs w:val="9"/>
                <w:color w:val="auto"/>
              </w:rPr>
              <w:t>(9)</w:t>
            </w:r>
          </w:p>
        </w:tc>
        <w:tc>
          <w:tcPr>
            <w:tcW w:w="12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6"/>
              </w:rPr>
              <w:t>10/02/2013</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Auto Sector</w:t>
            </w:r>
          </w:p>
        </w:tc>
        <w:tc>
          <w:tcPr>
            <w:tcW w:w="8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96"/>
              </w:rPr>
              <w:t>16,000,000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15,640,000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46,571,014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47,453,725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Equity/Partnership Interest—3.8% </w:t>
            </w:r>
            <w:r>
              <w:rPr>
                <w:rFonts w:ascii="Arial" w:cs="Arial" w:eastAsia="Arial" w:hAnsi="Arial"/>
                <w:sz w:val="9"/>
                <w:szCs w:val="9"/>
                <w:b w:val="1"/>
                <w:bCs w:val="1"/>
                <w:color w:val="auto"/>
              </w:rPr>
              <w:t>(6)</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2"/>
                <w:szCs w:val="12"/>
                <w:color w:val="auto"/>
              </w:rPr>
              <w:t>EnviroSolutions, Inc.</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rPr>
                <w:sz w:val="20"/>
                <w:szCs w:val="20"/>
                <w:color w:val="auto"/>
              </w:rPr>
            </w:pPr>
            <w:r>
              <w:rPr>
                <w:rFonts w:ascii="Arial" w:cs="Arial" w:eastAsia="Arial" w:hAnsi="Arial"/>
                <w:sz w:val="12"/>
                <w:szCs w:val="12"/>
                <w:color w:val="auto"/>
                <w:w w:val="88"/>
              </w:rPr>
              <w:t>Environmental Services</w:t>
            </w:r>
          </w:p>
        </w:tc>
        <w:tc>
          <w:tcPr>
            <w:tcW w:w="8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125,106</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10,055,844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18,425,519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NCP-Performance</w:t>
            </w:r>
          </w:p>
        </w:tc>
        <w:tc>
          <w:tcPr>
            <w:tcW w:w="1200" w:type="dxa"/>
            <w:vAlign w:val="bottom"/>
            <w:shd w:val="clear" w:color="auto" w:fill="CCEEFF"/>
          </w:tcPr>
          <w:p>
            <w:pPr>
              <w:jc w:val="center"/>
              <w:ind w:left="502"/>
              <w:spacing w:after="0" w:line="129" w:lineRule="exact"/>
              <w:rPr>
                <w:sz w:val="20"/>
                <w:szCs w:val="20"/>
                <w:color w:val="auto"/>
              </w:rPr>
            </w:pPr>
            <w:r>
              <w:rPr>
                <w:rFonts w:ascii="Arial" w:cs="Arial" w:eastAsia="Arial" w:hAnsi="Arial"/>
                <w:sz w:val="12"/>
                <w:szCs w:val="12"/>
                <w:color w:val="auto"/>
                <w:w w:val="99"/>
              </w:rPr>
              <w:t>—</w:t>
            </w:r>
          </w:p>
        </w:tc>
        <w:tc>
          <w:tcPr>
            <w:tcW w:w="12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88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375,000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3,750,000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2,902,355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(Performance Holdings, Inc.)</w:t>
            </w:r>
          </w:p>
        </w:tc>
        <w:tc>
          <w:tcPr>
            <w:tcW w:w="120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Motion Pictures and</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Entertainment</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1200" w:type="dxa"/>
            <w:vAlign w:val="bottom"/>
          </w:tcPr>
          <w:p>
            <w:pPr>
              <w:jc w:val="center"/>
              <w:ind w:left="502"/>
              <w:spacing w:after="0" w:line="129" w:lineRule="exact"/>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88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16,800</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4,200,000</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4,501,658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160"/>
              <w:spacing w:after="0"/>
              <w:rPr>
                <w:sz w:val="20"/>
                <w:szCs w:val="20"/>
                <w:color w:val="auto"/>
              </w:rPr>
            </w:pPr>
            <w:r>
              <w:rPr>
                <w:rFonts w:ascii="Arial" w:cs="Arial" w:eastAsia="Arial" w:hAnsi="Arial"/>
                <w:sz w:val="12"/>
                <w:szCs w:val="12"/>
                <w:color w:val="auto"/>
              </w:rPr>
              <w:t>(Service Champ, Inc.)</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18,005,844</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25,829,532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72,576,858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80,955,257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Companies—5.6% </w:t>
            </w:r>
            <w:r>
              <w:rPr>
                <w:rFonts w:ascii="Arial" w:cs="Arial" w:eastAsia="Arial" w:hAnsi="Arial"/>
                <w:sz w:val="9"/>
                <w:szCs w:val="9"/>
                <w:b w:val="1"/>
                <w:bCs w:val="1"/>
                <w:color w:val="auto"/>
              </w:rPr>
              <w:t>(1),(2)</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12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6"/>
              </w:rPr>
              <w:t>06/30/2020</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w w:val="96"/>
              </w:rPr>
              <w:t>10,800,000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10,800,000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10,800,000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2"/>
                <w:szCs w:val="12"/>
                <w:color w:val="auto"/>
              </w:rPr>
              <w:t xml:space="preserve">UP Support Services, Inc. </w:t>
            </w:r>
            <w:r>
              <w:rPr>
                <w:rFonts w:ascii="Arial" w:cs="Arial" w:eastAsia="Arial" w:hAnsi="Arial"/>
                <w:sz w:val="9"/>
                <w:szCs w:val="9"/>
                <w:color w:val="auto"/>
              </w:rPr>
              <w:t>(9)</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86"/>
              </w:rPr>
              <w:t>12/31/2015</w:t>
            </w:r>
          </w:p>
        </w:tc>
        <w:tc>
          <w:tcPr>
            <w:tcW w:w="126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743,187</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668,632</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743,187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UP Support Services, Inc. </w:t>
            </w:r>
            <w:r>
              <w:rPr>
                <w:rFonts w:ascii="Arial" w:cs="Arial" w:eastAsia="Arial" w:hAnsi="Arial"/>
                <w:sz w:val="9"/>
                <w:szCs w:val="9"/>
                <w:color w:val="auto"/>
              </w:rPr>
              <w:t>(9)</w:t>
            </w:r>
          </w:p>
        </w:tc>
        <w:tc>
          <w:tcPr>
            <w:tcW w:w="12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6"/>
              </w:rPr>
              <w:t>12/31/2015</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1,173,479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1,068,059</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12,536,691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12,716,666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Debt—2.1%</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UP Support Services, Inc.</w:t>
            </w:r>
          </w:p>
        </w:tc>
        <w:tc>
          <w:tcPr>
            <w:tcW w:w="1200" w:type="dxa"/>
            <w:vAlign w:val="bottom"/>
          </w:tcPr>
          <w:p>
            <w:pPr>
              <w:jc w:val="center"/>
              <w:ind w:left="502"/>
              <w:spacing w:after="0" w:line="129" w:lineRule="exact"/>
              <w:rPr>
                <w:sz w:val="20"/>
                <w:szCs w:val="20"/>
                <w:color w:val="auto"/>
              </w:rPr>
            </w:pPr>
            <w:r>
              <w:rPr>
                <w:rFonts w:ascii="Arial" w:cs="Arial" w:eastAsia="Arial" w:hAnsi="Arial"/>
                <w:sz w:val="12"/>
                <w:szCs w:val="12"/>
                <w:color w:val="auto"/>
                <w:w w:val="86"/>
              </w:rPr>
              <w:t>12/31/2015</w:t>
            </w:r>
          </w:p>
        </w:tc>
        <w:tc>
          <w:tcPr>
            <w:tcW w:w="12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15.00%</w:t>
            </w:r>
          </w:p>
        </w:tc>
        <w:tc>
          <w:tcPr>
            <w:tcW w:w="8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line="129" w:lineRule="exact"/>
              <w:rPr>
                <w:sz w:val="20"/>
                <w:szCs w:val="20"/>
                <w:color w:val="auto"/>
              </w:rPr>
            </w:pPr>
            <w:r>
              <w:rPr>
                <w:rFonts w:ascii="Arial" w:cs="Arial" w:eastAsia="Arial" w:hAnsi="Arial"/>
                <w:sz w:val="12"/>
                <w:szCs w:val="12"/>
                <w:color w:val="auto"/>
                <w:w w:val="96"/>
              </w:rPr>
              <w:t>14,300,282</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11,809,647</w:t>
            </w: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w w:val="99"/>
              </w:rPr>
              <w:t>14,300,282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Arial" w:cs="Arial" w:eastAsia="Arial" w:hAnsi="Arial"/>
                <w:sz w:val="12"/>
                <w:szCs w:val="12"/>
                <w:color w:val="auto"/>
              </w:rPr>
              <w:t>(PIK 15.00)%</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6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86"/>
              </w:rPr>
              <w:t>06/30/2020</w:t>
            </w:r>
          </w:p>
        </w:tc>
        <w:tc>
          <w:tcPr>
            <w:tcW w:w="126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2,700,000</w:t>
            </w:r>
          </w:p>
        </w:tc>
        <w:tc>
          <w:tcPr>
            <w:tcW w:w="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2,700,000</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2,158,053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Preferred Equity—1.3%</w:t>
            </w:r>
            <w:r>
              <w:rPr>
                <w:rFonts w:ascii="Arial" w:cs="Arial" w:eastAsia="Arial" w:hAnsi="Arial"/>
                <w:sz w:val="9"/>
                <w:szCs w:val="9"/>
                <w:b w:val="1"/>
                <w:bCs w:val="1"/>
                <w:color w:val="auto"/>
              </w:rPr>
              <w:t>(6)</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122"/>
              <w:spacing w:after="0"/>
              <w:rPr>
                <w:sz w:val="20"/>
                <w:szCs w:val="20"/>
                <w:color w:val="auto"/>
              </w:rPr>
            </w:pPr>
            <w:r>
              <w:rPr>
                <w:rFonts w:ascii="Arial" w:cs="Arial" w:eastAsia="Arial" w:hAnsi="Arial"/>
                <w:sz w:val="12"/>
                <w:szCs w:val="12"/>
                <w:color w:val="auto"/>
              </w:rPr>
              <w:t>14.00%</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2,000</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216,947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Universal Pegasus International Holdings, Inc.</w:t>
            </w:r>
          </w:p>
        </w:tc>
        <w:tc>
          <w:tcPr>
            <w:tcW w:w="12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8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411,988</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35,120,613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8,239,760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37,120,613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8,456,707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9"/>
                <w:szCs w:val="9"/>
                <w:b w:val="1"/>
                <w:bCs w:val="1"/>
                <w:color w:val="auto"/>
              </w:rPr>
              <w:t>(6)</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1200" w:type="dxa"/>
            <w:vAlign w:val="bottom"/>
          </w:tcPr>
          <w:p>
            <w:pPr>
              <w:jc w:val="center"/>
              <w:ind w:left="502"/>
              <w:spacing w:after="0"/>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2"/>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64,167,051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37,631,708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Investments—147.9%</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w w:val="85"/>
              </w:rPr>
              <w:t>1,008,611,862</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990,479,710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Equivalents—1.1%</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7,559,453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7,559,453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 and Cash Equivalents—149.0%</w:t>
            </w: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u w:val="single" w:color="auto"/>
                <w:color w:val="auto"/>
                <w:w w:val="78"/>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w w:val="85"/>
              </w:rPr>
              <w:t>1,016,171,315</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89"/>
              </w:rPr>
              <w:t>998,039,163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in Excess of Other Assets—(49.0%)</w:t>
            </w:r>
          </w:p>
        </w:tc>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5"/>
              </w:rPr>
              <w:t>(328,322,116)</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669,717,047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2117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SEPTEMBER 30, 2013</w:t>
      </w:r>
    </w:p>
    <w:p>
      <w:pPr>
        <w:spacing w:after="0" w:line="95" w:lineRule="exact"/>
        <w:rPr>
          <w:sz w:val="20"/>
          <w:szCs w:val="20"/>
          <w:color w:val="auto"/>
        </w:rPr>
      </w:pPr>
    </w:p>
    <w:p>
      <w:pPr>
        <w:ind w:right="20" w:firstLine="674"/>
        <w:spacing w:after="0" w:line="239" w:lineRule="auto"/>
        <w:rPr>
          <w:sz w:val="20"/>
          <w:szCs w:val="20"/>
          <w:color w:val="auto"/>
        </w:rPr>
      </w:pPr>
      <w:r>
        <w:rPr>
          <w:rFonts w:ascii="Arial" w:cs="Arial" w:eastAsia="Arial" w:hAnsi="Arial"/>
          <w:sz w:val="12"/>
          <w:szCs w:val="12"/>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w:t>
      </w:r>
    </w:p>
    <w:p>
      <w:pPr>
        <w:spacing w:after="0" w:line="107" w:lineRule="exact"/>
        <w:rPr>
          <w:sz w:val="20"/>
          <w:szCs w:val="20"/>
          <w:color w:val="auto"/>
        </w:rPr>
      </w:pPr>
    </w:p>
    <w:p>
      <w:pPr>
        <w:ind w:right="60" w:firstLine="674"/>
        <w:spacing w:after="0"/>
        <w:rPr>
          <w:sz w:val="20"/>
          <w:szCs w:val="20"/>
          <w:color w:val="auto"/>
        </w:rPr>
      </w:pPr>
      <w:r>
        <w:rPr>
          <w:rFonts w:ascii="Arial" w:cs="Arial" w:eastAsia="Arial" w:hAnsi="Arial"/>
          <w:sz w:val="12"/>
          <w:szCs w:val="12"/>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96" w:lineRule="exact"/>
        <w:rPr>
          <w:sz w:val="20"/>
          <w:szCs w:val="20"/>
          <w:color w:val="auto"/>
        </w:rPr>
      </w:pPr>
    </w:p>
    <w:p>
      <w:pPr>
        <w:ind w:right="20" w:firstLine="674"/>
        <w:spacing w:after="0" w:line="269" w:lineRule="auto"/>
        <w:rPr>
          <w:sz w:val="20"/>
          <w:szCs w:val="20"/>
          <w:color w:val="auto"/>
        </w:rPr>
      </w:pPr>
      <w:r>
        <w:rPr>
          <w:rFonts w:ascii="Arial" w:cs="Arial" w:eastAsia="Arial" w:hAnsi="Arial"/>
          <w:sz w:val="11"/>
          <w:szCs w:val="11"/>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81" w:lineRule="exact"/>
        <w:rPr>
          <w:sz w:val="20"/>
          <w:szCs w:val="20"/>
          <w:color w:val="auto"/>
        </w:rPr>
      </w:pPr>
    </w:p>
    <w:p>
      <w:pPr>
        <w:jc w:val="both"/>
        <w:ind w:right="220" w:firstLine="674"/>
        <w:spacing w:after="0" w:line="276" w:lineRule="auto"/>
        <w:rPr>
          <w:sz w:val="20"/>
          <w:szCs w:val="20"/>
          <w:color w:val="auto"/>
        </w:rPr>
      </w:pPr>
      <w:r>
        <w:rPr>
          <w:rFonts w:ascii="Arial" w:cs="Arial" w:eastAsia="Arial" w:hAnsi="Arial"/>
          <w:sz w:val="11"/>
          <w:szCs w:val="11"/>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jc w:val="both"/>
        <w:ind w:right="220" w:firstLine="674"/>
        <w:spacing w:after="0" w:line="252" w:lineRule="auto"/>
        <w:rPr>
          <w:sz w:val="20"/>
          <w:szCs w:val="20"/>
          <w:color w:val="auto"/>
        </w:rPr>
      </w:pPr>
      <w:r>
        <w:rPr>
          <w:rFonts w:ascii="Arial" w:cs="Arial" w:eastAsia="Arial" w:hAnsi="Arial"/>
          <w:sz w:val="12"/>
          <w:szCs w:val="12"/>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107" w:lineRule="exact"/>
        <w:rPr>
          <w:sz w:val="20"/>
          <w:szCs w:val="20"/>
          <w:color w:val="auto"/>
        </w:rPr>
      </w:pPr>
    </w:p>
    <w:p>
      <w:pPr>
        <w:ind w:right="80" w:firstLine="674"/>
        <w:spacing w:after="0" w:line="266" w:lineRule="auto"/>
        <w:rPr>
          <w:sz w:val="20"/>
          <w:szCs w:val="20"/>
          <w:color w:val="auto"/>
        </w:rPr>
      </w:pPr>
      <w:r>
        <w:rPr>
          <w:rFonts w:ascii="Arial" w:cs="Arial" w:eastAsia="Arial" w:hAnsi="Arial"/>
          <w:sz w:val="11"/>
          <w:szCs w:val="11"/>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82" w:lineRule="exact"/>
        <w:rPr>
          <w:sz w:val="20"/>
          <w:szCs w:val="20"/>
          <w:color w:val="auto"/>
        </w:rPr>
      </w:pPr>
    </w:p>
    <w:p>
      <w:pPr>
        <w:ind w:right="40" w:firstLine="674"/>
        <w:spacing w:after="0" w:line="252"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significant accounting policies consistently applied are as follows: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Investment Valuations</w:t>
      </w:r>
    </w:p>
    <w:p>
      <w:pPr>
        <w:spacing w:after="0" w:line="105" w:lineRule="exact"/>
        <w:rPr>
          <w:sz w:val="20"/>
          <w:szCs w:val="20"/>
          <w:color w:val="auto"/>
        </w:rPr>
      </w:pPr>
    </w:p>
    <w:p>
      <w:pPr>
        <w:ind w:right="140" w:firstLine="674"/>
        <w:spacing w:after="0" w:line="347" w:lineRule="auto"/>
        <w:rPr>
          <w:sz w:val="20"/>
          <w:szCs w:val="20"/>
          <w:color w:val="auto"/>
        </w:rPr>
      </w:pPr>
      <w:r>
        <w:rPr>
          <w:rFonts w:ascii="Arial" w:cs="Arial" w:eastAsia="Arial" w:hAnsi="Arial"/>
          <w:sz w:val="9"/>
          <w:szCs w:val="9"/>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50"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83" w:lineRule="exact"/>
        <w:rPr>
          <w:sz w:val="20"/>
          <w:szCs w:val="20"/>
          <w:color w:val="auto"/>
        </w:rPr>
      </w:pPr>
    </w:p>
    <w:p>
      <w:pPr>
        <w:ind w:right="220" w:firstLine="674"/>
        <w:spacing w:after="0" w:line="252" w:lineRule="auto"/>
        <w:rPr>
          <w:sz w:val="20"/>
          <w:szCs w:val="20"/>
          <w:color w:val="auto"/>
        </w:rPr>
      </w:pPr>
      <w:r>
        <w:rPr>
          <w:rFonts w:ascii="Arial" w:cs="Arial" w:eastAsia="Arial" w:hAnsi="Arial"/>
          <w:sz w:val="12"/>
          <w:szCs w:val="12"/>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2" w:lineRule="exact"/>
        <w:rPr>
          <w:sz w:val="20"/>
          <w:szCs w:val="20"/>
          <w:color w:val="auto"/>
        </w:rPr>
      </w:pPr>
    </w:p>
    <w:p>
      <w:pPr>
        <w:ind w:left="1120" w:hanging="451"/>
        <w:spacing w:after="0"/>
        <w:tabs>
          <w:tab w:leader="none" w:pos="11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Our quarterly valuation process begins with each portfolio company or investment being initially valued by the investment professionals of our Investment Adviser responsible for the portfolio investment;</w:t>
      </w:r>
    </w:p>
    <w:p>
      <w:pPr>
        <w:spacing w:after="0" w:line="130" w:lineRule="exact"/>
        <w:rPr>
          <w:rFonts w:ascii="Arial" w:cs="Arial" w:eastAsia="Arial" w:hAnsi="Arial"/>
          <w:sz w:val="11"/>
          <w:szCs w:val="11"/>
          <w:color w:val="auto"/>
        </w:rPr>
      </w:pPr>
    </w:p>
    <w:p>
      <w:pPr>
        <w:ind w:left="1120" w:hanging="451"/>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the management of our Investment Adviser;</w:t>
      </w:r>
    </w:p>
    <w:p>
      <w:pPr>
        <w:spacing w:after="0" w:line="118" w:lineRule="exact"/>
        <w:rPr>
          <w:rFonts w:ascii="Arial" w:cs="Arial" w:eastAsia="Arial" w:hAnsi="Arial"/>
          <w:sz w:val="12"/>
          <w:szCs w:val="12"/>
          <w:color w:val="auto"/>
        </w:rPr>
      </w:pPr>
    </w:p>
    <w:p>
      <w:pPr>
        <w:jc w:val="both"/>
        <w:ind w:left="1120" w:right="240" w:hanging="451"/>
        <w:spacing w:after="0" w:line="243" w:lineRule="auto"/>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ind w:left="1120" w:right="380" w:hanging="451"/>
        <w:spacing w:after="0" w:line="297" w:lineRule="auto"/>
        <w:tabs>
          <w:tab w:leader="none" w:pos="1120" w:val="left"/>
        </w:tabs>
        <w:numPr>
          <w:ilvl w:val="1"/>
          <w:numId w:val="33"/>
        </w:numPr>
        <w:rPr>
          <w:rFonts w:ascii="Arial" w:cs="Arial" w:eastAsia="Arial" w:hAnsi="Arial"/>
          <w:sz w:val="11"/>
          <w:szCs w:val="11"/>
          <w:color w:val="auto"/>
        </w:rPr>
      </w:pPr>
      <w:r>
        <w:rPr>
          <w:rFonts w:ascii="Arial" w:cs="Arial" w:eastAsia="Arial" w:hAnsi="Arial"/>
          <w:sz w:val="11"/>
          <w:szCs w:val="11"/>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8" w:lineRule="exact"/>
        <w:rPr>
          <w:rFonts w:ascii="Arial" w:cs="Arial" w:eastAsia="Arial" w:hAnsi="Arial"/>
          <w:sz w:val="11"/>
          <w:szCs w:val="11"/>
          <w:color w:val="auto"/>
        </w:rPr>
      </w:pPr>
    </w:p>
    <w:p>
      <w:pPr>
        <w:ind w:left="1120" w:right="260" w:hanging="451"/>
        <w:spacing w:after="0" w:line="252" w:lineRule="auto"/>
        <w:tabs>
          <w:tab w:leader="none" w:pos="1120" w:val="left"/>
        </w:tabs>
        <w:numPr>
          <w:ilvl w:val="1"/>
          <w:numId w:val="33"/>
        </w:numPr>
        <w:rPr>
          <w:rFonts w:ascii="Arial" w:cs="Arial" w:eastAsia="Arial" w:hAnsi="Arial"/>
          <w:sz w:val="12"/>
          <w:szCs w:val="12"/>
          <w:color w:val="auto"/>
        </w:rPr>
      </w:pPr>
      <w:r>
        <w:rPr>
          <w:rFonts w:ascii="Arial" w:cs="Arial" w:eastAsia="Arial" w:hAnsi="Arial"/>
          <w:sz w:val="12"/>
          <w:szCs w:val="12"/>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88" w:lineRule="exact"/>
        <w:rPr>
          <w:rFonts w:ascii="Arial" w:cs="Arial" w:eastAsia="Arial" w:hAnsi="Arial"/>
          <w:sz w:val="12"/>
          <w:szCs w:val="12"/>
          <w:color w:val="auto"/>
        </w:rPr>
      </w:pPr>
    </w:p>
    <w:p>
      <w:pPr>
        <w:ind w:left="180" w:hanging="172"/>
        <w:spacing w:after="0"/>
        <w:tabs>
          <w:tab w:leader="none" w:pos="180" w:val="left"/>
        </w:tabs>
        <w:numPr>
          <w:ilvl w:val="0"/>
          <w:numId w:val="3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Security Transactions, Revenue Recognition, and Realized / Unrealized Gains or Losses</w:t>
      </w:r>
    </w:p>
    <w:p>
      <w:pPr>
        <w:spacing w:after="0" w:line="105" w:lineRule="exact"/>
        <w:rPr>
          <w:sz w:val="20"/>
          <w:szCs w:val="20"/>
          <w:color w:val="auto"/>
        </w:rPr>
      </w:pPr>
    </w:p>
    <w:p>
      <w:pPr>
        <w:ind w:right="160" w:firstLine="674"/>
        <w:spacing w:after="0" w:line="364" w:lineRule="auto"/>
        <w:rPr>
          <w:sz w:val="20"/>
          <w:szCs w:val="20"/>
          <w:color w:val="auto"/>
        </w:rPr>
      </w:pPr>
      <w:r>
        <w:rPr>
          <w:rFonts w:ascii="Arial" w:cs="Arial" w:eastAsia="Arial" w:hAnsi="Arial"/>
          <w:sz w:val="9"/>
          <w:szCs w:val="9"/>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42" w:lineRule="exact"/>
        <w:rPr>
          <w:sz w:val="20"/>
          <w:szCs w:val="20"/>
          <w:color w:val="auto"/>
        </w:rPr>
      </w:pPr>
    </w:p>
    <w:p>
      <w:pPr>
        <w:ind w:right="40" w:firstLine="674"/>
        <w:spacing w:after="0" w:line="239"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96" w:lineRule="exact"/>
        <w:rPr>
          <w:sz w:val="20"/>
          <w:szCs w:val="20"/>
          <w:color w:val="auto"/>
        </w:rPr>
      </w:pPr>
    </w:p>
    <w:p>
      <w:pPr>
        <w:jc w:val="both"/>
        <w:ind w:firstLine="674"/>
        <w:spacing w:after="0" w:line="243"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 Income Taxes</w:t>
      </w:r>
    </w:p>
    <w:p>
      <w:pPr>
        <w:spacing w:after="0" w:line="105" w:lineRule="exact"/>
        <w:rPr>
          <w:sz w:val="20"/>
          <w:szCs w:val="20"/>
          <w:color w:val="auto"/>
        </w:rPr>
      </w:pPr>
    </w:p>
    <w:p>
      <w:pPr>
        <w:ind w:firstLine="674"/>
        <w:spacing w:after="0" w:line="347" w:lineRule="auto"/>
        <w:rPr>
          <w:sz w:val="20"/>
          <w:szCs w:val="20"/>
          <w:color w:val="auto"/>
        </w:rPr>
      </w:pPr>
      <w:r>
        <w:rPr>
          <w:rFonts w:ascii="Arial" w:cs="Arial" w:eastAsia="Arial" w:hAnsi="Arial"/>
          <w:sz w:val="9"/>
          <w:szCs w:val="9"/>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 estimated excise taxes of $(0.1) million, $0.3 million and $0.2 million for the fiscal years ended September 30, 2013, 2012 and 2011, respectively.</w:t>
      </w:r>
    </w:p>
    <w:p>
      <w:pPr>
        <w:spacing w:after="0" w:line="50" w:lineRule="exact"/>
        <w:rPr>
          <w:sz w:val="20"/>
          <w:szCs w:val="20"/>
          <w:color w:val="auto"/>
        </w:rPr>
      </w:pPr>
    </w:p>
    <w:p>
      <w:pPr>
        <w:ind w:firstLine="674"/>
        <w:spacing w:after="0" w:line="276" w:lineRule="auto"/>
        <w:rPr>
          <w:sz w:val="20"/>
          <w:szCs w:val="20"/>
          <w:color w:val="auto"/>
        </w:rPr>
      </w:pPr>
      <w:r>
        <w:rPr>
          <w:rFonts w:ascii="Arial" w:cs="Arial" w:eastAsia="Arial" w:hAnsi="Arial"/>
          <w:sz w:val="11"/>
          <w:szCs w:val="11"/>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77" w:lineRule="exact"/>
        <w:rPr>
          <w:sz w:val="20"/>
          <w:szCs w:val="20"/>
          <w:color w:val="auto"/>
        </w:rPr>
      </w:pPr>
    </w:p>
    <w:p>
      <w:pPr>
        <w:ind w:right="40" w:firstLine="674"/>
        <w:spacing w:after="0" w:line="364" w:lineRule="auto"/>
        <w:rPr>
          <w:sz w:val="20"/>
          <w:szCs w:val="20"/>
          <w:color w:val="auto"/>
        </w:rPr>
      </w:pPr>
      <w:r>
        <w:rPr>
          <w:rFonts w:ascii="Arial" w:cs="Arial" w:eastAsia="Arial" w:hAnsi="Arial"/>
          <w:sz w:val="9"/>
          <w:szCs w:val="9"/>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 Distributions and Capital Transactions</w:t>
      </w:r>
    </w:p>
    <w:p>
      <w:pPr>
        <w:spacing w:after="0" w:line="105" w:lineRule="exact"/>
        <w:rPr>
          <w:sz w:val="20"/>
          <w:szCs w:val="20"/>
          <w:color w:val="auto"/>
        </w:rPr>
      </w:pPr>
    </w:p>
    <w:p>
      <w:pPr>
        <w:ind w:right="60" w:firstLine="674"/>
        <w:spacing w:after="0" w:line="243" w:lineRule="auto"/>
        <w:rPr>
          <w:sz w:val="20"/>
          <w:szCs w:val="20"/>
          <w:color w:val="auto"/>
        </w:rPr>
      </w:pPr>
      <w:r>
        <w:rPr>
          <w:rFonts w:ascii="Arial" w:cs="Arial" w:eastAsia="Arial" w:hAnsi="Arial"/>
          <w:sz w:val="12"/>
          <w:szCs w:val="12"/>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94" w:lineRule="exact"/>
        <w:rPr>
          <w:sz w:val="20"/>
          <w:szCs w:val="20"/>
          <w:color w:val="auto"/>
        </w:rPr>
      </w:pPr>
    </w:p>
    <w:p>
      <w:pPr>
        <w:ind w:right="400" w:firstLine="674"/>
        <w:spacing w:after="0" w:line="252" w:lineRule="auto"/>
        <w:rPr>
          <w:sz w:val="20"/>
          <w:szCs w:val="20"/>
          <w:color w:val="auto"/>
        </w:rPr>
      </w:pPr>
      <w:r>
        <w:rPr>
          <w:rFonts w:ascii="Arial" w:cs="Arial" w:eastAsia="Arial" w:hAnsi="Arial"/>
          <w:sz w:val="12"/>
          <w:szCs w:val="12"/>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 Consolidation</w:t>
      </w:r>
    </w:p>
    <w:p>
      <w:pPr>
        <w:spacing w:after="0" w:line="105" w:lineRule="exact"/>
        <w:rPr>
          <w:sz w:val="20"/>
          <w:szCs w:val="20"/>
          <w:color w:val="auto"/>
        </w:rPr>
      </w:pPr>
    </w:p>
    <w:p>
      <w:pPr>
        <w:ind w:right="300" w:firstLine="674"/>
        <w:spacing w:after="0" w:line="297" w:lineRule="auto"/>
        <w:rPr>
          <w:sz w:val="20"/>
          <w:szCs w:val="20"/>
          <w:color w:val="auto"/>
        </w:rPr>
      </w:pPr>
      <w:r>
        <w:rPr>
          <w:rFonts w:ascii="Arial" w:cs="Arial" w:eastAsia="Arial" w:hAnsi="Arial"/>
          <w:sz w:val="11"/>
          <w:szCs w:val="11"/>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AGREEMENTS</w:t>
      </w:r>
    </w:p>
    <w:p>
      <w:pPr>
        <w:spacing w:after="0" w:line="107" w:lineRule="exact"/>
        <w:rPr>
          <w:sz w:val="20"/>
          <w:szCs w:val="20"/>
          <w:color w:val="auto"/>
        </w:rPr>
      </w:pPr>
    </w:p>
    <w:p>
      <w:pPr>
        <w:ind w:right="220" w:firstLine="674"/>
        <w:spacing w:after="0"/>
        <w:rPr>
          <w:sz w:val="20"/>
          <w:szCs w:val="20"/>
          <w:color w:val="auto"/>
        </w:rPr>
      </w:pPr>
      <w:r>
        <w:rPr>
          <w:rFonts w:ascii="Arial" w:cs="Arial" w:eastAsia="Arial" w:hAnsi="Arial"/>
          <w:sz w:val="12"/>
          <w:szCs w:val="12"/>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96" w:lineRule="exact"/>
        <w:rPr>
          <w:sz w:val="20"/>
          <w:szCs w:val="20"/>
          <w:color w:val="auto"/>
        </w:rPr>
      </w:pPr>
    </w:p>
    <w:p>
      <w:pPr>
        <w:ind w:right="20" w:firstLine="674"/>
        <w:spacing w:after="0" w:line="338" w:lineRule="auto"/>
        <w:rPr>
          <w:sz w:val="20"/>
          <w:szCs w:val="20"/>
          <w:color w:val="auto"/>
        </w:rPr>
      </w:pPr>
      <w:r>
        <w:rPr>
          <w:rFonts w:ascii="Arial" w:cs="Arial" w:eastAsia="Arial" w:hAnsi="Arial"/>
          <w:sz w:val="9"/>
          <w:szCs w:val="9"/>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incentive fee has two parts, as follows:</w:t>
      </w:r>
    </w:p>
    <w:p>
      <w:pPr>
        <w:spacing w:after="0" w:line="105" w:lineRule="exact"/>
        <w:rPr>
          <w:sz w:val="20"/>
          <w:szCs w:val="20"/>
          <w:color w:val="auto"/>
        </w:rPr>
      </w:pPr>
    </w:p>
    <w:p>
      <w:pPr>
        <w:ind w:firstLine="674"/>
        <w:spacing w:after="0" w:line="325" w:lineRule="auto"/>
        <w:rPr>
          <w:sz w:val="20"/>
          <w:szCs w:val="20"/>
          <w:color w:val="auto"/>
        </w:rPr>
      </w:pPr>
      <w:r>
        <w:rPr>
          <w:rFonts w:ascii="Arial" w:cs="Arial" w:eastAsia="Arial" w:hAnsi="Arial"/>
          <w:sz w:val="9"/>
          <w:szCs w:val="9"/>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197" w:lineRule="exact"/>
        <w:rPr>
          <w:sz w:val="20"/>
          <w:szCs w:val="20"/>
          <w:color w:val="auto"/>
        </w:rPr>
      </w:pPr>
    </w:p>
    <w:p>
      <w:pPr>
        <w:jc w:val="both"/>
        <w:ind w:right="20" w:firstLine="674"/>
        <w:spacing w:after="0"/>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96" w:lineRule="exact"/>
        <w:rPr>
          <w:sz w:val="20"/>
          <w:szCs w:val="20"/>
          <w:color w:val="auto"/>
        </w:rPr>
      </w:pPr>
    </w:p>
    <w:p>
      <w:pPr>
        <w:ind w:firstLine="674"/>
        <w:spacing w:after="0" w:line="337" w:lineRule="auto"/>
        <w:rPr>
          <w:sz w:val="20"/>
          <w:szCs w:val="20"/>
          <w:color w:val="auto"/>
        </w:rPr>
      </w:pPr>
      <w:r>
        <w:rPr>
          <w:rFonts w:ascii="Arial" w:cs="Arial" w:eastAsia="Arial" w:hAnsi="Arial"/>
          <w:sz w:val="9"/>
          <w:szCs w:val="9"/>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191" w:lineRule="exact"/>
        <w:rPr>
          <w:sz w:val="20"/>
          <w:szCs w:val="20"/>
          <w:color w:val="auto"/>
        </w:rPr>
      </w:pPr>
    </w:p>
    <w:p>
      <w:pPr>
        <w:ind w:firstLine="674"/>
        <w:spacing w:after="0" w:line="263" w:lineRule="auto"/>
        <w:rPr>
          <w:sz w:val="20"/>
          <w:szCs w:val="20"/>
          <w:color w:val="auto"/>
        </w:rPr>
      </w:pPr>
      <w:r>
        <w:rPr>
          <w:rFonts w:ascii="Arial" w:cs="Arial" w:eastAsia="Arial" w:hAnsi="Arial"/>
          <w:sz w:val="11"/>
          <w:szCs w:val="11"/>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83" w:lineRule="exact"/>
        <w:rPr>
          <w:sz w:val="20"/>
          <w:szCs w:val="20"/>
          <w:color w:val="auto"/>
        </w:rPr>
      </w:pPr>
    </w:p>
    <w:p>
      <w:pPr>
        <w:ind w:right="60" w:firstLine="674"/>
        <w:spacing w:after="0" w:line="338" w:lineRule="auto"/>
        <w:rPr>
          <w:sz w:val="20"/>
          <w:szCs w:val="20"/>
          <w:color w:val="auto"/>
        </w:rPr>
      </w:pPr>
      <w:r>
        <w:rPr>
          <w:rFonts w:ascii="Arial" w:cs="Arial" w:eastAsia="Arial" w:hAnsi="Arial"/>
          <w:sz w:val="9"/>
          <w:szCs w:val="9"/>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SEPTEMBER 30, 2013</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w:t>
      </w:r>
    </w:p>
    <w:p>
      <w:pPr>
        <w:spacing w:after="0" w:line="107" w:lineRule="exact"/>
        <w:rPr>
          <w:sz w:val="20"/>
          <w:szCs w:val="20"/>
          <w:color w:val="auto"/>
        </w:rPr>
      </w:pPr>
    </w:p>
    <w:p>
      <w:pPr>
        <w:ind w:right="180" w:firstLine="674"/>
        <w:spacing w:after="0" w:line="252" w:lineRule="auto"/>
        <w:rPr>
          <w:sz w:val="20"/>
          <w:szCs w:val="20"/>
          <w:color w:val="auto"/>
        </w:rPr>
      </w:pPr>
      <w:r>
        <w:rPr>
          <w:rFonts w:ascii="Arial" w:cs="Arial" w:eastAsia="Arial" w:hAnsi="Arial"/>
          <w:sz w:val="12"/>
          <w:szCs w:val="12"/>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88"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Investments and cash equivalents consisted of the following:</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Investment Classification</w:t>
            </w: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2"/>
                <w:szCs w:val="12"/>
                <w:b w:val="1"/>
                <w:bCs w:val="1"/>
                <w:color w:val="auto"/>
              </w:rPr>
              <w:t>September 30, 2013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2"/>
                <w:szCs w:val="12"/>
                <w:b w:val="1"/>
                <w:bCs w:val="1"/>
                <w:color w:val="auto"/>
                <w:w w:val="85"/>
              </w:rPr>
              <w:t>September 30, 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7"/>
              </w:rPr>
              <w:t>Fair Value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28"/>
        </w:trPr>
        <w:tc>
          <w:tcPr>
            <w:tcW w:w="60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First lien</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8"/>
              </w:rPr>
              <w:t>290,000,430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w w:val="98"/>
              </w:rPr>
              <w:t>299,516,291</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289,964,255</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291,677,553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60" w:type="dxa"/>
            <w:vAlign w:val="bottom"/>
            <w:gridSpan w:val="3"/>
          </w:tcPr>
          <w:p>
            <w:pPr>
              <w:spacing w:after="0"/>
              <w:rPr>
                <w:sz w:val="20"/>
                <w:szCs w:val="20"/>
                <w:color w:val="auto"/>
              </w:rPr>
            </w:pPr>
            <w:r>
              <w:rPr>
                <w:rFonts w:ascii="Arial" w:cs="Arial" w:eastAsia="Arial" w:hAnsi="Arial"/>
                <w:sz w:val="12"/>
                <w:szCs w:val="12"/>
                <w:color w:val="auto"/>
              </w:rPr>
              <w:t>Second lien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346,717,448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357,543,217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w w:val="95"/>
              </w:rPr>
              <w:t>208,454,615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191,339,241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Subordinated debt / corporate notes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311,240,637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8"/>
              </w:rPr>
              <w:t>302,447,308</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5"/>
              </w:rPr>
              <w:t>404,507,916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400,682,637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gridSpan w:val="3"/>
          </w:tcPr>
          <w:p>
            <w:pPr>
              <w:spacing w:after="0"/>
              <w:rPr>
                <w:sz w:val="20"/>
                <w:szCs w:val="20"/>
                <w:color w:val="auto"/>
              </w:rPr>
            </w:pPr>
            <w:r>
              <w:rPr>
                <w:rFonts w:ascii="Arial" w:cs="Arial" w:eastAsia="Arial" w:hAnsi="Arial"/>
                <w:sz w:val="12"/>
                <w:szCs w:val="12"/>
                <w:color w:val="auto"/>
              </w:rPr>
              <w:t>Preferred equity and partnership interests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65,943,244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12,830,669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49,222,034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19,634,989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Common equity and partnership interests</w:t>
            </w: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77,616,126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8"/>
              </w:rPr>
              <w:t>105,838,068</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56,463,042</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87,145,290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60" w:type="dxa"/>
            <w:vAlign w:val="bottom"/>
            <w:gridSpan w:val="3"/>
          </w:tcPr>
          <w:p>
            <w:pPr>
              <w:spacing w:after="0"/>
              <w:rPr>
                <w:sz w:val="20"/>
                <w:szCs w:val="20"/>
                <w:color w:val="auto"/>
              </w:rPr>
            </w:pPr>
            <w:r>
              <w:rPr>
                <w:rFonts w:ascii="Arial" w:cs="Arial" w:eastAsia="Arial" w:hAnsi="Arial"/>
                <w:sz w:val="12"/>
                <w:szCs w:val="12"/>
                <w:color w:val="auto"/>
              </w:rPr>
              <w:t>Total investments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85"/>
              </w:rPr>
              <w:t>1,091,517,885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w w:val="85"/>
              </w:rPr>
              <w:t>1,078,175,553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w w:val="83"/>
              </w:rPr>
              <w:t>1,008,611,862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990,479,710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58,440,829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58,440,829</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7,559,453</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7,559,453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60" w:type="dxa"/>
            <w:vAlign w:val="bottom"/>
            <w:gridSpan w:val="3"/>
          </w:tcPr>
          <w:p>
            <w:pPr>
              <w:spacing w:after="0"/>
              <w:rPr>
                <w:sz w:val="20"/>
                <w:szCs w:val="20"/>
                <w:color w:val="auto"/>
              </w:rPr>
            </w:pPr>
            <w:r>
              <w:rPr>
                <w:rFonts w:ascii="Arial" w:cs="Arial" w:eastAsia="Arial" w:hAnsi="Arial"/>
                <w:sz w:val="12"/>
                <w:szCs w:val="12"/>
                <w:color w:val="auto"/>
              </w:rPr>
              <w:t>Total investments, cash and cash equivalents</w:t>
            </w:r>
          </w:p>
        </w:tc>
        <w:tc>
          <w:tcPr>
            <w:tcW w:w="60" w:type="dxa"/>
            <w:vAlign w:val="bottom"/>
            <w:gridSpan w:val="2"/>
          </w:tcPr>
          <w:p>
            <w:pPr>
              <w:jc w:val="right"/>
              <w:spacing w:after="0"/>
              <w:rPr>
                <w:sz w:val="20"/>
                <w:szCs w:val="20"/>
                <w:color w:val="auto"/>
              </w:rPr>
            </w:pPr>
            <w:r>
              <w:rPr>
                <w:rFonts w:ascii="Arial" w:cs="Arial" w:eastAsia="Arial" w:hAnsi="Arial"/>
                <w:sz w:val="9"/>
                <w:szCs w:val="9"/>
                <w:u w:val="single" w:color="auto"/>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85"/>
              </w:rPr>
              <w:t>1,149,958,714</w:t>
            </w:r>
          </w:p>
        </w:tc>
        <w:tc>
          <w:tcPr>
            <w:tcW w:w="34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w w:val="85"/>
              </w:rPr>
              <w:t>1,136,616,382</w:t>
            </w:r>
          </w:p>
        </w:tc>
        <w:tc>
          <w:tcPr>
            <w:tcW w:w="360" w:type="dxa"/>
            <w:vAlign w:val="bottom"/>
            <w:gridSpan w:val="3"/>
          </w:tcPr>
          <w:p>
            <w:pPr>
              <w:ind w:left="280"/>
              <w:spacing w:after="0"/>
              <w:rPr>
                <w:sz w:val="20"/>
                <w:szCs w:val="20"/>
                <w:color w:val="auto"/>
              </w:rPr>
            </w:pPr>
            <w:r>
              <w:rPr>
                <w:rFonts w:ascii="Arial" w:cs="Arial" w:eastAsia="Arial" w:hAnsi="Arial"/>
                <w:sz w:val="12"/>
                <w:szCs w:val="12"/>
                <w:u w:val="single" w:color="auto"/>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w w:val="83"/>
              </w:rPr>
              <w:t>1,016,171,315</w:t>
            </w:r>
          </w:p>
        </w:tc>
        <w:tc>
          <w:tcPr>
            <w:tcW w:w="34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998,039,163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00" w:type="dxa"/>
            <w:vAlign w:val="bottom"/>
            <w:gridSpan w:val="17"/>
          </w:tcPr>
          <w:p>
            <w:pPr>
              <w:ind w:left="220"/>
              <w:spacing w:after="0"/>
              <w:rPr>
                <w:sz w:val="20"/>
                <w:szCs w:val="20"/>
                <w:color w:val="auto"/>
              </w:rPr>
            </w:pPr>
            <w:r>
              <w:rPr>
                <w:rFonts w:ascii="Arial" w:cs="Arial" w:eastAsia="Arial" w:hAnsi="Arial"/>
                <w:sz w:val="12"/>
                <w:szCs w:val="12"/>
                <w:color w:val="auto"/>
                <w:w w:val="89"/>
              </w:rPr>
              <w:t>The table below describes investments by industry classification and enumerates the percentage, by fair value, of the total portfolio assets (excluding cash equivalents) in such industries: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2"/>
                <w:szCs w:val="22"/>
                <w:color w:val="auto"/>
              </w:rPr>
            </w:pPr>
          </w:p>
        </w:tc>
        <w:tc>
          <w:tcPr>
            <w:tcW w:w="4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Industry Classification</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40" w:type="dxa"/>
            <w:vAlign w:val="bottom"/>
            <w:gridSpan w:val="7"/>
          </w:tcPr>
          <w:p>
            <w:pPr>
              <w:ind w:left="180"/>
              <w:spacing w:after="0"/>
              <w:rPr>
                <w:sz w:val="20"/>
                <w:szCs w:val="20"/>
                <w:color w:val="auto"/>
              </w:rPr>
            </w:pPr>
            <w:r>
              <w:rPr>
                <w:rFonts w:ascii="Arial" w:cs="Arial" w:eastAsia="Arial" w:hAnsi="Arial"/>
                <w:sz w:val="12"/>
                <w:szCs w:val="12"/>
                <w:b w:val="1"/>
                <w:bCs w:val="1"/>
                <w:color w:val="auto"/>
              </w:rPr>
              <w:t>As of September 30,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ind w:left="280"/>
              <w:spacing w:after="0"/>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20" w:type="dxa"/>
            <w:vAlign w:val="bottom"/>
          </w:tcPr>
          <w:p>
            <w:pPr>
              <w:spacing w:after="0"/>
              <w:rPr>
                <w:sz w:val="11"/>
                <w:szCs w:val="11"/>
                <w:color w:val="auto"/>
              </w:rPr>
            </w:pPr>
          </w:p>
        </w:tc>
        <w:tc>
          <w:tcPr>
            <w:tcW w:w="47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Personal, Food and Miscellaneous Services</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3"/>
            <w:shd w:val="clear" w:color="auto" w:fill="CCEEFF"/>
          </w:tcPr>
          <w:p>
            <w:pPr>
              <w:ind w:left="260"/>
              <w:spacing w:after="0" w:line="129" w:lineRule="exact"/>
              <w:rPr>
                <w:sz w:val="20"/>
                <w:szCs w:val="20"/>
                <w:color w:val="auto"/>
              </w:rPr>
            </w:pPr>
            <w:r>
              <w:rPr>
                <w:rFonts w:ascii="Arial" w:cs="Arial" w:eastAsia="Arial" w:hAnsi="Arial"/>
                <w:sz w:val="12"/>
                <w:szCs w:val="12"/>
                <w:color w:val="auto"/>
              </w:rPr>
              <w:t>4%</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Printing and Publishing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9</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Business Services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8</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6</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Electronics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8</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Energy/Utilities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8</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7</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Healthcare, Education and Childcare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7</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Oil and Gas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7</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3</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6</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Consumer Products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5</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Hotels, Motels, Inns and Gaming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Media</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5</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4</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Auto Sector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4</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Communication</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3</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3</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Distribution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Diversified Natural Resources, Precious Metals and Minerals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2</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3</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Environmental Services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Cargo Transport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6</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Education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Mining, Steel, Iron and Non-Precious Metals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3</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Insurance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202"/>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2"/>
                <w:szCs w:val="12"/>
                <w:color w:val="auto"/>
              </w:rPr>
            </w:pP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Aerospace and Defense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340"/>
              <w:spacing w:after="0"/>
              <w:rPr>
                <w:sz w:val="20"/>
                <w:szCs w:val="20"/>
                <w:color w:val="auto"/>
              </w:rPr>
            </w:pPr>
            <w:r>
              <w:rPr>
                <w:rFonts w:ascii="Arial" w:cs="Arial" w:eastAsia="Arial" w:hAnsi="Arial"/>
                <w:sz w:val="12"/>
                <w:szCs w:val="12"/>
                <w:color w:val="auto"/>
                <w:w w:val="99"/>
              </w:rPr>
              <w:t>—</w:t>
            </w: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Buildings and Real Estate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w:t>
            </w: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Leisure, Amusement, Motion Pictures, Entertainment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340"/>
              <w:spacing w:after="0"/>
              <w:rPr>
                <w:sz w:val="20"/>
                <w:szCs w:val="20"/>
                <w:color w:val="auto"/>
              </w:rPr>
            </w:pPr>
            <w:r>
              <w:rPr>
                <w:rFonts w:ascii="Arial" w:cs="Arial" w:eastAsia="Arial" w:hAnsi="Arial"/>
                <w:sz w:val="12"/>
                <w:szCs w:val="12"/>
                <w:color w:val="auto"/>
                <w:w w:val="99"/>
              </w:rPr>
              <w:t>—</w:t>
            </w:r>
          </w:p>
        </w:tc>
        <w:tc>
          <w:tcPr>
            <w:tcW w:w="360" w:type="dxa"/>
            <w:vAlign w:val="bottom"/>
            <w:gridSpan w:val="3"/>
            <w:shd w:val="clear" w:color="auto" w:fill="CCEEFF"/>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Telecommunications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w:t>
            </w:r>
          </w:p>
        </w:tc>
        <w:tc>
          <w:tcPr>
            <w:tcW w:w="360" w:type="dxa"/>
            <w:vAlign w:val="bottom"/>
            <w:gridSpan w:val="3"/>
          </w:tcPr>
          <w:p>
            <w:pPr>
              <w:ind w:left="300"/>
              <w:spacing w:after="0"/>
              <w:rPr>
                <w:sz w:val="20"/>
                <w:szCs w:val="20"/>
                <w:color w:val="auto"/>
              </w:rPr>
            </w:pPr>
            <w:r>
              <w:rPr>
                <w:rFonts w:ascii="Arial" w:cs="Arial" w:eastAsia="Arial" w:hAnsi="Arial"/>
                <w:sz w:val="9"/>
                <w:szCs w:val="9"/>
                <w:color w:val="auto"/>
                <w:w w:val="78"/>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9"/>
                <w:szCs w:val="9"/>
                <w:color w:val="auto"/>
                <w:w w:val="78"/>
              </w:rPr>
              <w:t>5</w:t>
            </w:r>
          </w:p>
        </w:tc>
        <w:tc>
          <w:tcPr>
            <w:tcW w:w="380" w:type="dxa"/>
            <w:vAlign w:val="bottom"/>
            <w:tcBorders>
              <w:bottom w:val="single" w:sz="8" w:color="auto"/>
            </w:tcBorders>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2"/>
                <w:szCs w:val="12"/>
                <w:color w:val="auto"/>
              </w:rPr>
              <w:t>100%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OF FINANCIAL INSTRUMENTS</w:t>
      </w:r>
    </w:p>
    <w:p>
      <w:pPr>
        <w:spacing w:after="0" w:line="107" w:lineRule="exact"/>
        <w:rPr>
          <w:sz w:val="20"/>
          <w:szCs w:val="20"/>
          <w:color w:val="auto"/>
        </w:rPr>
      </w:pPr>
    </w:p>
    <w:p>
      <w:pPr>
        <w:ind w:firstLine="674"/>
        <w:spacing w:after="0" w:line="347" w:lineRule="auto"/>
        <w:rPr>
          <w:sz w:val="20"/>
          <w:szCs w:val="20"/>
          <w:color w:val="auto"/>
        </w:rPr>
      </w:pPr>
      <w:r>
        <w:rPr>
          <w:rFonts w:ascii="Arial" w:cs="Arial" w:eastAsia="Arial" w:hAnsi="Arial"/>
          <w:sz w:val="9"/>
          <w:szCs w:val="9"/>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ASC 820 classifies the inputs used to measure these fair values into the following hierarchies:</w:t>
      </w:r>
    </w:p>
    <w:p>
      <w:pPr>
        <w:sectPr>
          <w:pgSz w:w="11900" w:h="16838" w:orient="portrait"/>
          <w:cols w:equalWidth="0" w:num="1">
            <w:col w:w="11220"/>
          </w:cols>
          <w:pgMar w:left="320" w:top="459" w:right="359" w:bottom="1440" w:gutter="0" w:footer="0" w:header="0"/>
        </w:sectPr>
      </w:pPr>
    </w:p>
    <w:p>
      <w:pPr>
        <w:spacing w:after="0" w:line="119" w:lineRule="exact"/>
        <w:rPr>
          <w:sz w:val="20"/>
          <w:szCs w:val="20"/>
          <w:color w:val="auto"/>
        </w:rPr>
      </w:pPr>
    </w:p>
    <w:p>
      <w:pPr>
        <w:ind w:left="460"/>
        <w:spacing w:after="0"/>
        <w:rPr>
          <w:sz w:val="20"/>
          <w:szCs w:val="20"/>
          <w:color w:val="auto"/>
        </w:rPr>
      </w:pPr>
      <w:r>
        <w:rPr>
          <w:rFonts w:ascii="Arial" w:cs="Arial" w:eastAsia="Arial" w:hAnsi="Arial"/>
          <w:sz w:val="9"/>
          <w:szCs w:val="9"/>
          <w:color w:val="auto"/>
        </w:rPr>
        <w:t>Level 1:</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9"/>
          <w:szCs w:val="9"/>
          <w:color w:val="auto"/>
        </w:rPr>
        <w:t>Level 2:</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9"/>
          <w:szCs w:val="9"/>
          <w:color w:val="auto"/>
        </w:rPr>
        <w:t>Level 3:</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05" w:lineRule="exact"/>
        <w:rPr>
          <w:sz w:val="20"/>
          <w:szCs w:val="20"/>
          <w:color w:val="auto"/>
        </w:rPr>
      </w:pPr>
    </w:p>
    <w:p>
      <w:pPr>
        <w:ind w:right="620"/>
        <w:spacing w:after="0" w:line="252" w:lineRule="auto"/>
        <w:rPr>
          <w:sz w:val="20"/>
          <w:szCs w:val="20"/>
          <w:color w:val="auto"/>
        </w:rPr>
      </w:pP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2" w:lineRule="exact"/>
        <w:rPr>
          <w:sz w:val="20"/>
          <w:szCs w:val="20"/>
          <w:color w:val="auto"/>
        </w:rPr>
      </w:pPr>
    </w:p>
    <w:p>
      <w:pPr>
        <w:jc w:val="center"/>
        <w:ind w:right="1940"/>
        <w:spacing w:after="0"/>
        <w:rPr>
          <w:sz w:val="20"/>
          <w:szCs w:val="20"/>
          <w:color w:val="auto"/>
        </w:rPr>
      </w:pPr>
      <w:r>
        <w:rPr>
          <w:rFonts w:ascii="Arial" w:cs="Arial" w:eastAsia="Arial" w:hAnsi="Arial"/>
          <w:sz w:val="9"/>
          <w:szCs w:val="9"/>
          <w:color w:val="auto"/>
        </w:rPr>
        <w:t>Inputs that are unobservable for an asset or liability because they are based on our own assumptions about how market participants would price the asset or liability.</w:t>
      </w:r>
    </w:p>
    <w:p>
      <w:pPr>
        <w:spacing w:after="0" w:line="180"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60</w:t>
      </w:r>
    </w:p>
    <w:p>
      <w:pPr>
        <w:sectPr>
          <w:pgSz w:w="11900" w:h="16838" w:orient="portrait"/>
          <w:cols w:equalWidth="0" w:num="2">
            <w:col w:w="880" w:space="720"/>
            <w:col w:w="9620"/>
          </w:cols>
          <w:pgMar w:left="320" w:top="459"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jc w:val="both"/>
        <w:ind w:right="420" w:firstLine="674"/>
        <w:spacing w:after="0" w:line="243"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4" w:lineRule="exact"/>
        <w:rPr>
          <w:sz w:val="20"/>
          <w:szCs w:val="20"/>
          <w:color w:val="auto"/>
        </w:rPr>
      </w:pPr>
    </w:p>
    <w:p>
      <w:pPr>
        <w:ind w:right="40" w:firstLine="674"/>
        <w:spacing w:after="0"/>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6" w:lineRule="exact"/>
        <w:rPr>
          <w:sz w:val="20"/>
          <w:szCs w:val="20"/>
          <w:color w:val="auto"/>
        </w:rPr>
      </w:pPr>
    </w:p>
    <w:p>
      <w:pPr>
        <w:ind w:right="40" w:firstLine="674"/>
        <w:spacing w:after="0" w:line="264" w:lineRule="auto"/>
        <w:rPr>
          <w:sz w:val="20"/>
          <w:szCs w:val="20"/>
          <w:color w:val="auto"/>
        </w:rPr>
      </w:pPr>
      <w:r>
        <w:rPr>
          <w:rFonts w:ascii="Arial" w:cs="Arial" w:eastAsia="Arial" w:hAnsi="Arial"/>
          <w:sz w:val="11"/>
          <w:szCs w:val="11"/>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83" w:lineRule="exact"/>
        <w:rPr>
          <w:sz w:val="20"/>
          <w:szCs w:val="20"/>
          <w:color w:val="auto"/>
        </w:rPr>
      </w:pPr>
    </w:p>
    <w:p>
      <w:pPr>
        <w:ind w:right="20" w:firstLine="674"/>
        <w:spacing w:after="0"/>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9"/>
          <w:szCs w:val="9"/>
          <w:color w:val="auto"/>
        </w:rPr>
        <w:t>In addition to using the above inputs in cash equivalents, investments, the 2025 Notes and our Credit Facility valuations, we employ the valuation policy approved by our board of directors that is consistent with ASC 820.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Consistent with our valuation policy, we evaluate the source of inputs, including any markets in which our investments are trading, in determining fair value. See Note 2.</w:t>
      </w:r>
    </w:p>
    <w:p>
      <w:pPr>
        <w:spacing w:after="0" w:line="95" w:lineRule="exact"/>
        <w:rPr>
          <w:sz w:val="20"/>
          <w:szCs w:val="20"/>
          <w:color w:val="auto"/>
        </w:rPr>
      </w:pPr>
    </w:p>
    <w:p>
      <w:pPr>
        <w:ind w:right="160" w:firstLine="674"/>
        <w:spacing w:after="0" w:line="276" w:lineRule="auto"/>
        <w:rPr>
          <w:sz w:val="20"/>
          <w:szCs w:val="20"/>
          <w:color w:val="auto"/>
        </w:rPr>
      </w:pPr>
      <w:r>
        <w:rPr>
          <w:rFonts w:ascii="Arial" w:cs="Arial" w:eastAsia="Arial" w:hAnsi="Arial"/>
          <w:sz w:val="11"/>
          <w:szCs w:val="11"/>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20" w:firstLine="674"/>
        <w:spacing w:after="0" w:line="333" w:lineRule="auto"/>
        <w:rPr>
          <w:sz w:val="20"/>
          <w:szCs w:val="20"/>
          <w:color w:val="auto"/>
        </w:rPr>
      </w:pPr>
      <w:r>
        <w:rPr>
          <w:rFonts w:ascii="Arial" w:cs="Arial" w:eastAsia="Arial" w:hAnsi="Arial"/>
          <w:sz w:val="9"/>
          <w:szCs w:val="9"/>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ectPr>
          <w:pgSz w:w="11900" w:h="16838" w:orient="portrait"/>
          <w:cols w:equalWidth="0" w:num="1">
            <w:col w:w="11240"/>
          </w:cols>
          <w:pgMar w:left="320" w:top="459"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Category</w:t>
      </w:r>
    </w:p>
    <w:p>
      <w:pPr>
        <w:spacing w:after="0" w:line="26" w:lineRule="exact"/>
        <w:rPr>
          <w:sz w:val="20"/>
          <w:szCs w:val="20"/>
          <w:color w:val="auto"/>
        </w:rPr>
      </w:pPr>
    </w:p>
    <w:p>
      <w:pPr>
        <w:ind w:right="1440"/>
        <w:spacing w:after="0" w:line="328" w:lineRule="auto"/>
        <w:rPr>
          <w:sz w:val="20"/>
          <w:szCs w:val="20"/>
          <w:color w:val="auto"/>
        </w:rPr>
      </w:pPr>
      <w:r>
        <w:rPr>
          <w:rFonts w:ascii="Arial" w:cs="Arial" w:eastAsia="Arial" w:hAnsi="Arial"/>
          <w:sz w:val="9"/>
          <w:szCs w:val="9"/>
          <w:color w:val="auto"/>
        </w:rPr>
        <w:t>First lien, second lien, subordinated debt/corporate notes First lien, second lien, subordinated debt/corporate notes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Preferred and common equity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Fair Value at</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Range of Input</w:t>
            </w:r>
          </w:p>
        </w:tc>
      </w:tr>
      <w:tr>
        <w:trPr>
          <w:trHeight w:val="157"/>
        </w:trPr>
        <w:tc>
          <w:tcPr>
            <w:tcW w:w="8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87"/>
              </w:rPr>
              <w:t>September 30, 2013</w:t>
            </w:r>
          </w:p>
        </w:tc>
        <w:tc>
          <w:tcPr>
            <w:tcW w:w="17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Valuation Technique</w:t>
            </w:r>
          </w:p>
        </w:tc>
        <w:tc>
          <w:tcPr>
            <w:tcW w:w="1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Unobservable Input</w:t>
            </w: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(Weighted Average)</w:t>
            </w:r>
          </w:p>
        </w:tc>
      </w:tr>
      <w:tr>
        <w:trPr>
          <w:trHeight w:val="136"/>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448,842,465</w:t>
            </w:r>
          </w:p>
        </w:tc>
        <w:tc>
          <w:tcPr>
            <w:tcW w:w="400" w:type="dxa"/>
            <w:vAlign w:val="bottom"/>
          </w:tcPr>
          <w:p>
            <w:pPr>
              <w:spacing w:after="0"/>
              <w:rPr>
                <w:sz w:val="11"/>
                <w:szCs w:val="11"/>
                <w:color w:val="auto"/>
              </w:rPr>
            </w:pPr>
          </w:p>
        </w:tc>
        <w:tc>
          <w:tcPr>
            <w:tcW w:w="14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color w:val="auto"/>
                <w:w w:val="89"/>
              </w:rPr>
              <w:t>Market Comparable</w:t>
            </w:r>
          </w:p>
        </w:tc>
        <w:tc>
          <w:tcPr>
            <w:tcW w:w="320" w:type="dxa"/>
            <w:vAlign w:val="bottom"/>
          </w:tcPr>
          <w:p>
            <w:pPr>
              <w:spacing w:after="0"/>
              <w:rPr>
                <w:sz w:val="11"/>
                <w:szCs w:val="11"/>
                <w:color w:val="auto"/>
              </w:rPr>
            </w:pPr>
          </w:p>
        </w:tc>
        <w:tc>
          <w:tcPr>
            <w:tcW w:w="1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color w:val="auto"/>
                <w:w w:val="88"/>
              </w:rPr>
              <w:t>Broker/Dealer bid quotes</w:t>
            </w: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02"/>
              <w:spacing w:after="0" w:line="136" w:lineRule="exact"/>
              <w:rPr>
                <w:sz w:val="20"/>
                <w:szCs w:val="20"/>
                <w:color w:val="auto"/>
              </w:rPr>
            </w:pPr>
            <w:r>
              <w:rPr>
                <w:rFonts w:ascii="Arial" w:cs="Arial" w:eastAsia="Arial" w:hAnsi="Arial"/>
                <w:sz w:val="12"/>
                <w:szCs w:val="12"/>
                <w:color w:val="auto"/>
                <w:w w:val="99"/>
              </w:rPr>
              <w:t>N/A</w:t>
            </w:r>
          </w:p>
        </w:tc>
      </w:tr>
      <w:tr>
        <w:trPr>
          <w:trHeight w:val="148"/>
        </w:trPr>
        <w:tc>
          <w:tcPr>
            <w:tcW w:w="80" w:type="dxa"/>
            <w:vAlign w:val="bottom"/>
          </w:tcPr>
          <w:p>
            <w:pPr>
              <w:spacing w:after="0"/>
              <w:rPr>
                <w:sz w:val="12"/>
                <w:szCs w:val="1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2"/>
                <w:szCs w:val="12"/>
                <w:color w:val="auto"/>
              </w:rPr>
              <w:t>466,571,947</w:t>
            </w:r>
          </w:p>
        </w:tc>
        <w:tc>
          <w:tcPr>
            <w:tcW w:w="172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Market Comparable</w:t>
            </w:r>
          </w:p>
        </w:tc>
        <w:tc>
          <w:tcPr>
            <w:tcW w:w="1780" w:type="dxa"/>
            <w:vAlign w:val="bottom"/>
            <w:gridSpan w:val="2"/>
          </w:tcPr>
          <w:p>
            <w:pPr>
              <w:jc w:val="center"/>
              <w:ind w:right="320"/>
              <w:spacing w:after="0"/>
              <w:rPr>
                <w:sz w:val="20"/>
                <w:szCs w:val="20"/>
                <w:color w:val="auto"/>
              </w:rPr>
            </w:pPr>
            <w:r>
              <w:rPr>
                <w:rFonts w:ascii="Arial" w:cs="Arial" w:eastAsia="Arial" w:hAnsi="Arial"/>
                <w:sz w:val="12"/>
                <w:szCs w:val="12"/>
                <w:color w:val="auto"/>
                <w:w w:val="92"/>
              </w:rPr>
              <w:t>Market Yield</w:t>
            </w:r>
          </w:p>
        </w:tc>
        <w:tc>
          <w:tcPr>
            <w:tcW w:w="480" w:type="dxa"/>
            <w:vAlign w:val="bottom"/>
          </w:tcPr>
          <w:p>
            <w:pPr>
              <w:jc w:val="right"/>
              <w:spacing w:after="0"/>
              <w:rPr>
                <w:sz w:val="20"/>
                <w:szCs w:val="20"/>
                <w:color w:val="auto"/>
              </w:rPr>
            </w:pPr>
            <w:r>
              <w:rPr>
                <w:rFonts w:ascii="Arial" w:cs="Arial" w:eastAsia="Arial" w:hAnsi="Arial"/>
                <w:sz w:val="12"/>
                <w:szCs w:val="12"/>
                <w:color w:val="auto"/>
              </w:rPr>
              <w:t>9.5% -</w:t>
            </w:r>
          </w:p>
        </w:tc>
        <w:tc>
          <w:tcPr>
            <w:tcW w:w="860" w:type="dxa"/>
            <w:vAlign w:val="bottom"/>
          </w:tcPr>
          <w:p>
            <w:pPr>
              <w:spacing w:after="0"/>
              <w:rPr>
                <w:sz w:val="20"/>
                <w:szCs w:val="20"/>
                <w:color w:val="auto"/>
              </w:rPr>
            </w:pPr>
            <w:r>
              <w:rPr>
                <w:rFonts w:ascii="Arial" w:cs="Arial" w:eastAsia="Arial" w:hAnsi="Arial"/>
                <w:sz w:val="12"/>
                <w:szCs w:val="12"/>
                <w:color w:val="auto"/>
              </w:rPr>
              <w:t>21.5% (13.5%)</w:t>
            </w:r>
          </w:p>
        </w:tc>
      </w:tr>
      <w:tr>
        <w:trPr>
          <w:trHeight w:val="141"/>
        </w:trPr>
        <w:tc>
          <w:tcPr>
            <w:tcW w:w="80" w:type="dxa"/>
            <w:vAlign w:val="bottom"/>
          </w:tcPr>
          <w:p>
            <w:pPr>
              <w:spacing w:after="0"/>
              <w:rPr>
                <w:sz w:val="12"/>
                <w:szCs w:val="1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2"/>
                <w:szCs w:val="12"/>
                <w:color w:val="auto"/>
              </w:rPr>
              <w:t>110,923,754</w:t>
            </w:r>
          </w:p>
        </w:tc>
        <w:tc>
          <w:tcPr>
            <w:tcW w:w="17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Enterprise Market Value</w:t>
            </w:r>
          </w:p>
        </w:tc>
        <w:tc>
          <w:tcPr>
            <w:tcW w:w="1780" w:type="dxa"/>
            <w:vAlign w:val="bottom"/>
            <w:gridSpan w:val="2"/>
          </w:tcPr>
          <w:p>
            <w:pPr>
              <w:jc w:val="center"/>
              <w:ind w:right="300"/>
              <w:spacing w:after="0"/>
              <w:rPr>
                <w:sz w:val="20"/>
                <w:szCs w:val="20"/>
                <w:color w:val="auto"/>
              </w:rPr>
            </w:pPr>
            <w:r>
              <w:rPr>
                <w:rFonts w:ascii="Arial" w:cs="Arial" w:eastAsia="Arial" w:hAnsi="Arial"/>
                <w:sz w:val="12"/>
                <w:szCs w:val="12"/>
                <w:color w:val="auto"/>
                <w:w w:val="95"/>
              </w:rPr>
              <w:t>EBITDA multiple</w:t>
            </w:r>
          </w:p>
        </w:tc>
        <w:tc>
          <w:tcPr>
            <w:tcW w:w="480" w:type="dxa"/>
            <w:vAlign w:val="bottom"/>
          </w:tcPr>
          <w:p>
            <w:pPr>
              <w:jc w:val="right"/>
              <w:spacing w:after="0"/>
              <w:rPr>
                <w:sz w:val="20"/>
                <w:szCs w:val="20"/>
                <w:color w:val="auto"/>
              </w:rPr>
            </w:pPr>
            <w:r>
              <w:rPr>
                <w:rFonts w:ascii="Arial" w:cs="Arial" w:eastAsia="Arial" w:hAnsi="Arial"/>
                <w:sz w:val="12"/>
                <w:szCs w:val="12"/>
                <w:color w:val="auto"/>
              </w:rPr>
              <w:t>6.0</w:t>
            </w:r>
          </w:p>
        </w:tc>
        <w:tc>
          <w:tcPr>
            <w:tcW w:w="860" w:type="dxa"/>
            <w:vAlign w:val="bottom"/>
          </w:tcPr>
          <w:p>
            <w:pPr>
              <w:spacing w:after="0"/>
              <w:rPr>
                <w:sz w:val="20"/>
                <w:szCs w:val="20"/>
                <w:color w:val="auto"/>
              </w:rPr>
            </w:pPr>
            <w:r>
              <w:rPr>
                <w:rFonts w:ascii="Arial" w:cs="Arial" w:eastAsia="Arial" w:hAnsi="Arial"/>
                <w:sz w:val="12"/>
                <w:szCs w:val="12"/>
                <w:color w:val="auto"/>
              </w:rPr>
              <w:t>– 15.0 (9.0)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-93980</wp:posOffset>
            </wp:positionV>
            <wp:extent cx="71323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-282575</wp:posOffset>
            </wp:positionV>
            <wp:extent cx="71323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00" w:space="720"/>
            <w:col w:w="642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4820" w:type="dxa"/>
            <w:vAlign w:val="bottom"/>
            <w:gridSpan w:val="2"/>
          </w:tcPr>
          <w:p>
            <w:pPr>
              <w:spacing w:after="0"/>
              <w:rPr>
                <w:sz w:val="20"/>
                <w:szCs w:val="20"/>
                <w:color w:val="auto"/>
              </w:rPr>
            </w:pPr>
            <w:r>
              <w:rPr>
                <w:rFonts w:ascii="Arial" w:cs="Arial" w:eastAsia="Arial" w:hAnsi="Arial"/>
                <w:sz w:val="12"/>
                <w:szCs w:val="12"/>
                <w:color w:val="auto"/>
              </w:rPr>
              <w:t>Total Level 3 investments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1,026,338,166</w:t>
            </w:r>
          </w:p>
        </w:tc>
        <w:tc>
          <w:tcPr>
            <w:tcW w:w="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Long-Term Credit Facility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117,500,000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89"/>
              </w:rPr>
              <w:t>Market Comparable</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87"/>
              </w:rPr>
              <w:t>Discount rate</w:t>
            </w:r>
          </w:p>
        </w:tc>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3.6%</w:t>
            </w:r>
          </w:p>
        </w:tc>
      </w:tr>
      <w:tr>
        <w:trPr>
          <w:trHeight w:val="242"/>
        </w:trPr>
        <w:tc>
          <w:tcPr>
            <w:tcW w:w="4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Fair Value at</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8"/>
              </w:rPr>
              <w:t>Range of Input</w:t>
            </w:r>
          </w:p>
        </w:tc>
      </w:tr>
      <w:tr>
        <w:trPr>
          <w:trHeight w:val="157"/>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Asset Category</w:t>
            </w:r>
          </w:p>
        </w:tc>
        <w:tc>
          <w:tcPr>
            <w:tcW w:w="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7"/>
              </w:rPr>
              <w:t>September 30, 2012</w:t>
            </w:r>
          </w:p>
        </w:tc>
        <w:tc>
          <w:tcPr>
            <w:tcW w:w="38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Valuation Technique</w:t>
            </w:r>
          </w:p>
        </w:tc>
        <w:tc>
          <w:tcPr>
            <w:tcW w:w="1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Unobservable Input</w:t>
            </w: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w:t>
            </w:r>
          </w:p>
        </w:tc>
      </w:tr>
      <w:tr>
        <w:trPr>
          <w:trHeight w:val="129"/>
        </w:trPr>
        <w:tc>
          <w:tcPr>
            <w:tcW w:w="4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First lien, second lien, subordinated debt/corporate notes</w:t>
            </w: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258,617,082</w:t>
            </w:r>
          </w:p>
        </w:tc>
        <w:tc>
          <w:tcPr>
            <w:tcW w:w="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Market Comparable</w:t>
            </w:r>
          </w:p>
        </w:tc>
        <w:tc>
          <w:tcPr>
            <w:tcW w:w="3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Broker/Dealer bid quotes</w:t>
            </w:r>
          </w:p>
        </w:tc>
        <w:tc>
          <w:tcPr>
            <w:tcW w:w="32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N/A</w:t>
            </w:r>
          </w:p>
        </w:tc>
      </w:tr>
      <w:tr>
        <w:trPr>
          <w:trHeight w:val="148"/>
        </w:trPr>
        <w:tc>
          <w:tcPr>
            <w:tcW w:w="4820" w:type="dxa"/>
            <w:vAlign w:val="bottom"/>
            <w:gridSpan w:val="2"/>
          </w:tcPr>
          <w:p>
            <w:pPr>
              <w:spacing w:after="0"/>
              <w:rPr>
                <w:sz w:val="20"/>
                <w:szCs w:val="20"/>
                <w:color w:val="auto"/>
              </w:rPr>
            </w:pPr>
            <w:r>
              <w:rPr>
                <w:rFonts w:ascii="Arial" w:cs="Arial" w:eastAsia="Arial" w:hAnsi="Arial"/>
                <w:sz w:val="12"/>
                <w:szCs w:val="12"/>
                <w:color w:val="auto"/>
              </w:rPr>
              <w:t>First lien, second lien, subordinated debt/corporate notes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0"/>
              <w:spacing w:after="0"/>
              <w:rPr>
                <w:sz w:val="20"/>
                <w:szCs w:val="20"/>
                <w:color w:val="auto"/>
              </w:rPr>
            </w:pPr>
            <w:r>
              <w:rPr>
                <w:rFonts w:ascii="Arial" w:cs="Arial" w:eastAsia="Arial" w:hAnsi="Arial"/>
                <w:sz w:val="12"/>
                <w:szCs w:val="12"/>
                <w:color w:val="auto"/>
              </w:rPr>
              <w:t>589,806,989</w:t>
            </w:r>
          </w:p>
        </w:tc>
        <w:tc>
          <w:tcPr>
            <w:tcW w:w="380" w:type="dxa"/>
            <w:vAlign w:val="bottom"/>
          </w:tcPr>
          <w:p>
            <w:pPr>
              <w:spacing w:after="0"/>
              <w:rPr>
                <w:sz w:val="12"/>
                <w:szCs w:val="12"/>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Market Comparable</w:t>
            </w:r>
          </w:p>
        </w:tc>
        <w:tc>
          <w:tcPr>
            <w:tcW w:w="1780" w:type="dxa"/>
            <w:vAlign w:val="bottom"/>
            <w:gridSpan w:val="2"/>
          </w:tcPr>
          <w:p>
            <w:pPr>
              <w:jc w:val="center"/>
              <w:ind w:right="320"/>
              <w:spacing w:after="0"/>
              <w:rPr>
                <w:sz w:val="20"/>
                <w:szCs w:val="20"/>
                <w:color w:val="auto"/>
              </w:rPr>
            </w:pPr>
            <w:r>
              <w:rPr>
                <w:rFonts w:ascii="Arial" w:cs="Arial" w:eastAsia="Arial" w:hAnsi="Arial"/>
                <w:sz w:val="12"/>
                <w:szCs w:val="12"/>
                <w:color w:val="auto"/>
                <w:w w:val="92"/>
              </w:rPr>
              <w:t>Market Yield</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8.4% - 19.0% (14.1%)</w:t>
            </w: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and common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101,323,123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88"/>
              </w:rPr>
              <w:t>Enterprise Market Value</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95"/>
              </w:rPr>
              <w:t>EBITDA multiple</w:t>
            </w:r>
          </w:p>
        </w:tc>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4.3x - 15.5x (8.5x)</w:t>
            </w:r>
          </w:p>
        </w:tc>
      </w:tr>
      <w:tr>
        <w:trPr>
          <w:trHeight w:val="163"/>
        </w:trPr>
        <w:tc>
          <w:tcPr>
            <w:tcW w:w="4820" w:type="dxa"/>
            <w:vAlign w:val="bottom"/>
            <w:gridSpan w:val="2"/>
          </w:tcPr>
          <w:p>
            <w:pPr>
              <w:spacing w:after="0"/>
              <w:rPr>
                <w:sz w:val="20"/>
                <w:szCs w:val="20"/>
                <w:color w:val="auto"/>
              </w:rPr>
            </w:pPr>
            <w:r>
              <w:rPr>
                <w:rFonts w:ascii="Arial" w:cs="Arial" w:eastAsia="Arial" w:hAnsi="Arial"/>
                <w:sz w:val="12"/>
                <w:szCs w:val="12"/>
                <w:color w:val="auto"/>
              </w:rPr>
              <w:t>Total Level 3 investments</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949,747,194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Long-Term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144,452,500</w:t>
            </w:r>
          </w:p>
        </w:tc>
        <w:tc>
          <w:tcPr>
            <w:tcW w:w="3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89"/>
              </w:rPr>
              <w:t>Market Comparable</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87"/>
              </w:rPr>
              <w:t>Discount rate</w:t>
            </w:r>
          </w:p>
        </w:tc>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3.5%</w:t>
            </w:r>
          </w:p>
        </w:tc>
      </w:tr>
      <w:tr>
        <w:trPr>
          <w:trHeight w:val="298"/>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262"/>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cash equivalents, 2025 Notes and investments and our Credit Facility were categorized as follows in the fair value hierarchy for ASC 820 purposes: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8"/>
          </w:tcPr>
          <w:p>
            <w:pPr>
              <w:jc w:val="right"/>
              <w:ind w:right="442"/>
              <w:spacing w:after="0"/>
              <w:rPr>
                <w:sz w:val="20"/>
                <w:szCs w:val="20"/>
                <w:color w:val="auto"/>
              </w:rPr>
            </w:pPr>
            <w:r>
              <w:rPr>
                <w:rFonts w:ascii="Arial" w:cs="Arial" w:eastAsia="Arial" w:hAnsi="Arial"/>
                <w:sz w:val="12"/>
                <w:szCs w:val="12"/>
                <w:b w:val="1"/>
                <w:bCs w:val="1"/>
                <w:color w:val="auto"/>
              </w:rPr>
              <w:t>Fair Value at September 30, 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12"/>
                <w:szCs w:val="1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8"/>
              </w:rPr>
              <w:t>Level 1</w:t>
            </w:r>
          </w:p>
        </w:tc>
        <w:tc>
          <w:tcPr>
            <w:tcW w:w="10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28"/>
        </w:trPr>
        <w:tc>
          <w:tcPr>
            <w:tcW w:w="7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Loan and debt investments</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959,506,815</w:t>
            </w:r>
          </w:p>
        </w:tc>
        <w:tc>
          <w:tcPr>
            <w:tcW w:w="2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44,092,400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915,414,415</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0" w:type="dxa"/>
            <w:vAlign w:val="bottom"/>
            <w:gridSpan w:val="2"/>
          </w:tcPr>
          <w:p>
            <w:pPr>
              <w:spacing w:after="0"/>
              <w:rPr>
                <w:sz w:val="20"/>
                <w:szCs w:val="20"/>
                <w:color w:val="auto"/>
              </w:rPr>
            </w:pPr>
            <w:r>
              <w:rPr>
                <w:rFonts w:ascii="Arial" w:cs="Arial" w:eastAsia="Arial" w:hAnsi="Arial"/>
                <w:sz w:val="12"/>
                <w:szCs w:val="12"/>
                <w:color w:val="auto"/>
              </w:rPr>
              <w:t>Equity investments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118,668,738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7,539,320</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205,667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110,923,751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4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investments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1,078,175,553</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7,539,320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44,298,067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1,026,338,166</w:t>
            </w:r>
          </w:p>
        </w:tc>
        <w:tc>
          <w:tcPr>
            <w:tcW w:w="0" w:type="dxa"/>
            <w:vAlign w:val="bottom"/>
          </w:tcPr>
          <w:p>
            <w:pPr>
              <w:spacing w:after="0"/>
              <w:rPr>
                <w:sz w:val="1"/>
                <w:szCs w:val="1"/>
                <w:color w:val="auto"/>
              </w:rPr>
            </w:pPr>
          </w:p>
        </w:tc>
      </w:tr>
      <w:tr>
        <w:trPr>
          <w:trHeight w:val="148"/>
        </w:trPr>
        <w:tc>
          <w:tcPr>
            <w:tcW w:w="740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58,440,829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58,440,829</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investments,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1,136,616,382</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65,980,149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44,298,067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1,026,338,166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2"/>
                <w:szCs w:val="12"/>
                <w:color w:val="auto"/>
              </w:rPr>
              <w:t>Long-Term Credit Facility (excluding temporary draw of $28.0 million)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117,500,000</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117,500,000</w:t>
            </w:r>
          </w:p>
        </w:tc>
        <w:tc>
          <w:tcPr>
            <w:tcW w:w="0" w:type="dxa"/>
            <w:vAlign w:val="bottom"/>
          </w:tcPr>
          <w:p>
            <w:pPr>
              <w:spacing w:after="0"/>
              <w:rPr>
                <w:sz w:val="1"/>
                <w:szCs w:val="1"/>
                <w:color w:val="auto"/>
              </w:rPr>
            </w:pPr>
          </w:p>
        </w:tc>
      </w:tr>
      <w:tr>
        <w:trPr>
          <w:trHeight w:val="148"/>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2025 Notes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68,400,000</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68,400,000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2"/>
                <w:szCs w:val="12"/>
                <w:color w:val="auto"/>
              </w:rPr>
              <w:t>Total debt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185,900,000</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w w:val="89"/>
              </w:rPr>
              <w:t>68,400,000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117,500,000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8"/>
          </w:tcPr>
          <w:p>
            <w:pPr>
              <w:jc w:val="right"/>
              <w:ind w:right="442"/>
              <w:spacing w:after="0"/>
              <w:rPr>
                <w:sz w:val="20"/>
                <w:szCs w:val="20"/>
                <w:color w:val="auto"/>
              </w:rPr>
            </w:pPr>
            <w:r>
              <w:rPr>
                <w:rFonts w:ascii="Arial" w:cs="Arial" w:eastAsia="Arial" w:hAnsi="Arial"/>
                <w:sz w:val="12"/>
                <w:szCs w:val="12"/>
                <w:b w:val="1"/>
                <w:bCs w:val="1"/>
                <w:color w:val="auto"/>
              </w:rPr>
              <w:t>Fair Value at September 30, 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12"/>
                <w:szCs w:val="12"/>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8"/>
              </w:rPr>
              <w:t>Level 1</w:t>
            </w:r>
          </w:p>
        </w:tc>
        <w:tc>
          <w:tcPr>
            <w:tcW w:w="10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28"/>
        </w:trPr>
        <w:tc>
          <w:tcPr>
            <w:tcW w:w="7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Loan and debt investments</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883,699,431</w:t>
            </w:r>
          </w:p>
        </w:tc>
        <w:tc>
          <w:tcPr>
            <w:tcW w:w="2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35,275,360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8"/>
              </w:rPr>
              <w:t>848,424,071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spacing w:after="0"/>
              <w:rPr>
                <w:sz w:val="20"/>
                <w:szCs w:val="20"/>
                <w:color w:val="auto"/>
              </w:rPr>
            </w:pPr>
            <w:r>
              <w:rPr>
                <w:rFonts w:ascii="Arial" w:cs="Arial" w:eastAsia="Arial" w:hAnsi="Arial"/>
                <w:sz w:val="12"/>
                <w:szCs w:val="12"/>
                <w:color w:val="auto"/>
              </w:rPr>
              <w:t>Equity investments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106,780,279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5,425,378</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31,778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101,323,123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investments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990,479,710</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5,425,378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35,307,138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8"/>
              </w:rPr>
              <w:t>949,747,194</w:t>
            </w:r>
          </w:p>
        </w:tc>
        <w:tc>
          <w:tcPr>
            <w:tcW w:w="0" w:type="dxa"/>
            <w:vAlign w:val="bottom"/>
          </w:tcPr>
          <w:p>
            <w:pPr>
              <w:spacing w:after="0"/>
              <w:rPr>
                <w:sz w:val="1"/>
                <w:szCs w:val="1"/>
                <w:color w:val="auto"/>
              </w:rPr>
            </w:pPr>
          </w:p>
        </w:tc>
      </w:tr>
      <w:tr>
        <w:trPr>
          <w:trHeight w:val="148"/>
        </w:trPr>
        <w:tc>
          <w:tcPr>
            <w:tcW w:w="740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7,559,453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7,559,453</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investments,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998,039,163</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89"/>
              </w:rPr>
              <w:t>12,984,831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35,307,138</w:t>
            </w: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8"/>
              </w:rPr>
              <w:t>949,747,194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2"/>
                <w:szCs w:val="12"/>
                <w:color w:val="auto"/>
              </w:rPr>
              <w:t>Long-Term Credit Facility (excluding temporary draw of $35.5 million)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108,952,500</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108,952,500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tables show a reconciliation of the beginning and ending balances for fair valued investments measured using significant unobservable inputs (Level 3):</w:t>
      </w:r>
    </w:p>
    <w:p>
      <w:pPr>
        <w:sectPr>
          <w:pgSz w:w="11900" w:h="16838" w:orient="portrait"/>
          <w:cols w:equalWidth="0" w:num="1">
            <w:col w:w="11240"/>
          </w:cols>
          <w:pgMar w:left="320" w:top="459"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Beginning Balance, September 30, 2012</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Realized gains (losses)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2"/>
          <w:szCs w:val="12"/>
          <w:color w:val="auto"/>
        </w:rPr>
        <w:t>Purchases, PIK, net discount accretion and non-cash exchanges</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2"/>
          <w:szCs w:val="12"/>
          <w:color w:val="auto"/>
        </w:rPr>
        <w:t>Transfers in or out of Level 3</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Ending Balance,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8" w:lineRule="exact"/>
        <w:rPr>
          <w:sz w:val="20"/>
          <w:szCs w:val="20"/>
          <w:color w:val="auto"/>
        </w:rPr>
      </w:pPr>
    </w:p>
    <w:p>
      <w:pPr>
        <w:ind w:left="120" w:hanging="116"/>
        <w:spacing w:after="0" w:line="416" w:lineRule="auto"/>
        <w:rPr>
          <w:sz w:val="20"/>
          <w:szCs w:val="20"/>
          <w:color w:val="auto"/>
        </w:rPr>
      </w:pPr>
      <w:r>
        <w:rPr>
          <w:rFonts w:ascii="Arial" w:cs="Arial" w:eastAsia="Arial" w:hAnsi="Arial"/>
          <w:sz w:val="9"/>
          <w:szCs w:val="9"/>
          <w:color w:val="auto"/>
        </w:rPr>
        <w:t>Net change in unrealized appreciation (depreciation) for the fiscal year reported within the net change in unrealized appreciation (depreciation) on investments in our Consolidated Statement of Operations attributable to our Level 3 assets still held at the reporting date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Year Ended September 30, 2013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120" w:type="dxa"/>
            <w:vAlign w:val="bottom"/>
            <w:tcBorders>
              <w:top w:val="single" w:sz="8" w:color="auto"/>
            </w:tcBorders>
            <w:gridSpan w:val="3"/>
          </w:tcPr>
          <w:p>
            <w:pPr>
              <w:spacing w:after="0" w:line="121" w:lineRule="exact"/>
              <w:rPr>
                <w:sz w:val="20"/>
                <w:szCs w:val="20"/>
                <w:color w:val="auto"/>
              </w:rPr>
            </w:pPr>
            <w:r>
              <w:rPr>
                <w:rFonts w:ascii="Arial" w:cs="Arial" w:eastAsia="Arial" w:hAnsi="Arial"/>
                <w:sz w:val="12"/>
                <w:szCs w:val="12"/>
                <w:b w:val="1"/>
                <w:bCs w:val="1"/>
                <w:color w:val="auto"/>
              </w:rPr>
              <w:t>Loan and debt</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620"/>
              <w:spacing w:after="0" w:line="121" w:lineRule="exact"/>
              <w:rPr>
                <w:sz w:val="20"/>
                <w:szCs w:val="20"/>
                <w:color w:val="auto"/>
              </w:rPr>
            </w:pPr>
            <w:r>
              <w:rPr>
                <w:rFonts w:ascii="Arial" w:cs="Arial" w:eastAsia="Arial" w:hAnsi="Arial"/>
                <w:sz w:val="12"/>
                <w:szCs w:val="12"/>
                <w:b w:val="1"/>
                <w:bCs w:val="1"/>
                <w:color w:val="auto"/>
              </w:rPr>
              <w:t>Equity</w:t>
            </w: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3"/>
        </w:trPr>
        <w:tc>
          <w:tcPr>
            <w:tcW w:w="60" w:type="dxa"/>
            <w:vAlign w:val="bottom"/>
          </w:tcPr>
          <w:p>
            <w:pPr>
              <w:spacing w:after="0"/>
              <w:rPr>
                <w:sz w:val="12"/>
                <w:szCs w:val="12"/>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2"/>
              </w:rPr>
              <w:t>investments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85"/>
              </w:rPr>
              <w:t>investments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Totals</w:t>
            </w:r>
          </w:p>
        </w:tc>
      </w:tr>
      <w:tr>
        <w:trPr>
          <w:trHeight w:val="136"/>
        </w:trPr>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w w:val="98"/>
              </w:rPr>
              <w:t>848,424,071</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101,323,123</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w w:val="98"/>
              </w:rPr>
              <w:t>949,747,194</w:t>
            </w: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6,721,638</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3,311,652</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10,033,290</w:t>
            </w:r>
          </w:p>
        </w:tc>
      </w:tr>
      <w:tr>
        <w:trPr>
          <w:trHeight w:val="148"/>
        </w:trPr>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35,227,586</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(28,273,765)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6,953,821</w:t>
            </w:r>
          </w:p>
        </w:tc>
      </w:tr>
      <w:tr>
        <w:trPr>
          <w:trHeight w:val="148"/>
        </w:trPr>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512,045,145</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46,647,608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558,692,753</w:t>
            </w:r>
          </w:p>
        </w:tc>
      </w:tr>
      <w:tr>
        <w:trPr>
          <w:trHeight w:val="148"/>
        </w:trPr>
        <w:tc>
          <w:tcPr>
            <w:tcW w:w="6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2"/>
                <w:szCs w:val="12"/>
                <w:color w:val="auto"/>
                <w:w w:val="93"/>
              </w:rPr>
              <w:t>(474,164,025)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(12,084,867)</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w w:val="93"/>
              </w:rPr>
              <w:t>(486,248,892)</w:t>
            </w:r>
          </w:p>
        </w:tc>
      </w:tr>
      <w:tr>
        <w:trPr>
          <w:trHeight w:val="142"/>
        </w:trPr>
        <w:tc>
          <w:tcPr>
            <w:tcW w:w="6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2"/>
                <w:szCs w:val="12"/>
                <w:color w:val="auto"/>
              </w:rPr>
              <w:t>(12,840,000)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(12,840,000)</w:t>
            </w:r>
          </w:p>
        </w:tc>
      </w:tr>
      <w:tr>
        <w:trPr>
          <w:trHeight w:val="20"/>
        </w:trPr>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98"/>
              </w:rPr>
              <w:t>915,414,415</w:t>
            </w:r>
          </w:p>
        </w:tc>
        <w:tc>
          <w:tcPr>
            <w:tcW w:w="3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110,923,751</w:t>
            </w:r>
          </w:p>
        </w:tc>
        <w:tc>
          <w:tcPr>
            <w:tcW w:w="42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w w:val="85"/>
              </w:rPr>
              <w:t>1,026,338,166</w:t>
            </w:r>
          </w:p>
        </w:tc>
      </w:tr>
      <w:tr>
        <w:trPr>
          <w:trHeight w:val="20"/>
        </w:trPr>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33,158,082</w:t>
            </w:r>
          </w:p>
        </w:tc>
        <w:tc>
          <w:tcPr>
            <w:tcW w:w="3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(30,958,706)</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2,199,376</w:t>
            </w:r>
          </w:p>
        </w:tc>
      </w:tr>
      <w:tr>
        <w:trPr>
          <w:trHeight w:val="20"/>
        </w:trPr>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2"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Year Ended September 30, 2012</w:t>
      </w:r>
    </w:p>
    <w:p>
      <w:pPr>
        <w:spacing w:after="0" w:line="5" w:lineRule="exact"/>
        <w:rPr>
          <w:sz w:val="20"/>
          <w:szCs w:val="20"/>
          <w:color w:val="auto"/>
        </w:rPr>
      </w:pPr>
    </w:p>
    <w:p>
      <w:pPr>
        <w:sectPr>
          <w:pgSz w:w="11900" w:h="16838" w:orient="portrait"/>
          <w:cols w:equalWidth="0" w:num="2">
            <w:col w:w="6700" w:space="700"/>
            <w:col w:w="38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20"/>
        </w:trPr>
        <w:tc>
          <w:tcPr>
            <w:tcW w:w="7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80" w:type="dxa"/>
            <w:vAlign w:val="bottom"/>
            <w:tcBorders>
              <w:top w:val="single" w:sz="8" w:color="auto"/>
            </w:tcBorders>
            <w:gridSpan w:val="3"/>
          </w:tcPr>
          <w:p>
            <w:pPr>
              <w:spacing w:after="0" w:line="121" w:lineRule="exact"/>
              <w:rPr>
                <w:sz w:val="20"/>
                <w:szCs w:val="20"/>
                <w:color w:val="auto"/>
              </w:rPr>
            </w:pPr>
            <w:r>
              <w:rPr>
                <w:rFonts w:ascii="Arial" w:cs="Arial" w:eastAsia="Arial" w:hAnsi="Arial"/>
                <w:sz w:val="12"/>
                <w:szCs w:val="12"/>
                <w:b w:val="1"/>
                <w:bCs w:val="1"/>
                <w:color w:val="auto"/>
              </w:rPr>
              <w:t>Loan and debt</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60"/>
              <w:spacing w:after="0" w:line="121" w:lineRule="exact"/>
              <w:rPr>
                <w:sz w:val="20"/>
                <w:szCs w:val="20"/>
                <w:color w:val="auto"/>
              </w:rPr>
            </w:pPr>
            <w:r>
              <w:rPr>
                <w:rFonts w:ascii="Arial" w:cs="Arial" w:eastAsia="Arial" w:hAnsi="Arial"/>
                <w:sz w:val="12"/>
                <w:szCs w:val="12"/>
                <w:b w:val="1"/>
                <w:bCs w:val="1"/>
                <w:color w:val="auto"/>
              </w:rPr>
              <w:t>Equity</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w w:val="82"/>
              </w:rPr>
              <w:t>investments</w:t>
            </w:r>
          </w:p>
        </w:tc>
        <w:tc>
          <w:tcPr>
            <w:tcW w:w="106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88"/>
              </w:rPr>
              <w:t>investments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Totals</w:t>
            </w:r>
          </w:p>
        </w:tc>
        <w:tc>
          <w:tcPr>
            <w:tcW w:w="0" w:type="dxa"/>
            <w:vAlign w:val="bottom"/>
          </w:tcPr>
          <w:p>
            <w:pPr>
              <w:spacing w:after="0"/>
              <w:rPr>
                <w:sz w:val="1"/>
                <w:szCs w:val="1"/>
                <w:color w:val="auto"/>
              </w:rPr>
            </w:pPr>
          </w:p>
        </w:tc>
      </w:tr>
      <w:tr>
        <w:trPr>
          <w:trHeight w:val="128"/>
        </w:trPr>
        <w:tc>
          <w:tcPr>
            <w:tcW w:w="6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Beginning Balance, September 30, 2011</w:t>
            </w:r>
          </w:p>
        </w:tc>
        <w:tc>
          <w:tcPr>
            <w:tcW w:w="6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8"/>
              </w:rPr>
              <w:t>732,694,451</w:t>
            </w: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6"/>
              </w:rPr>
              <w:t>52,353,328</w:t>
            </w:r>
          </w:p>
        </w:tc>
        <w:tc>
          <w:tcPr>
            <w:tcW w:w="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2"/>
              </w:rPr>
              <w:t>785,047,779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ind w:left="440"/>
              <w:spacing w:after="0"/>
              <w:rPr>
                <w:sz w:val="20"/>
                <w:szCs w:val="20"/>
                <w:color w:val="auto"/>
              </w:rPr>
            </w:pPr>
            <w:r>
              <w:rPr>
                <w:rFonts w:ascii="Arial" w:cs="Arial" w:eastAsia="Arial" w:hAnsi="Arial"/>
                <w:sz w:val="12"/>
                <w:szCs w:val="12"/>
                <w:color w:val="auto"/>
              </w:rPr>
              <w:t>Realized gains (losses)</w:t>
            </w:r>
          </w:p>
        </w:tc>
        <w:tc>
          <w:tcPr>
            <w:tcW w:w="60" w:type="dxa"/>
            <w:vAlign w:val="bottom"/>
          </w:tcPr>
          <w:p>
            <w:pPr>
              <w:spacing w:after="0"/>
              <w:rPr>
                <w:sz w:val="12"/>
                <w:szCs w:val="12"/>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2"/>
                <w:szCs w:val="12"/>
                <w:color w:val="auto"/>
              </w:rPr>
              <w:t>(1,893,297)</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(865,772)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(2,759,069)</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Unrealized appreciation</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23,034,558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1"/>
              </w:rPr>
              <w:t>(11,283,219)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11,751,339</w:t>
            </w:r>
          </w:p>
        </w:tc>
        <w:tc>
          <w:tcPr>
            <w:tcW w:w="0" w:type="dxa"/>
            <w:vAlign w:val="bottom"/>
          </w:tcPr>
          <w:p>
            <w:pPr>
              <w:spacing w:after="0"/>
              <w:rPr>
                <w:sz w:val="1"/>
                <w:szCs w:val="1"/>
                <w:color w:val="auto"/>
              </w:rPr>
            </w:pPr>
          </w:p>
        </w:tc>
      </w:tr>
      <w:tr>
        <w:trPr>
          <w:trHeight w:val="149"/>
        </w:trPr>
        <w:tc>
          <w:tcPr>
            <w:tcW w:w="7520" w:type="dxa"/>
            <w:vAlign w:val="bottom"/>
            <w:gridSpan w:val="2"/>
          </w:tcPr>
          <w:p>
            <w:pPr>
              <w:ind w:left="440"/>
              <w:spacing w:after="0"/>
              <w:rPr>
                <w:sz w:val="20"/>
                <w:szCs w:val="20"/>
                <w:color w:val="auto"/>
              </w:rPr>
            </w:pPr>
            <w:r>
              <w:rPr>
                <w:rFonts w:ascii="Arial" w:cs="Arial" w:eastAsia="Arial" w:hAnsi="Arial"/>
                <w:sz w:val="12"/>
                <w:szCs w:val="12"/>
                <w:color w:val="auto"/>
              </w:rPr>
              <w:t>Purchases, PIK, net discount accretion and non-cash exchanges</w:t>
            </w:r>
          </w:p>
        </w:tc>
        <w:tc>
          <w:tcPr>
            <w:tcW w:w="60" w:type="dxa"/>
            <w:vAlign w:val="bottom"/>
          </w:tcPr>
          <w:p>
            <w:pPr>
              <w:spacing w:after="0"/>
              <w:rPr>
                <w:sz w:val="12"/>
                <w:szCs w:val="12"/>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2"/>
                <w:szCs w:val="12"/>
                <w:color w:val="auto"/>
                <w:w w:val="98"/>
              </w:rPr>
              <w:t>288,868,017</w:t>
            </w:r>
          </w:p>
        </w:tc>
        <w:tc>
          <w:tcPr>
            <w:tcW w:w="8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w w:val="96"/>
              </w:rPr>
              <w:t>66,892,499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w w:val="92"/>
              </w:rPr>
              <w:t>355,760,516</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Sales / repayments</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w w:val="93"/>
              </w:rPr>
              <w:t>(194,279,658)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(5,773,713)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8"/>
              </w:rPr>
              <w:t>(200,053,371)</w:t>
            </w:r>
          </w:p>
        </w:tc>
        <w:tc>
          <w:tcPr>
            <w:tcW w:w="0" w:type="dxa"/>
            <w:vAlign w:val="bottom"/>
          </w:tcPr>
          <w:p>
            <w:pPr>
              <w:spacing w:after="0"/>
              <w:rPr>
                <w:sz w:val="1"/>
                <w:szCs w:val="1"/>
                <w:color w:val="auto"/>
              </w:rPr>
            </w:pPr>
          </w:p>
        </w:tc>
      </w:tr>
      <w:tr>
        <w:trPr>
          <w:trHeight w:val="148"/>
        </w:trPr>
        <w:tc>
          <w:tcPr>
            <w:tcW w:w="7520" w:type="dxa"/>
            <w:vAlign w:val="bottom"/>
            <w:gridSpan w:val="2"/>
          </w:tcPr>
          <w:p>
            <w:pPr>
              <w:ind w:left="440"/>
              <w:spacing w:after="0"/>
              <w:rPr>
                <w:sz w:val="20"/>
                <w:szCs w:val="20"/>
                <w:color w:val="auto"/>
              </w:rPr>
            </w:pPr>
            <w:r>
              <w:rPr>
                <w:rFonts w:ascii="Arial" w:cs="Arial" w:eastAsia="Arial" w:hAnsi="Arial"/>
                <w:sz w:val="12"/>
                <w:szCs w:val="12"/>
                <w:color w:val="auto"/>
              </w:rPr>
              <w:t>Transfers in or out of Level 3</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Ending Balance, September 30, 2012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848,424,071</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101,323,123</w:t>
            </w: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2"/>
              </w:rPr>
              <w:t>949,747,194</w:t>
            </w:r>
          </w:p>
        </w:tc>
        <w:tc>
          <w:tcPr>
            <w:tcW w:w="0" w:type="dxa"/>
            <w:vAlign w:val="bottom"/>
          </w:tcPr>
          <w:p>
            <w:pPr>
              <w:spacing w:after="0"/>
              <w:rPr>
                <w:sz w:val="1"/>
                <w:szCs w:val="1"/>
                <w:color w:val="auto"/>
              </w:rPr>
            </w:pPr>
          </w:p>
        </w:tc>
      </w:tr>
      <w:tr>
        <w:trPr>
          <w:trHeight w:val="136"/>
        </w:trPr>
        <w:tc>
          <w:tcPr>
            <w:tcW w:w="7520" w:type="dxa"/>
            <w:vAlign w:val="bottom"/>
            <w:gridSpan w:val="2"/>
          </w:tcPr>
          <w:p>
            <w:pPr>
              <w:spacing w:after="0" w:line="136" w:lineRule="exact"/>
              <w:rPr>
                <w:sz w:val="20"/>
                <w:szCs w:val="20"/>
                <w:color w:val="auto"/>
              </w:rPr>
            </w:pPr>
            <w:r>
              <w:rPr>
                <w:rFonts w:ascii="Arial" w:cs="Arial" w:eastAsia="Arial" w:hAnsi="Arial"/>
                <w:sz w:val="12"/>
                <w:szCs w:val="12"/>
                <w:color w:val="auto"/>
                <w:w w:val="97"/>
              </w:rPr>
              <w:t>Net change in unrealized appreciation (depreciation) for the fiscal year reported within the net change in unrealized appreciation (depreciation) on</w:t>
            </w: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520" w:type="dxa"/>
            <w:vAlign w:val="bottom"/>
            <w:gridSpan w:val="2"/>
          </w:tcPr>
          <w:p>
            <w:pPr>
              <w:ind w:left="120"/>
              <w:spacing w:after="0"/>
              <w:rPr>
                <w:sz w:val="20"/>
                <w:szCs w:val="20"/>
                <w:color w:val="auto"/>
              </w:rPr>
            </w:pPr>
            <w:r>
              <w:rPr>
                <w:rFonts w:ascii="Arial" w:cs="Arial" w:eastAsia="Arial" w:hAnsi="Arial"/>
                <w:sz w:val="12"/>
                <w:szCs w:val="12"/>
                <w:color w:val="auto"/>
              </w:rPr>
              <w:t>investments in our Consolidated Statement of Operations attributable to our Level 3 assets still held at the reporting date</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420" w:type="dxa"/>
            <w:vAlign w:val="bottom"/>
            <w:gridSpan w:val="2"/>
          </w:tcPr>
          <w:p>
            <w:pPr>
              <w:jc w:val="right"/>
              <w:ind w:right="740"/>
              <w:spacing w:after="0"/>
              <w:rPr>
                <w:sz w:val="20"/>
                <w:szCs w:val="20"/>
                <w:color w:val="auto"/>
              </w:rPr>
            </w:pPr>
            <w:r>
              <w:rPr>
                <w:rFonts w:ascii="Arial" w:cs="Arial" w:eastAsia="Arial" w:hAnsi="Arial"/>
                <w:sz w:val="12"/>
                <w:szCs w:val="12"/>
                <w:color w:val="auto"/>
              </w:rPr>
              <w:t>25,864,375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(9,858,219)</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16,006,156</w:t>
            </w:r>
          </w:p>
        </w:tc>
        <w:tc>
          <w:tcPr>
            <w:tcW w:w="0" w:type="dxa"/>
            <w:vAlign w:val="bottom"/>
          </w:tcPr>
          <w:p>
            <w:pPr>
              <w:spacing w:after="0"/>
              <w:rPr>
                <w:sz w:val="1"/>
                <w:szCs w:val="1"/>
                <w:color w:val="auto"/>
              </w:rPr>
            </w:pPr>
          </w:p>
        </w:tc>
      </w:tr>
      <w:tr>
        <w:trPr>
          <w:trHeight w:val="298"/>
        </w:trPr>
        <w:tc>
          <w:tcPr>
            <w:tcW w:w="6860" w:type="dxa"/>
            <w:vAlign w:val="bottom"/>
          </w:tcPr>
          <w:p>
            <w:pPr>
              <w:ind w:left="5560"/>
              <w:spacing w:after="0"/>
              <w:rPr>
                <w:sz w:val="20"/>
                <w:szCs w:val="20"/>
                <w:color w:val="auto"/>
              </w:rPr>
            </w:pPr>
            <w:r>
              <w:rPr>
                <w:rFonts w:ascii="Arial" w:cs="Arial" w:eastAsia="Arial" w:hAnsi="Arial"/>
                <w:sz w:val="12"/>
                <w:szCs w:val="12"/>
                <w:color w:val="auto"/>
              </w:rPr>
              <w:t>62</w:t>
            </w: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table shows a reconciliation of the beginning and ending balances for fair valued liabilities measured using significant unobservable inputs (Level 3):</w:t>
      </w:r>
    </w:p>
    <w:p>
      <w:pPr>
        <w:spacing w:after="0" w:line="130" w:lineRule="exact"/>
        <w:rPr>
          <w:sz w:val="20"/>
          <w:szCs w:val="20"/>
          <w:color w:val="auto"/>
        </w:rPr>
      </w:pPr>
    </w:p>
    <w:p>
      <w:pPr>
        <w:jc w:val="right"/>
        <w:ind w:right="820"/>
        <w:spacing w:after="0"/>
        <w:rPr>
          <w:sz w:val="20"/>
          <w:szCs w:val="20"/>
          <w:color w:val="auto"/>
        </w:rPr>
      </w:pPr>
      <w:r>
        <w:rPr>
          <w:rFonts w:ascii="Arial" w:cs="Arial" w:eastAsia="Arial" w:hAnsi="Arial"/>
          <w:sz w:val="12"/>
          <w:szCs w:val="12"/>
          <w:b w:val="1"/>
          <w:bCs w:val="1"/>
          <w:color w:val="auto"/>
        </w:rPr>
        <w:t>Carrying / Fair Value</w:t>
      </w:r>
    </w:p>
    <w:p>
      <w:pPr>
        <w:sectPr>
          <w:pgSz w:w="11900" w:h="16838" w:orient="portrait"/>
          <w:cols w:equalWidth="0" w:num="1">
            <w:col w:w="11240"/>
          </w:cols>
          <w:pgMar w:left="320" w:top="459" w:right="3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211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Beginning Balance (Cost – $109,500,000 and $240,900,000,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5" w:lineRule="exact"/>
        <w:rPr>
          <w:sz w:val="20"/>
          <w:szCs w:val="20"/>
          <w:color w:val="auto"/>
        </w:rPr>
      </w:pPr>
    </w:p>
    <w:p>
      <w:pPr>
        <w:ind w:left="440"/>
        <w:spacing w:after="0"/>
        <w:rPr>
          <w:sz w:val="20"/>
          <w:szCs w:val="20"/>
          <w:color w:val="auto"/>
        </w:rPr>
      </w:pPr>
      <w:r>
        <w:rPr>
          <w:rFonts w:ascii="Arial" w:cs="Arial" w:eastAsia="Arial" w:hAnsi="Arial"/>
          <w:sz w:val="9"/>
          <w:szCs w:val="9"/>
          <w:color w:val="auto"/>
        </w:rPr>
        <w:t>Total unrealized depreciation (appreciation) included in earnings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Borrowings</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2"/>
          <w:szCs w:val="12"/>
          <w:color w:val="auto"/>
        </w:rPr>
        <w:t>Repayments</w:t>
      </w:r>
      <w:r>
        <w:rPr>
          <w:rFonts w:ascii="Arial" w:cs="Arial" w:eastAsia="Arial" w:hAnsi="Arial"/>
          <w:sz w:val="9"/>
          <w:szCs w:val="9"/>
          <w:color w:val="auto"/>
        </w:rPr>
        <w:t>(1)</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Transfers in and/or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0"/>
        </w:trPr>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800"/>
              <w:spacing w:after="0" w:line="121" w:lineRule="exact"/>
              <w:rPr>
                <w:sz w:val="20"/>
                <w:szCs w:val="20"/>
                <w:color w:val="auto"/>
              </w:rPr>
            </w:pPr>
            <w:r>
              <w:rPr>
                <w:rFonts w:ascii="Arial" w:cs="Arial" w:eastAsia="Arial" w:hAnsi="Arial"/>
                <w:sz w:val="12"/>
                <w:szCs w:val="12"/>
                <w:b w:val="1"/>
                <w:bCs w:val="1"/>
                <w:color w:val="auto"/>
                <w:w w:val="96"/>
              </w:rPr>
              <w:t>Year Ended</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42"/>
              <w:spacing w:after="0" w:line="121" w:lineRule="exact"/>
              <w:rPr>
                <w:sz w:val="20"/>
                <w:szCs w:val="20"/>
                <w:color w:val="auto"/>
              </w:rPr>
            </w:pPr>
            <w:r>
              <w:rPr>
                <w:rFonts w:ascii="Arial" w:cs="Arial" w:eastAsia="Arial" w:hAnsi="Arial"/>
                <w:sz w:val="12"/>
                <w:szCs w:val="12"/>
                <w:b w:val="1"/>
                <w:bCs w:val="1"/>
                <w:color w:val="auto"/>
                <w:w w:val="96"/>
              </w:rPr>
              <w:t>Year Ended</w:t>
            </w:r>
          </w:p>
        </w:tc>
        <w:tc>
          <w:tcPr>
            <w:tcW w:w="40" w:type="dxa"/>
            <w:vAlign w:val="bottom"/>
          </w:tcPr>
          <w:p>
            <w:pPr>
              <w:spacing w:after="0"/>
              <w:rPr>
                <w:sz w:val="10"/>
                <w:szCs w:val="10"/>
                <w:color w:val="auto"/>
              </w:rPr>
            </w:pPr>
          </w:p>
        </w:tc>
      </w:tr>
      <w:tr>
        <w:trPr>
          <w:trHeight w:val="143"/>
        </w:trPr>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September 30, 2013</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w w:val="89"/>
              </w:rPr>
              <w:t>September 30, 2012</w:t>
            </w:r>
          </w:p>
        </w:tc>
      </w:tr>
      <w:tr>
        <w:trPr>
          <w:trHeight w:val="136"/>
        </w:trPr>
        <w:tc>
          <w:tcPr>
            <w:tcW w:w="1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color w:val="auto"/>
              </w:rPr>
              <w:t>$</w:t>
            </w:r>
          </w:p>
        </w:tc>
        <w:tc>
          <w:tcPr>
            <w:tcW w:w="8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108,952,500</w:t>
            </w: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color w:val="auto"/>
              </w:rPr>
              <w:t>$</w:t>
            </w:r>
          </w:p>
        </w:tc>
        <w:tc>
          <w:tcPr>
            <w:tcW w:w="8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238,792,125</w:t>
            </w:r>
          </w:p>
        </w:tc>
        <w:tc>
          <w:tcPr>
            <w:tcW w:w="40" w:type="dxa"/>
            <w:vAlign w:val="bottom"/>
          </w:tcPr>
          <w:p>
            <w:pPr>
              <w:spacing w:after="0"/>
              <w:rPr>
                <w:sz w:val="11"/>
                <w:szCs w:val="11"/>
                <w:color w:val="auto"/>
              </w:rPr>
            </w:pPr>
          </w:p>
        </w:tc>
      </w:tr>
      <w:tr>
        <w:trPr>
          <w:trHeight w:val="148"/>
        </w:trPr>
        <w:tc>
          <w:tcPr>
            <w:tcW w:w="120" w:type="dxa"/>
            <w:vAlign w:val="bottom"/>
          </w:tcPr>
          <w:p>
            <w:pPr>
              <w:spacing w:after="0"/>
              <w:rPr>
                <w:sz w:val="12"/>
                <w:szCs w:val="12"/>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2"/>
                <w:szCs w:val="12"/>
                <w:color w:val="auto"/>
              </w:rPr>
              <w:t>547,500</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1,560,375</w:t>
            </w:r>
          </w:p>
        </w:tc>
      </w:tr>
      <w:tr>
        <w:trPr>
          <w:trHeight w:val="149"/>
        </w:trPr>
        <w:tc>
          <w:tcPr>
            <w:tcW w:w="120" w:type="dxa"/>
            <w:vAlign w:val="bottom"/>
          </w:tcPr>
          <w:p>
            <w:pPr>
              <w:spacing w:after="0"/>
              <w:rPr>
                <w:sz w:val="12"/>
                <w:szCs w:val="12"/>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2"/>
                <w:szCs w:val="12"/>
                <w:color w:val="auto"/>
              </w:rPr>
              <w:t>660,800,000</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556,800,000</w:t>
            </w:r>
          </w:p>
        </w:tc>
      </w:tr>
      <w:tr>
        <w:trPr>
          <w:trHeight w:val="148"/>
        </w:trPr>
        <w:tc>
          <w:tcPr>
            <w:tcW w:w="120" w:type="dxa"/>
            <w:vAlign w:val="bottom"/>
          </w:tcPr>
          <w:p>
            <w:pPr>
              <w:spacing w:after="0"/>
              <w:rPr>
                <w:sz w:val="12"/>
                <w:szCs w:val="12"/>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2"/>
                <w:szCs w:val="12"/>
                <w:color w:val="auto"/>
              </w:rPr>
              <w:t>(652,800,000)</w:t>
            </w: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(688,200,000)</w:t>
            </w:r>
          </w:p>
        </w:tc>
      </w:tr>
      <w:tr>
        <w:trPr>
          <w:trHeight w:val="141"/>
        </w:trPr>
        <w:tc>
          <w:tcPr>
            <w:tcW w:w="120" w:type="dxa"/>
            <w:vAlign w:val="bottom"/>
          </w:tcPr>
          <w:p>
            <w:pPr>
              <w:spacing w:after="0"/>
              <w:rPr>
                <w:sz w:val="12"/>
                <w:szCs w:val="12"/>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p>
    <w:p>
      <w:pPr>
        <w:sectPr>
          <w:pgSz w:w="11900" w:h="16838" w:orient="portrait"/>
          <w:cols w:equalWidth="0" w:num="2">
            <w:col w:w="7880" w:space="720"/>
            <w:col w:w="26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00" w:type="dxa"/>
            <w:vAlign w:val="bottom"/>
            <w:vMerge w:val="restart"/>
          </w:tcPr>
          <w:p>
            <w:pPr>
              <w:spacing w:after="0"/>
              <w:rPr>
                <w:sz w:val="20"/>
                <w:szCs w:val="20"/>
                <w:color w:val="auto"/>
              </w:rPr>
            </w:pPr>
            <w:r>
              <w:rPr>
                <w:rFonts w:ascii="Arial" w:cs="Arial" w:eastAsia="Arial" w:hAnsi="Arial"/>
                <w:sz w:val="12"/>
                <w:szCs w:val="12"/>
                <w:color w:val="auto"/>
              </w:rPr>
              <w:t>Ending Balance (Cost – $117,500,000 and $109,500,000, respectively)</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600" w:type="dxa"/>
            <w:vAlign w:val="bottom"/>
            <w:vMerge w:val="continue"/>
          </w:tcPr>
          <w:p>
            <w:pPr>
              <w:spacing w:after="0"/>
              <w:rPr>
                <w:sz w:val="11"/>
                <w:szCs w:val="11"/>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117,500,000</w:t>
            </w: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108,952,500</w:t>
            </w:r>
          </w:p>
        </w:tc>
        <w:tc>
          <w:tcPr>
            <w:tcW w:w="0" w:type="dxa"/>
            <w:vAlign w:val="bottom"/>
          </w:tcPr>
          <w:p>
            <w:pPr>
              <w:spacing w:after="0"/>
              <w:rPr>
                <w:sz w:val="1"/>
                <w:szCs w:val="1"/>
                <w:color w:val="auto"/>
              </w:rPr>
            </w:pPr>
          </w:p>
        </w:tc>
      </w:tr>
      <w:tr>
        <w:trPr>
          <w:trHeight w:val="148"/>
        </w:trPr>
        <w:tc>
          <w:tcPr>
            <w:tcW w:w="86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Temporary draw outstanding, at cost</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28,000,000</w:t>
            </w:r>
          </w:p>
        </w:tc>
        <w:tc>
          <w:tcPr>
            <w:tcW w:w="6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0" w:type="dxa"/>
            <w:vAlign w:val="bottom"/>
          </w:tcPr>
          <w:p>
            <w:pPr>
              <w:spacing w:after="0"/>
              <w:rPr>
                <w:sz w:val="20"/>
                <w:szCs w:val="20"/>
                <w:color w:val="auto"/>
              </w:rPr>
            </w:pPr>
            <w:r>
              <w:rPr>
                <w:rFonts w:ascii="Arial" w:cs="Arial" w:eastAsia="Arial" w:hAnsi="Arial"/>
                <w:sz w:val="12"/>
                <w:szCs w:val="12"/>
                <w:color w:val="auto"/>
              </w:rPr>
              <w:t>Ending Balance (Cost – $145,500,000 and 145,000,000, respectively)</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145,500,000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144,452,500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9914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76"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0"/>
          <w:szCs w:val="10"/>
          <w:color w:val="auto"/>
        </w:rPr>
      </w:pPr>
      <w:r>
        <w:rPr>
          <w:rFonts w:ascii="Arial" w:cs="Arial" w:eastAsia="Arial" w:hAnsi="Arial"/>
          <w:sz w:val="12"/>
          <w:szCs w:val="12"/>
          <w:color w:val="auto"/>
        </w:rPr>
        <w:t>Excludes temporary draws.</w:t>
      </w:r>
    </w:p>
    <w:p>
      <w:pPr>
        <w:spacing w:after="0" w:line="105" w:lineRule="exact"/>
        <w:rPr>
          <w:sz w:val="20"/>
          <w:szCs w:val="20"/>
          <w:color w:val="auto"/>
        </w:rPr>
      </w:pPr>
    </w:p>
    <w:p>
      <w:pPr>
        <w:ind w:right="20" w:firstLine="674"/>
        <w:spacing w:after="0" w:line="261" w:lineRule="auto"/>
        <w:rPr>
          <w:sz w:val="20"/>
          <w:szCs w:val="20"/>
          <w:color w:val="auto"/>
        </w:rPr>
      </w:pPr>
      <w:r>
        <w:rPr>
          <w:rFonts w:ascii="Arial" w:cs="Arial" w:eastAsia="Arial" w:hAnsi="Arial"/>
          <w:sz w:val="11"/>
          <w:szCs w:val="11"/>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TRANSACTIONS WITH AND INCOME ACCRUED FROM AFFILIATED COMPANIES</w:t>
      </w:r>
    </w:p>
    <w:p>
      <w:pPr>
        <w:spacing w:after="0" w:line="107" w:lineRule="exact"/>
        <w:rPr>
          <w:sz w:val="20"/>
          <w:szCs w:val="20"/>
          <w:color w:val="auto"/>
        </w:rPr>
      </w:pPr>
    </w:p>
    <w:p>
      <w:pPr>
        <w:ind w:right="260" w:firstLine="674"/>
        <w:spacing w:after="0" w:line="252" w:lineRule="auto"/>
        <w:rPr>
          <w:sz w:val="20"/>
          <w:szCs w:val="20"/>
          <w:color w:val="auto"/>
        </w:rPr>
      </w:pPr>
      <w:r>
        <w:rPr>
          <w:rFonts w:ascii="Arial" w:cs="Arial" w:eastAsia="Arial" w:hAnsi="Arial"/>
          <w:sz w:val="12"/>
          <w:szCs w:val="12"/>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Purchases of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1"/>
              </w:rPr>
              <w:t>Sale of /</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Investment</w:t>
            </w:r>
          </w:p>
        </w:tc>
        <w:tc>
          <w:tcPr>
            <w:tcW w:w="10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Fair Value at</w:t>
            </w:r>
          </w:p>
        </w:tc>
        <w:tc>
          <w:tcPr>
            <w:tcW w:w="90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84"/>
              </w:rPr>
              <w:t>Advances to</w:t>
            </w:r>
          </w:p>
        </w:tc>
        <w:tc>
          <w:tcPr>
            <w:tcW w:w="180" w:type="dxa"/>
            <w:vAlign w:val="bottom"/>
          </w:tcPr>
          <w:p>
            <w:pPr>
              <w:spacing w:after="0"/>
              <w:rPr>
                <w:sz w:val="11"/>
                <w:szCs w:val="11"/>
                <w:color w:val="auto"/>
              </w:rPr>
            </w:pPr>
          </w:p>
        </w:tc>
        <w:tc>
          <w:tcPr>
            <w:tcW w:w="960" w:type="dxa"/>
            <w:vAlign w:val="bottom"/>
            <w:gridSpan w:val="3"/>
          </w:tcPr>
          <w:p>
            <w:pPr>
              <w:jc w:val="right"/>
              <w:ind w:right="260"/>
              <w:spacing w:after="0" w:line="135" w:lineRule="exact"/>
              <w:rPr>
                <w:sz w:val="20"/>
                <w:szCs w:val="20"/>
                <w:color w:val="auto"/>
              </w:rPr>
            </w:pPr>
            <w:r>
              <w:rPr>
                <w:rFonts w:ascii="Arial" w:cs="Arial" w:eastAsia="Arial" w:hAnsi="Arial"/>
                <w:sz w:val="12"/>
                <w:szCs w:val="12"/>
                <w:b w:val="1"/>
                <w:bCs w:val="1"/>
                <w:color w:val="auto"/>
                <w:w w:val="91"/>
              </w:rPr>
              <w:t>Distributions</w:t>
            </w:r>
          </w:p>
        </w:tc>
        <w:tc>
          <w:tcPr>
            <w:tcW w:w="240" w:type="dxa"/>
            <w:vAlign w:val="bottom"/>
          </w:tcPr>
          <w:p>
            <w:pPr>
              <w:spacing w:after="0"/>
              <w:rPr>
                <w:sz w:val="11"/>
                <w:szCs w:val="11"/>
                <w:color w:val="auto"/>
              </w:rPr>
            </w:pPr>
          </w:p>
        </w:tc>
        <w:tc>
          <w:tcPr>
            <w:tcW w:w="920" w:type="dxa"/>
            <w:vAlign w:val="bottom"/>
            <w:gridSpan w:val="2"/>
          </w:tcPr>
          <w:p>
            <w:pPr>
              <w:jc w:val="center"/>
              <w:ind w:right="440"/>
              <w:spacing w:after="0" w:line="135" w:lineRule="exact"/>
              <w:rPr>
                <w:sz w:val="20"/>
                <w:szCs w:val="20"/>
                <w:color w:val="auto"/>
              </w:rPr>
            </w:pPr>
            <w:r>
              <w:rPr>
                <w:rFonts w:ascii="Arial" w:cs="Arial" w:eastAsia="Arial" w:hAnsi="Arial"/>
                <w:sz w:val="12"/>
                <w:szCs w:val="12"/>
                <w:b w:val="1"/>
                <w:bCs w:val="1"/>
                <w:color w:val="auto"/>
                <w:w w:val="85"/>
              </w:rPr>
              <w:t>Income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Fair Value at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Capital Gains /</w:t>
            </w:r>
          </w:p>
        </w:tc>
        <w:tc>
          <w:tcPr>
            <w:tcW w:w="0" w:type="dxa"/>
            <w:vAlign w:val="bottom"/>
          </w:tcPr>
          <w:p>
            <w:pPr>
              <w:spacing w:after="0"/>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September 30, 2012</w:t>
            </w:r>
          </w:p>
        </w:tc>
        <w:tc>
          <w:tcPr>
            <w:tcW w:w="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Affiliates</w:t>
            </w:r>
          </w:p>
        </w:tc>
        <w:tc>
          <w:tcPr>
            <w:tcW w:w="1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 Affiliates</w:t>
            </w:r>
          </w:p>
        </w:tc>
        <w:tc>
          <w:tcPr>
            <w:tcW w:w="24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Accrued</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 2013</w:t>
            </w:r>
          </w:p>
        </w:tc>
        <w:tc>
          <w:tcPr>
            <w:tcW w:w="12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9"/>
              </w:rPr>
              <w:t>(Losses)</w:t>
            </w:r>
          </w:p>
        </w:tc>
        <w:tc>
          <w:tcPr>
            <w:tcW w:w="0" w:type="dxa"/>
            <w:vAlign w:val="bottom"/>
          </w:tcPr>
          <w:p>
            <w:pPr>
              <w:spacing w:after="0"/>
              <w:rPr>
                <w:sz w:val="1"/>
                <w:szCs w:val="1"/>
                <w:color w:val="auto"/>
              </w:rPr>
            </w:pPr>
          </w:p>
        </w:tc>
      </w:tr>
      <w:tr>
        <w:trPr>
          <w:trHeight w:val="128"/>
        </w:trPr>
        <w:tc>
          <w:tcPr>
            <w:tcW w:w="4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Controlled Affiliates</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rPr>
                <w:sz w:val="20"/>
                <w:szCs w:val="20"/>
                <w:color w:val="auto"/>
              </w:rPr>
            </w:pPr>
            <w:r>
              <w:rPr>
                <w:rFonts w:ascii="Arial" w:cs="Arial" w:eastAsia="Arial" w:hAnsi="Arial"/>
                <w:sz w:val="12"/>
                <w:szCs w:val="12"/>
                <w:color w:val="auto"/>
              </w:rPr>
              <w:t>SuttonPark Holdings, Inc.</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13,175,000</w:t>
            </w:r>
          </w:p>
        </w:tc>
        <w:tc>
          <w:tcPr>
            <w:tcW w:w="4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5,500,000</w:t>
            </w:r>
          </w:p>
        </w:tc>
        <w:tc>
          <w:tcPr>
            <w:tcW w:w="3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(7,500,000)</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1,798,319</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2"/>
                <w:szCs w:val="12"/>
                <w:color w:val="auto"/>
              </w:rPr>
              <w:t>13,500,000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Universal Pegasus International, LLC</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24,456,708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1,341,667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(2,041,667)</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7"/>
              </w:rPr>
              <w:t>3,008,010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19,468,711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Non-Controlled Affiliates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Direct Buy Holdings, Inc. **</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956,224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7"/>
              </w:rPr>
              <w:t>1,412,589</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17,805,936</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(1,350,000)</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rPr>
                <w:sz w:val="20"/>
                <w:szCs w:val="20"/>
                <w:color w:val="auto"/>
              </w:rPr>
            </w:pPr>
            <w:r>
              <w:rPr>
                <w:rFonts w:ascii="Arial" w:cs="Arial" w:eastAsia="Arial" w:hAnsi="Arial"/>
                <w:sz w:val="12"/>
                <w:szCs w:val="12"/>
                <w:color w:val="auto"/>
              </w:rPr>
              <w:t>Envirosolutions, Inc.</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18,425,519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1,835,978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2"/>
                <w:szCs w:val="12"/>
                <w:color w:val="auto"/>
              </w:rPr>
              <w:t>21,265,345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PAS International Holdings, Inc. *</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17,946,928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77,584</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1,694,296</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(1,999,960)</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rPr>
                <w:sz w:val="20"/>
                <w:szCs w:val="20"/>
                <w:color w:val="auto"/>
              </w:rPr>
            </w:pPr>
            <w:r>
              <w:rPr>
                <w:rFonts w:ascii="Arial" w:cs="Arial" w:eastAsia="Arial" w:hAnsi="Arial"/>
                <w:sz w:val="12"/>
                <w:szCs w:val="12"/>
                <w:color w:val="auto"/>
              </w:rPr>
              <w:t>Performance Holdings, Inc.</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18,028,080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(15,851,005)</w:t>
            </w:r>
          </w:p>
        </w:tc>
        <w:tc>
          <w:tcPr>
            <w:tcW w:w="24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1,408,352</w:t>
            </w:r>
          </w:p>
        </w:tc>
        <w:tc>
          <w:tcPr>
            <w:tcW w:w="12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2"/>
                <w:szCs w:val="12"/>
                <w:color w:val="auto"/>
              </w:rPr>
              <w:t>2,500,165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107,804</w:t>
            </w: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 Champ, Inc.</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44,501,658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(1,478,400)</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7"/>
              </w:rPr>
              <w:t>3,540,001</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33,470,058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Controlled and Non-Controlled Affiliates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40" w:type="dxa"/>
            <w:vAlign w:val="bottom"/>
            <w:gridSpan w:val="2"/>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147,413,893</w:t>
            </w:r>
          </w:p>
        </w:tc>
        <w:tc>
          <w:tcPr>
            <w:tcW w:w="4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16,543,869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(26,871,072)</w:t>
            </w:r>
          </w:p>
        </w:tc>
        <w:tc>
          <w:tcPr>
            <w:tcW w:w="24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w w:val="86"/>
              </w:rPr>
              <w:t>11,244,855</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2"/>
                <w:szCs w:val="12"/>
                <w:color w:val="auto"/>
              </w:rPr>
              <w:t>109,704,511</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(3,242,156)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right="7120" w:firstLine="8"/>
        <w:spacing w:after="0" w:line="416" w:lineRule="auto"/>
        <w:tabs>
          <w:tab w:leader="none" w:pos="108" w:val="left"/>
        </w:tabs>
        <w:numPr>
          <w:ilvl w:val="0"/>
          <w:numId w:val="36"/>
        </w:numPr>
        <w:rPr>
          <w:rFonts w:ascii="Arial" w:cs="Arial" w:eastAsia="Arial" w:hAnsi="Arial"/>
          <w:sz w:val="9"/>
          <w:szCs w:val="9"/>
          <w:color w:val="auto"/>
        </w:rPr>
      </w:pPr>
      <w:r>
        <w:rPr>
          <w:rFonts w:ascii="Arial" w:cs="Arial" w:eastAsia="Arial" w:hAnsi="Arial"/>
          <w:sz w:val="9"/>
          <w:szCs w:val="9"/>
          <w:color w:val="auto"/>
        </w:rPr>
        <w:t>Became a non-controlled affiliate during the three months ended March 31, 2013. **Became a non-controlled affiliate during the three months ended December 31, 2012.</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CHANGE IN NET ASSETS FROM OPERATIONS PER COMMON SHARE</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information sets forth the computation of basic and diluted per share net increase in net assets resulting from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180" w:type="dxa"/>
            <w:vAlign w:val="bottom"/>
            <w:vMerge w:val="restart"/>
          </w:tcPr>
          <w:p>
            <w:pPr>
              <w:spacing w:after="0"/>
              <w:rPr>
                <w:sz w:val="20"/>
                <w:szCs w:val="20"/>
                <w:color w:val="auto"/>
              </w:rPr>
            </w:pPr>
            <w:r>
              <w:rPr>
                <w:rFonts w:ascii="Arial" w:cs="Arial" w:eastAsia="Arial" w:hAnsi="Arial"/>
                <w:sz w:val="12"/>
                <w:szCs w:val="12"/>
                <w:b w:val="1"/>
                <w:bCs w:val="1"/>
                <w:color w:val="auto"/>
              </w:rPr>
              <w:t>Class and Year</w:t>
            </w:r>
          </w:p>
        </w:tc>
        <w:tc>
          <w:tcPr>
            <w:tcW w:w="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w w:val="96"/>
              </w:rPr>
              <w:t>Years ended September 30,</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Numerator for net increase in net assets resulting from operations</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6"/>
              </w:rPr>
              <w:t>91,777,652</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6"/>
              </w:rPr>
              <w:t>63,353,100</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6"/>
              </w:rPr>
              <w:t>10,263,474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20"/>
                <w:szCs w:val="20"/>
                <w:color w:val="auto"/>
              </w:rPr>
            </w:pPr>
            <w:r>
              <w:rPr>
                <w:rFonts w:ascii="Arial" w:cs="Arial" w:eastAsia="Arial" w:hAnsi="Arial"/>
                <w:sz w:val="12"/>
                <w:szCs w:val="12"/>
                <w:color w:val="auto"/>
              </w:rPr>
              <w:t>Denominator for basic/diluted and weighted average 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w w:val="86"/>
              </w:rPr>
              <w:t>66,380,829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w w:val="89"/>
              </w:rPr>
              <w:t>52,969,278*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42,196,076</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Basic/diluted net increase in net assets per share resulting from operations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The denominator for diluted weighted average shares was 52,975,015 shares.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240"/>
          </w:cols>
          <w:pgMar w:left="320" w:top="459"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jc w:val="center"/>
        <w:spacing w:after="0"/>
        <w:rPr>
          <w:sz w:val="20"/>
          <w:szCs w:val="20"/>
          <w:color w:val="auto"/>
        </w:rPr>
      </w:pPr>
      <w:r>
        <w:rPr>
          <w:rFonts w:ascii="Arial" w:cs="Arial" w:eastAsia="Arial" w:hAnsi="Arial"/>
          <w:sz w:val="12"/>
          <w:szCs w:val="12"/>
          <w:b w:val="1"/>
          <w:bCs w:val="1"/>
          <w:color w:val="auto"/>
        </w:rPr>
        <w:t>SEPTEMBER 30, 2013</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TAXES AND DISTRIBUTIONS</w:t>
      </w:r>
    </w:p>
    <w:p>
      <w:pPr>
        <w:spacing w:after="0" w:line="107" w:lineRule="exact"/>
        <w:rPr>
          <w:sz w:val="20"/>
          <w:szCs w:val="20"/>
          <w:color w:val="auto"/>
        </w:rPr>
      </w:pPr>
    </w:p>
    <w:p>
      <w:pPr>
        <w:ind w:right="100" w:firstLine="674"/>
        <w:spacing w:after="0" w:line="276" w:lineRule="auto"/>
        <w:rPr>
          <w:sz w:val="20"/>
          <w:szCs w:val="20"/>
          <w:color w:val="auto"/>
        </w:rPr>
      </w:pPr>
      <w:r>
        <w:rPr>
          <w:rFonts w:ascii="Arial" w:cs="Arial" w:eastAsia="Arial" w:hAnsi="Arial"/>
          <w:sz w:val="11"/>
          <w:szCs w:val="11"/>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2013</w:t>
            </w: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28"/>
        </w:trPr>
        <w:tc>
          <w:tcPr>
            <w:tcW w:w="75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Increase (Decrease) in paid-in capital</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903,627</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276,902</w:t>
            </w: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(228,824)</w:t>
            </w:r>
          </w:p>
        </w:tc>
        <w:tc>
          <w:tcPr>
            <w:tcW w:w="100" w:type="dxa"/>
            <w:vAlign w:val="bottom"/>
            <w:shd w:val="clear" w:color="auto" w:fill="CCEEFF"/>
          </w:tcPr>
          <w:p>
            <w:pPr>
              <w:spacing w:after="0"/>
              <w:rPr>
                <w:sz w:val="11"/>
                <w:szCs w:val="1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2"/>
                <w:szCs w:val="12"/>
                <w:color w:val="auto"/>
              </w:rPr>
              <w:t>Increase (Decrease) in accumulated net realized loss</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(824,021)</w:t>
            </w:r>
          </w:p>
        </w:tc>
        <w:tc>
          <w:tcPr>
            <w:tcW w:w="18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2,176,918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(Decrease) Increase in undistributed net investment income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(79,606)</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(2,453,820)</w:t>
            </w:r>
          </w:p>
        </w:tc>
        <w:tc>
          <w:tcPr>
            <w:tcW w:w="4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228,824</w:t>
            </w:r>
          </w:p>
        </w:tc>
      </w:tr>
    </w:tbl>
    <w:p>
      <w:pPr>
        <w:spacing w:after="0" w:line="102" w:lineRule="exact"/>
        <w:rPr>
          <w:sz w:val="20"/>
          <w:szCs w:val="20"/>
          <w:color w:val="auto"/>
        </w:rPr>
      </w:pPr>
    </w:p>
    <w:p>
      <w:pPr>
        <w:ind w:right="260" w:firstLine="674"/>
        <w:spacing w:after="0" w:line="252" w:lineRule="auto"/>
        <w:rPr>
          <w:sz w:val="20"/>
          <w:szCs w:val="20"/>
          <w:color w:val="auto"/>
        </w:rPr>
      </w:pPr>
      <w:r>
        <w:rPr>
          <w:rFonts w:ascii="Arial" w:cs="Arial" w:eastAsia="Arial" w:hAnsi="Arial"/>
          <w:sz w:val="12"/>
          <w:szCs w:val="12"/>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ectPr>
          <w:pgSz w:w="11900" w:h="16838" w:orient="portrait"/>
          <w:cols w:equalWidth="0" w:num="1">
            <w:col w:w="11240"/>
          </w:cols>
          <w:pgMar w:left="320" w:top="459" w:right="339" w:bottom="1440" w:gutter="0" w:footer="0" w:header="0"/>
        </w:sectPr>
      </w:pPr>
    </w:p>
    <w:p>
      <w:pPr>
        <w:spacing w:after="0" w:line="8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reconciles net increase in net assets resulting from operations to taxable income: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Net realized (gain) loss on investments not taxable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unrealized (appreciation) depreciation on investments, Credit Facility and 2025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Other temporary book-to-tax differences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3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Taxable income before deductions for distributions</w:t>
      </w:r>
    </w:p>
    <w:p>
      <w:pPr>
        <w:spacing w:after="0" w:line="146" w:lineRule="exact"/>
        <w:rPr>
          <w:sz w:val="20"/>
          <w:szCs w:val="20"/>
          <w:color w:val="auto"/>
        </w:rPr>
      </w:pPr>
    </w:p>
    <w:p>
      <w:pPr>
        <w:jc w:val="right"/>
        <w:ind w:right="920"/>
        <w:spacing w:after="0"/>
        <w:rPr>
          <w:sz w:val="20"/>
          <w:szCs w:val="20"/>
          <w:color w:val="auto"/>
        </w:rPr>
      </w:pPr>
      <w:r>
        <w:rPr>
          <w:rFonts w:ascii="Arial" w:cs="Arial" w:eastAsia="Arial" w:hAnsi="Arial"/>
          <w:sz w:val="11"/>
          <w:szCs w:val="11"/>
          <w:color w:val="auto"/>
        </w:rPr>
        <w:t>The components of accumulated surplus on tax basis and reconciliation to accumulated deficit on a book basis are as follows: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Years Ended 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2013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2"/>
                <w:szCs w:val="12"/>
                <w:b w:val="1"/>
                <w:bCs w:val="1"/>
                <w:color w:val="auto"/>
              </w:rPr>
              <w:t>2011</w:t>
            </w:r>
          </w:p>
        </w:tc>
        <w:tc>
          <w:tcPr>
            <w:tcW w:w="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w w:val="85"/>
              </w:rPr>
              <w:t>$ 91,777,652</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w w:val="88"/>
              </w:rPr>
              <w:t>$ 63,353,100</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w w:val="88"/>
              </w:rPr>
              <w:t>$ 10,263,474</w:t>
            </w:r>
          </w:p>
        </w:tc>
        <w:tc>
          <w:tcPr>
            <w:tcW w:w="40" w:type="dxa"/>
            <w:vAlign w:val="bottom"/>
          </w:tcPr>
          <w:p>
            <w:pPr>
              <w:spacing w:after="0"/>
              <w:rPr>
                <w:sz w:val="11"/>
                <w:szCs w:val="11"/>
                <w:color w:val="auto"/>
              </w:rPr>
            </w:pPr>
          </w:p>
        </w:tc>
      </w:tr>
      <w:tr>
        <w:trPr>
          <w:trHeight w:val="148"/>
        </w:trPr>
        <w:tc>
          <w:tcPr>
            <w:tcW w:w="920" w:type="dxa"/>
            <w:vAlign w:val="bottom"/>
            <w:gridSpan w:val="4"/>
          </w:tcPr>
          <w:p>
            <w:pPr>
              <w:jc w:val="right"/>
              <w:ind w:right="240"/>
              <w:spacing w:after="0"/>
              <w:rPr>
                <w:sz w:val="20"/>
                <w:szCs w:val="20"/>
                <w:color w:val="auto"/>
              </w:rPr>
            </w:pPr>
            <w:r>
              <w:rPr>
                <w:rFonts w:ascii="Arial" w:cs="Arial" w:eastAsia="Arial" w:hAnsi="Arial"/>
                <w:sz w:val="12"/>
                <w:szCs w:val="12"/>
                <w:color w:val="auto"/>
                <w:w w:val="96"/>
              </w:rPr>
              <w:t>(17,687,211)</w:t>
            </w:r>
          </w:p>
        </w:tc>
        <w:tc>
          <w:tcPr>
            <w:tcW w:w="1160" w:type="dxa"/>
            <w:vAlign w:val="bottom"/>
            <w:gridSpan w:val="3"/>
          </w:tcPr>
          <w:p>
            <w:pPr>
              <w:jc w:val="right"/>
              <w:ind w:right="280"/>
              <w:spacing w:after="0"/>
              <w:rPr>
                <w:sz w:val="20"/>
                <w:szCs w:val="20"/>
                <w:color w:val="auto"/>
              </w:rPr>
            </w:pPr>
            <w:r>
              <w:rPr>
                <w:rFonts w:ascii="Arial" w:cs="Arial" w:eastAsia="Arial" w:hAnsi="Arial"/>
                <w:sz w:val="12"/>
                <w:szCs w:val="12"/>
                <w:color w:val="auto"/>
              </w:rPr>
              <w:t>12,798,035</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(16,259,622)</w:t>
            </w:r>
          </w:p>
        </w:tc>
      </w:tr>
      <w:tr>
        <w:trPr>
          <w:trHeight w:val="148"/>
        </w:trPr>
        <w:tc>
          <w:tcPr>
            <w:tcW w:w="920" w:type="dxa"/>
            <w:vAlign w:val="bottom"/>
            <w:gridSpan w:val="4"/>
          </w:tcPr>
          <w:p>
            <w:pPr>
              <w:jc w:val="right"/>
              <w:ind w:right="240"/>
              <w:spacing w:after="0"/>
              <w:rPr>
                <w:sz w:val="20"/>
                <w:szCs w:val="20"/>
                <w:color w:val="auto"/>
              </w:rPr>
            </w:pPr>
            <w:r>
              <w:rPr>
                <w:rFonts w:ascii="Arial" w:cs="Arial" w:eastAsia="Arial" w:hAnsi="Arial"/>
                <w:sz w:val="12"/>
                <w:szCs w:val="12"/>
                <w:color w:val="auto"/>
              </w:rPr>
              <w:t>(7,092,320)</w:t>
            </w:r>
          </w:p>
        </w:tc>
        <w:tc>
          <w:tcPr>
            <w:tcW w:w="1160" w:type="dxa"/>
            <w:vAlign w:val="bottom"/>
            <w:gridSpan w:val="3"/>
          </w:tcPr>
          <w:p>
            <w:pPr>
              <w:jc w:val="right"/>
              <w:ind w:right="240"/>
              <w:spacing w:after="0"/>
              <w:rPr>
                <w:sz w:val="20"/>
                <w:szCs w:val="20"/>
                <w:color w:val="auto"/>
              </w:rPr>
            </w:pPr>
            <w:r>
              <w:rPr>
                <w:rFonts w:ascii="Arial" w:cs="Arial" w:eastAsia="Arial" w:hAnsi="Arial"/>
                <w:sz w:val="12"/>
                <w:szCs w:val="12"/>
                <w:color w:val="auto"/>
              </w:rPr>
              <w:t>(19,081,794)</w:t>
            </w:r>
          </w:p>
        </w:tc>
        <w:tc>
          <w:tcPr>
            <w:tcW w:w="920" w:type="dxa"/>
            <w:vAlign w:val="bottom"/>
            <w:gridSpan w:val="3"/>
          </w:tcPr>
          <w:p>
            <w:pPr>
              <w:jc w:val="right"/>
              <w:ind w:right="40"/>
              <w:spacing w:after="0"/>
              <w:rPr>
                <w:sz w:val="20"/>
                <w:szCs w:val="20"/>
                <w:color w:val="auto"/>
              </w:rPr>
            </w:pPr>
            <w:r>
              <w:rPr>
                <w:rFonts w:ascii="Arial" w:cs="Arial" w:eastAsia="Arial" w:hAnsi="Arial"/>
                <w:sz w:val="12"/>
                <w:szCs w:val="12"/>
                <w:color w:val="auto"/>
              </w:rPr>
              <w:t>58,641,223</w:t>
            </w:r>
          </w:p>
        </w:tc>
      </w:tr>
      <w:tr>
        <w:trPr>
          <w:trHeight w:val="148"/>
        </w:trPr>
        <w:tc>
          <w:tcPr>
            <w:tcW w:w="920" w:type="dxa"/>
            <w:vAlign w:val="bottom"/>
            <w:gridSpan w:val="4"/>
          </w:tcPr>
          <w:p>
            <w:pPr>
              <w:jc w:val="right"/>
              <w:ind w:right="240"/>
              <w:spacing w:after="0"/>
              <w:rPr>
                <w:sz w:val="20"/>
                <w:szCs w:val="20"/>
                <w:color w:val="auto"/>
              </w:rPr>
            </w:pPr>
            <w:r>
              <w:rPr>
                <w:rFonts w:ascii="Arial" w:cs="Arial" w:eastAsia="Arial" w:hAnsi="Arial"/>
                <w:sz w:val="12"/>
                <w:szCs w:val="12"/>
                <w:color w:val="auto"/>
              </w:rPr>
              <w:t>(3,035,861)</w:t>
            </w:r>
          </w:p>
        </w:tc>
        <w:tc>
          <w:tcPr>
            <w:tcW w:w="1160" w:type="dxa"/>
            <w:vAlign w:val="bottom"/>
            <w:gridSpan w:val="3"/>
          </w:tcPr>
          <w:p>
            <w:pPr>
              <w:jc w:val="right"/>
              <w:ind w:right="280"/>
              <w:spacing w:after="0"/>
              <w:rPr>
                <w:sz w:val="20"/>
                <w:szCs w:val="20"/>
                <w:color w:val="auto"/>
              </w:rPr>
            </w:pPr>
            <w:r>
              <w:rPr>
                <w:rFonts w:ascii="Arial" w:cs="Arial" w:eastAsia="Arial" w:hAnsi="Arial"/>
                <w:sz w:val="12"/>
                <w:szCs w:val="12"/>
                <w:color w:val="auto"/>
              </w:rPr>
              <w:t>2,444,817</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(3,178,194)</w:t>
            </w:r>
          </w:p>
        </w:tc>
      </w:tr>
      <w:tr>
        <w:trPr>
          <w:trHeight w:val="142"/>
        </w:trPr>
        <w:tc>
          <w:tcPr>
            <w:tcW w:w="2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2,715,980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307,990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228,824</w:t>
            </w:r>
          </w:p>
        </w:tc>
        <w:tc>
          <w:tcPr>
            <w:tcW w:w="40" w:type="dxa"/>
            <w:vAlign w:val="bottom"/>
          </w:tcPr>
          <w:p>
            <w:pPr>
              <w:spacing w:after="0"/>
              <w:rPr>
                <w:sz w:val="12"/>
                <w:szCs w:val="12"/>
                <w:color w:val="auto"/>
              </w:rPr>
            </w:pPr>
          </w:p>
        </w:tc>
      </w:tr>
      <w:tr>
        <w:trPr>
          <w:trHeight w:val="155"/>
        </w:trPr>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w w:val="88"/>
              </w:rPr>
              <w:t>$ 66,678,240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$ 59,822,148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$ 49,695,705</w:t>
            </w:r>
          </w:p>
        </w:tc>
        <w:tc>
          <w:tcPr>
            <w:tcW w:w="40" w:type="dxa"/>
            <w:vAlign w:val="bottom"/>
          </w:tcPr>
          <w:p>
            <w:pPr>
              <w:spacing w:after="0"/>
              <w:rPr>
                <w:sz w:val="13"/>
                <w:szCs w:val="13"/>
                <w:color w:val="auto"/>
              </w:rPr>
            </w:pPr>
          </w:p>
        </w:tc>
      </w:tr>
    </w:tbl>
    <w:p>
      <w:pPr>
        <w:spacing w:after="0" w:line="383" w:lineRule="exact"/>
        <w:rPr>
          <w:sz w:val="20"/>
          <w:szCs w:val="20"/>
          <w:color w:val="auto"/>
        </w:rPr>
      </w:pPr>
    </w:p>
    <w:p>
      <w:pPr>
        <w:sectPr>
          <w:pgSz w:w="11900" w:h="16838" w:orient="portrait"/>
          <w:cols w:equalWidth="0" w:num="2">
            <w:col w:w="7480" w:space="720"/>
            <w:col w:w="30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43"/>
        </w:trPr>
        <w:tc>
          <w:tcPr>
            <w:tcW w:w="29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w w:val="95"/>
              </w:rPr>
              <w:t>As of September 30,</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28"/>
        </w:trPr>
        <w:tc>
          <w:tcPr>
            <w:tcW w:w="81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Undistributed ordinary income – tax basis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15,325,379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6"/>
              </w:rPr>
              <w:t>18,634,553</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17,639,482</w:t>
            </w:r>
          </w:p>
        </w:tc>
        <w:tc>
          <w:tcPr>
            <w:tcW w:w="100" w:type="dxa"/>
            <w:vAlign w:val="bottom"/>
            <w:shd w:val="clear" w:color="auto" w:fill="CCEEFF"/>
          </w:tcPr>
          <w:p>
            <w:pPr>
              <w:spacing w:after="0"/>
              <w:rPr>
                <w:sz w:val="11"/>
                <w:szCs w:val="11"/>
                <w:color w:val="auto"/>
              </w:rPr>
            </w:pPr>
          </w:p>
        </w:tc>
      </w:tr>
      <w:tr>
        <w:trPr>
          <w:trHeight w:val="155"/>
        </w:trPr>
        <w:tc>
          <w:tcPr>
            <w:tcW w:w="8180" w:type="dxa"/>
            <w:vAlign w:val="bottom"/>
            <w:gridSpan w:val="2"/>
          </w:tcPr>
          <w:p>
            <w:pPr>
              <w:spacing w:after="0"/>
              <w:rPr>
                <w:sz w:val="20"/>
                <w:szCs w:val="20"/>
                <w:color w:val="auto"/>
              </w:rPr>
            </w:pPr>
            <w:r>
              <w:rPr>
                <w:rFonts w:ascii="Arial" w:cs="Arial" w:eastAsia="Arial" w:hAnsi="Arial"/>
                <w:sz w:val="12"/>
                <w:szCs w:val="12"/>
                <w:color w:val="auto"/>
              </w:rPr>
              <w:t>Undistributed long-term net capital gains</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49"/>
        </w:trPr>
        <w:tc>
          <w:tcPr>
            <w:tcW w:w="8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undistributed taxable income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15,325,379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6"/>
              </w:rPr>
              <w:t>18,634,553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17,639,482</w:t>
            </w:r>
          </w:p>
        </w:tc>
      </w:tr>
      <w:tr>
        <w:trPr>
          <w:trHeight w:val="148"/>
        </w:trPr>
        <w:tc>
          <w:tcPr>
            <w:tcW w:w="8180" w:type="dxa"/>
            <w:vAlign w:val="bottom"/>
            <w:gridSpan w:val="2"/>
          </w:tcPr>
          <w:p>
            <w:pPr>
              <w:spacing w:after="0"/>
              <w:rPr>
                <w:sz w:val="20"/>
                <w:szCs w:val="20"/>
                <w:color w:val="auto"/>
              </w:rPr>
            </w:pPr>
            <w:r>
              <w:rPr>
                <w:rFonts w:ascii="Arial" w:cs="Arial" w:eastAsia="Arial" w:hAnsi="Arial"/>
                <w:sz w:val="12"/>
                <w:szCs w:val="12"/>
                <w:color w:val="auto"/>
              </w:rPr>
              <w:t>Capital loss carry forwards</w:t>
            </w:r>
            <w:r>
              <w:rPr>
                <w:rFonts w:ascii="Arial" w:cs="Arial" w:eastAsia="Arial" w:hAnsi="Arial"/>
                <w:sz w:val="9"/>
                <w:szCs w:val="9"/>
                <w:color w:val="auto"/>
              </w:rPr>
              <w:t>(1) (2)</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(39,216,288)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w w:val="91"/>
              </w:rPr>
              <w:t>(56,786,282)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(47,030,821)</w:t>
            </w:r>
          </w:p>
        </w:tc>
      </w:tr>
      <w:tr>
        <w:trPr>
          <w:trHeight w:val="148"/>
        </w:trPr>
        <w:tc>
          <w:tcPr>
            <w:tcW w:w="8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Dividends payable and other temporary differences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(26,021,069)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1"/>
              </w:rPr>
              <w:t>(21,086,425)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(12,477,778)</w:t>
            </w:r>
          </w:p>
        </w:tc>
      </w:tr>
      <w:tr>
        <w:trPr>
          <w:trHeight w:val="148"/>
        </w:trPr>
        <w:tc>
          <w:tcPr>
            <w:tcW w:w="8180" w:type="dxa"/>
            <w:vAlign w:val="bottom"/>
            <w:gridSpan w:val="2"/>
          </w:tcPr>
          <w:p>
            <w:pPr>
              <w:spacing w:after="0"/>
              <w:rPr>
                <w:sz w:val="20"/>
                <w:szCs w:val="20"/>
                <w:color w:val="auto"/>
              </w:rPr>
            </w:pPr>
            <w:r>
              <w:rPr>
                <w:rFonts w:ascii="Arial" w:cs="Arial" w:eastAsia="Arial" w:hAnsi="Arial"/>
                <w:sz w:val="12"/>
                <w:szCs w:val="12"/>
                <w:color w:val="auto"/>
              </w:rPr>
              <w:t>Net unrealized appreciation (depreciation) of investments, Credit Facility and 2025 Notes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(8,727,689)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w w:val="91"/>
              </w:rPr>
              <w:t>(15,815,138)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(36,122,397)</w:t>
            </w:r>
          </w:p>
        </w:tc>
      </w:tr>
      <w:tr>
        <w:trPr>
          <w:trHeight w:val="27"/>
        </w:trPr>
        <w:tc>
          <w:tcPr>
            <w:tcW w:w="29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accumulated deficit – book basis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(58,639,667)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1"/>
              </w:rPr>
              <w:t>(75,053,292)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(77,991,514)</w:t>
            </w:r>
          </w:p>
        </w:tc>
      </w:tr>
      <w:tr>
        <w:trPr>
          <w:trHeight w:val="142"/>
        </w:trPr>
        <w:tc>
          <w:tcPr>
            <w:tcW w:w="2920" w:type="dxa"/>
            <w:vAlign w:val="bottom"/>
            <w:tcBorders>
              <w:bottom w:val="single" w:sz="8" w:color="auto"/>
            </w:tcBorders>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56"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 of September 30, 2013, the capital loss carry forward of $39.2 million expires, if not utilized against future capital gains, as follows: $39.2 million in 2018.</w:t>
      </w:r>
    </w:p>
    <w:p>
      <w:pPr>
        <w:spacing w:after="0" w:line="118" w:lineRule="exact"/>
        <w:rPr>
          <w:rFonts w:ascii="Arial" w:cs="Arial" w:eastAsia="Arial" w:hAnsi="Arial"/>
          <w:sz w:val="12"/>
          <w:szCs w:val="12"/>
          <w:color w:val="auto"/>
        </w:rPr>
      </w:pPr>
    </w:p>
    <w:p>
      <w:pPr>
        <w:ind w:left="220" w:right="20" w:hanging="212"/>
        <w:spacing w:after="0" w:line="252" w:lineRule="auto"/>
        <w:tabs>
          <w:tab w:leader="none" w:pos="2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88" w:lineRule="exact"/>
        <w:rPr>
          <w:sz w:val="20"/>
          <w:szCs w:val="20"/>
          <w:color w:val="auto"/>
        </w:rPr>
      </w:pPr>
    </w:p>
    <w:p>
      <w:pPr>
        <w:ind w:right="60" w:firstLine="674"/>
        <w:spacing w:after="0" w:line="252" w:lineRule="auto"/>
        <w:rPr>
          <w:sz w:val="20"/>
          <w:szCs w:val="20"/>
          <w:color w:val="auto"/>
        </w:rPr>
      </w:pPr>
      <w:r>
        <w:rPr>
          <w:rFonts w:ascii="Arial" w:cs="Arial" w:eastAsia="Arial" w:hAnsi="Arial"/>
          <w:sz w:val="12"/>
          <w:szCs w:val="12"/>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CASH EQUIVALENTS</w:t>
      </w:r>
    </w:p>
    <w:p>
      <w:pPr>
        <w:spacing w:after="0" w:line="107" w:lineRule="exact"/>
        <w:rPr>
          <w:sz w:val="20"/>
          <w:szCs w:val="20"/>
          <w:color w:val="auto"/>
        </w:rPr>
      </w:pPr>
    </w:p>
    <w:p>
      <w:pPr>
        <w:ind w:right="160" w:firstLine="674"/>
        <w:spacing w:after="0" w:line="333" w:lineRule="auto"/>
        <w:rPr>
          <w:sz w:val="20"/>
          <w:szCs w:val="20"/>
          <w:color w:val="auto"/>
        </w:rPr>
      </w:pPr>
      <w:r>
        <w:rPr>
          <w:rFonts w:ascii="Arial" w:cs="Arial" w:eastAsia="Arial" w:hAnsi="Arial"/>
          <w:sz w:val="9"/>
          <w:szCs w:val="9"/>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240"/>
          </w:cols>
          <w:pgMar w:left="320" w:top="459" w:right="3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PENNANTPARK INVESTMENT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39"/>
        <w:spacing w:after="0"/>
        <w:rPr>
          <w:sz w:val="20"/>
          <w:szCs w:val="20"/>
          <w:color w:val="auto"/>
        </w:rPr>
      </w:pPr>
      <w:r>
        <w:rPr>
          <w:rFonts w:ascii="Arial" w:cs="Arial" w:eastAsia="Arial" w:hAnsi="Arial"/>
          <w:sz w:val="12"/>
          <w:szCs w:val="12"/>
          <w:b w:val="1"/>
          <w:bCs w:val="1"/>
          <w:color w:val="auto"/>
        </w:rPr>
        <w:t>SEPTEMBER 30, 2013</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FINANCIAL HIGHLIGHTS</w:t>
      </w:r>
    </w:p>
    <w:p>
      <w:pPr>
        <w:sectPr>
          <w:pgSz w:w="11900" w:h="16838" w:orient="portrait"/>
          <w:cols w:equalWidth="0" w:num="1">
            <w:col w:w="11220"/>
          </w:cols>
          <w:pgMar w:left="320" w:top="459" w:right="359" w:bottom="1440" w:gutter="0" w:footer="0" w:header="0"/>
        </w:sectPr>
      </w:pPr>
    </w:p>
    <w:p>
      <w:pPr>
        <w:spacing w:after="0" w:line="107" w:lineRule="exact"/>
        <w:rPr>
          <w:sz w:val="20"/>
          <w:szCs w:val="20"/>
          <w:color w:val="auto"/>
        </w:rPr>
      </w:pPr>
    </w:p>
    <w:p>
      <w:pPr>
        <w:jc w:val="right"/>
        <w:ind w:right="600"/>
        <w:spacing w:after="0"/>
        <w:rPr>
          <w:sz w:val="20"/>
          <w:szCs w:val="20"/>
          <w:color w:val="auto"/>
        </w:rPr>
      </w:pPr>
      <w:r>
        <w:rPr>
          <w:rFonts w:ascii="Arial" w:cs="Arial" w:eastAsia="Arial" w:hAnsi="Arial"/>
          <w:sz w:val="12"/>
          <w:szCs w:val="12"/>
          <w:color w:val="auto"/>
        </w:rPr>
        <w:t>Below are the financial highlights for the years ended September 30:</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 Data:</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Net asset value, beginning of year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Cumulative effect of adoption of fair value option</w:t>
      </w:r>
      <w:r>
        <w:rPr>
          <w:rFonts w:ascii="Arial" w:cs="Arial" w:eastAsia="Arial" w:hAnsi="Arial"/>
          <w:sz w:val="9"/>
          <w:szCs w:val="9"/>
          <w:color w:val="auto"/>
        </w:rPr>
        <w:t>(1)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Adjusted net asset value, beginning of year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investment income</w:t>
      </w:r>
      <w:r>
        <w:rPr>
          <w:rFonts w:ascii="Arial" w:cs="Arial" w:eastAsia="Arial" w:hAnsi="Arial"/>
          <w:sz w:val="9"/>
          <w:szCs w:val="9"/>
          <w:color w:val="auto"/>
        </w:rPr>
        <w:t>(2)</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realized and unrealized gain (loss)</w:t>
      </w:r>
      <w:r>
        <w:rPr>
          <w:rFonts w:ascii="Arial" w:cs="Arial" w:eastAsia="Arial" w:hAnsi="Arial"/>
          <w:sz w:val="9"/>
          <w:szCs w:val="9"/>
          <w:color w:val="auto"/>
        </w:rPr>
        <w:t>(2)</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net assets resulting from operations</w:t>
      </w:r>
      <w:r>
        <w:rPr>
          <w:rFonts w:ascii="Arial" w:cs="Arial" w:eastAsia="Arial" w:hAnsi="Arial"/>
          <w:sz w:val="9"/>
          <w:szCs w:val="9"/>
          <w:color w:val="auto"/>
        </w:rPr>
        <w:t>(2)</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Distributions to stockholders</w:t>
      </w:r>
      <w:r>
        <w:rPr>
          <w:rFonts w:ascii="Arial" w:cs="Arial" w:eastAsia="Arial" w:hAnsi="Arial"/>
          <w:sz w:val="9"/>
          <w:szCs w:val="9"/>
          <w:color w:val="auto"/>
        </w:rPr>
        <w:t>(2),(3)</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Offering costs</w:t>
      </w:r>
      <w:r>
        <w:rPr>
          <w:rFonts w:ascii="Arial" w:cs="Arial" w:eastAsia="Arial" w:hAnsi="Arial"/>
          <w:sz w:val="9"/>
          <w:szCs w:val="9"/>
          <w:color w:val="auto"/>
        </w:rPr>
        <w:t>(2)</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Accretive (Dilutive) effect of common stock issuance</w:t>
      </w:r>
      <w:r>
        <w:rPr>
          <w:rFonts w:ascii="Arial" w:cs="Arial" w:eastAsia="Arial" w:hAnsi="Arial"/>
          <w:sz w:val="9"/>
          <w:szCs w:val="9"/>
          <w:color w:val="auto"/>
        </w:rPr>
        <w:t>(2)</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Net asset value, end of year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Per share market value, end of year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Total return</w:t>
      </w:r>
      <w:r>
        <w:rPr>
          <w:rFonts w:ascii="Arial" w:cs="Arial" w:eastAsia="Arial" w:hAnsi="Arial"/>
          <w:sz w:val="9"/>
          <w:szCs w:val="9"/>
          <w:color w:val="auto"/>
        </w:rPr>
        <w:t>(4)</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Shares outstanding at end of year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Ratio / Supplemental Data:</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Ratio of operating expenses to average net assets</w:t>
      </w:r>
      <w:r>
        <w:rPr>
          <w:rFonts w:ascii="Arial" w:cs="Arial" w:eastAsia="Arial" w:hAnsi="Arial"/>
          <w:sz w:val="9"/>
          <w:szCs w:val="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Ratio of Credit Facility related expenses to average net assets</w:t>
      </w:r>
      <w:r>
        <w:rPr>
          <w:rFonts w:ascii="Arial" w:cs="Arial" w:eastAsia="Arial" w:hAnsi="Arial"/>
          <w:sz w:val="9"/>
          <w:szCs w:val="9"/>
          <w:color w:val="auto"/>
        </w:rPr>
        <w:t>(8)</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Ratio of total expenses to average net assets</w:t>
      </w:r>
      <w:r>
        <w:rPr>
          <w:rFonts w:ascii="Arial" w:cs="Arial" w:eastAsia="Arial" w:hAnsi="Arial"/>
          <w:sz w:val="9"/>
          <w:szCs w:val="9"/>
          <w:color w:val="auto"/>
        </w:rPr>
        <w:t>(7),(8)</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Ratio of net investment income to average net assets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assets at end of year</w:t>
      </w:r>
      <w:r>
        <w:rPr>
          <w:rFonts w:ascii="Arial" w:cs="Arial" w:eastAsia="Arial" w:hAnsi="Arial"/>
          <w:sz w:val="9"/>
          <w:szCs w:val="9"/>
          <w:color w:val="auto"/>
        </w:rPr>
        <w:t>(8)</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debt outstanding</w:t>
      </w:r>
      <w:r>
        <w:rPr>
          <w:rFonts w:ascii="Arial" w:cs="Arial" w:eastAsia="Arial" w:hAnsi="Arial"/>
          <w:sz w:val="9"/>
          <w:szCs w:val="9"/>
          <w:color w:val="auto"/>
        </w:rPr>
        <w:t>(8)</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debt per share</w:t>
      </w:r>
      <w:r>
        <w:rPr>
          <w:rFonts w:ascii="Arial" w:cs="Arial" w:eastAsia="Arial" w:hAnsi="Arial"/>
          <w:sz w:val="9"/>
          <w:szCs w:val="9"/>
          <w:color w:val="auto"/>
        </w:rPr>
        <w:t>(8)</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Asset coverage per unit</w:t>
      </w:r>
      <w:r>
        <w:rPr>
          <w:rFonts w:ascii="Arial" w:cs="Arial" w:eastAsia="Arial" w:hAnsi="Arial"/>
          <w:sz w:val="9"/>
          <w:szCs w:val="9"/>
          <w:color w:val="auto"/>
        </w:rPr>
        <w:t>(9)</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Average market value per unit</w:t>
      </w:r>
      <w:r>
        <w:rPr>
          <w:rFonts w:ascii="Arial" w:cs="Arial" w:eastAsia="Arial" w:hAnsi="Arial"/>
          <w:sz w:val="9"/>
          <w:szCs w:val="9"/>
          <w:color w:val="auto"/>
        </w:rPr>
        <w:t>(10)</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7774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2012</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2011</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10.22</w:t>
            </w: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rPr>
              <w:t>10.13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10.69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11.85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r>
      <w:tr>
        <w:trPr>
          <w:trHeight w:val="142"/>
        </w:trPr>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1.99</w:t>
            </w:r>
          </w:p>
        </w:tc>
      </w:tr>
      <w:tr>
        <w:trPr>
          <w:trHeight w:val="20"/>
        </w:trPr>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10.22</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10.69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11.85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11.99</w:t>
            </w:r>
          </w:p>
        </w:tc>
      </w:tr>
      <w:tr>
        <w:trPr>
          <w:trHeight w:val="148"/>
        </w:trPr>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1.08</w:t>
            </w:r>
          </w:p>
        </w:tc>
      </w:tr>
      <w:tr>
        <w:trPr>
          <w:trHeight w:val="142"/>
        </w:trPr>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0.38</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0.12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(0.53)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0.62</w:t>
            </w:r>
          </w:p>
        </w:tc>
      </w:tr>
      <w:tr>
        <w:trPr>
          <w:trHeight w:val="20"/>
        </w:trPr>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0.56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1.70</w:t>
            </w:r>
          </w:p>
        </w:tc>
      </w:tr>
      <w:tr>
        <w:trPr>
          <w:trHeight w:val="148"/>
        </w:trPr>
        <w:tc>
          <w:tcPr>
            <w:tcW w:w="10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(1.12)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2"/>
                <w:szCs w:val="12"/>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(0.96)</w:t>
            </w:r>
          </w:p>
        </w:tc>
      </w:tr>
      <w:tr>
        <w:trPr>
          <w:trHeight w:val="148"/>
        </w:trPr>
        <w:tc>
          <w:tcPr>
            <w:tcW w:w="100" w:type="dxa"/>
            <w:vAlign w:val="bottom"/>
          </w:tcPr>
          <w:p>
            <w:pPr>
              <w:spacing w:after="0"/>
              <w:rPr>
                <w:sz w:val="12"/>
                <w:szCs w:val="1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12"/>
                <w:szCs w:val="12"/>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2"/>
                <w:szCs w:val="12"/>
                <w:color w:val="auto"/>
              </w:rPr>
              <w:t>(0.14)</w:t>
            </w: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(0.09)</w:t>
            </w:r>
          </w:p>
        </w:tc>
      </w:tr>
      <w:tr>
        <w:trPr>
          <w:trHeight w:val="142"/>
        </w:trPr>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0.17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0.44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(0.43)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(0.79)</w:t>
            </w:r>
          </w:p>
        </w:tc>
      </w:tr>
      <w:tr>
        <w:trPr>
          <w:trHeight w:val="20"/>
        </w:trPr>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10.49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10.22</w:t>
            </w:r>
          </w:p>
        </w:tc>
        <w:tc>
          <w:tcPr>
            <w:tcW w:w="5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10.13</w:t>
            </w:r>
          </w:p>
        </w:tc>
        <w:tc>
          <w:tcPr>
            <w:tcW w:w="6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10.69</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11.85</w:t>
            </w:r>
          </w:p>
        </w:tc>
      </w:tr>
      <w:tr>
        <w:trPr>
          <w:trHeight w:val="20"/>
        </w:trPr>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11.28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10.61</w:t>
            </w: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8.92</w:t>
            </w:r>
          </w:p>
        </w:tc>
        <w:tc>
          <w:tcPr>
            <w:tcW w:w="6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10.61</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8.11</w:t>
            </w:r>
          </w:p>
        </w:tc>
      </w:tr>
      <w:tr>
        <w:trPr>
          <w:trHeight w:val="148"/>
        </w:trPr>
        <w:tc>
          <w:tcPr>
            <w:tcW w:w="1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17.37%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28.71%</w:t>
            </w:r>
          </w:p>
        </w:tc>
        <w:tc>
          <w:tcPr>
            <w:tcW w:w="10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color w:val="auto"/>
              </w:rPr>
              <w:t>(7.37)%</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44.79%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30.39%</w:t>
            </w:r>
          </w:p>
        </w:tc>
      </w:tr>
      <w:tr>
        <w:trPr>
          <w:trHeight w:val="148"/>
        </w:trPr>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66,499,327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w w:val="99"/>
              </w:rPr>
              <w:t>65,514,503</w:t>
            </w:r>
          </w:p>
        </w:tc>
        <w:tc>
          <w:tcPr>
            <w:tcW w:w="1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w w:val="99"/>
              </w:rPr>
              <w:t>45,689,781</w:t>
            </w:r>
          </w:p>
        </w:tc>
        <w:tc>
          <w:tcPr>
            <w:tcW w:w="10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w w:val="99"/>
              </w:rPr>
              <w:t>36,158,772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25,368,772</w:t>
            </w:r>
          </w:p>
        </w:tc>
      </w:tr>
      <w:tr>
        <w:trPr>
          <w:trHeight w:val="297"/>
        </w:trPr>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6.31%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7.11%</w:t>
            </w:r>
          </w:p>
        </w:tc>
        <w:tc>
          <w:tcPr>
            <w:tcW w:w="1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auto"/>
              </w:rPr>
              <w:t>7.28%</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7.16%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7.42%</w:t>
            </w:r>
          </w:p>
        </w:tc>
      </w:tr>
      <w:tr>
        <w:trPr>
          <w:trHeight w:val="142"/>
        </w:trPr>
        <w:tc>
          <w:tcPr>
            <w:tcW w:w="1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2.60%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12"/>
                <w:szCs w:val="1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1.93%</w:t>
            </w:r>
          </w:p>
        </w:tc>
      </w:tr>
      <w:tr>
        <w:trPr>
          <w:trHeight w:val="20"/>
        </w:trPr>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8.91%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10.19%</w:t>
            </w: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auto"/>
              </w:rPr>
              <w:t>8.43%</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8.24%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9.35%</w:t>
            </w:r>
          </w:p>
        </w:tc>
      </w:tr>
      <w:tr>
        <w:trPr>
          <w:trHeight w:val="148"/>
        </w:trPr>
        <w:tc>
          <w:tcPr>
            <w:tcW w:w="1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9.60%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10.32%</w:t>
            </w:r>
          </w:p>
        </w:tc>
        <w:tc>
          <w:tcPr>
            <w:tcW w:w="100" w:type="dxa"/>
            <w:vAlign w:val="bottom"/>
          </w:tcPr>
          <w:p>
            <w:pPr>
              <w:spacing w:after="0"/>
              <w:rPr>
                <w:sz w:val="12"/>
                <w:szCs w:val="1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9.45%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9.49%</w:t>
            </w:r>
          </w:p>
        </w:tc>
      </w:tr>
      <w:tr>
        <w:trPr>
          <w:trHeight w:val="149"/>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89"/>
              </w:rPr>
              <w:t>697,506,199</w:t>
            </w:r>
          </w:p>
        </w:tc>
        <w:tc>
          <w:tcPr>
            <w:tcW w:w="3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w w:val="89"/>
              </w:rPr>
              <w:t>669,717,047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w w:val="89"/>
              </w:rPr>
              <w:t>462,657,196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386,575,223</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300,580,268</w:t>
            </w:r>
          </w:p>
        </w:tc>
      </w:tr>
      <w:tr>
        <w:trPr>
          <w:trHeight w:val="148"/>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89"/>
              </w:rPr>
              <w:t>363,246,849</w:t>
            </w:r>
          </w:p>
        </w:tc>
        <w:tc>
          <w:tcPr>
            <w:tcW w:w="3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w w:val="89"/>
              </w:rPr>
              <w:t>340,868,033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w w:val="89"/>
              </w:rPr>
              <w:t>278,294,433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246,216,548</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182,490,685</w:t>
            </w:r>
          </w:p>
        </w:tc>
      </w:tr>
      <w:tr>
        <w:trPr>
          <w:trHeight w:val="148"/>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5.47</w:t>
            </w:r>
          </w:p>
        </w:tc>
        <w:tc>
          <w:tcPr>
            <w:tcW w:w="3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rPr>
              <w:t>6.44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6.60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8.33</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8.65</w:t>
            </w:r>
          </w:p>
        </w:tc>
      </w:tr>
      <w:tr>
        <w:trPr>
          <w:trHeight w:val="148"/>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4,261</w:t>
            </w:r>
          </w:p>
        </w:tc>
        <w:tc>
          <w:tcPr>
            <w:tcW w:w="3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rPr>
              <w:t>5,636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2,937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2,655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2,713</w:t>
            </w:r>
          </w:p>
        </w:tc>
      </w:tr>
      <w:tr>
        <w:trPr>
          <w:trHeight w:val="148"/>
        </w:trPr>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24.79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r>
      <w:tr>
        <w:trPr>
          <w:trHeight w:val="149"/>
        </w:trPr>
        <w:tc>
          <w:tcPr>
            <w:tcW w:w="1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40.91%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color w:val="auto"/>
              </w:rPr>
              <w:t>22.81%</w:t>
            </w:r>
          </w:p>
        </w:tc>
        <w:tc>
          <w:tcPr>
            <w:tcW w:w="100" w:type="dxa"/>
            <w:vAlign w:val="bottom"/>
          </w:tcPr>
          <w:p>
            <w:pPr>
              <w:spacing w:after="0"/>
              <w:rPr>
                <w:sz w:val="12"/>
                <w:szCs w:val="1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auto"/>
              </w:rPr>
              <w:t>40.89%</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25.97%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-2447290</wp:posOffset>
            </wp:positionV>
            <wp:extent cx="713232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-2258695</wp:posOffset>
            </wp:positionV>
            <wp:extent cx="713232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-2052955</wp:posOffset>
            </wp:positionV>
            <wp:extent cx="713232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-1847215</wp:posOffset>
            </wp:positionV>
            <wp:extent cx="713232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-1658620</wp:posOffset>
            </wp:positionV>
            <wp:extent cx="713232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-1452880</wp:posOffset>
            </wp:positionV>
            <wp:extent cx="713232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-1247140</wp:posOffset>
            </wp:positionV>
            <wp:extent cx="713232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-1058545</wp:posOffset>
            </wp:positionV>
            <wp:extent cx="713232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-869950</wp:posOffset>
            </wp:positionV>
            <wp:extent cx="7132320"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-664210</wp:posOffset>
            </wp:positionV>
            <wp:extent cx="713232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-475615</wp:posOffset>
            </wp:positionV>
            <wp:extent cx="713232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-287020</wp:posOffset>
            </wp:positionV>
            <wp:extent cx="713232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-98425</wp:posOffset>
            </wp:positionV>
            <wp:extent cx="713232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4500" w:space="720"/>
            <w:col w:w="6000"/>
          </w:cols>
          <w:pgMar w:left="320" w:top="459" w:right="359" w:bottom="1440" w:gutter="0" w:footer="0" w:header="0"/>
          <w:type w:val="continuous"/>
        </w:sectPr>
      </w:pPr>
    </w:p>
    <w:p>
      <w:pPr>
        <w:ind w:left="340" w:right="200" w:hanging="332"/>
        <w:spacing w:after="0" w:line="252"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October 1, 2008, PennantPark Investment adopted ASC 825 and made an irrevocable election to apply the fair value option to our long-term Credit Facility. Upon adoption, net asset value increased $41.8 million, or $1.99 per share, due to the fair value adjustment related to our Credit Facility.</w:t>
      </w:r>
    </w:p>
    <w:p>
      <w:pPr>
        <w:spacing w:after="0" w:line="101"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Calculated based on the weighted average shares outstanding for the respective periods.</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taxable income calculated in accordance with income tax regulations and may differ from amounts determined under GAAP.</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distributions, if any, reinvested in accordance with our dividend reinvestment plan.</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Excludes Credit Facility interest and amendment costs.</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Before adoption of ASC 825 for the fiscal years ended September 30, 2013, 2012, 2011, 2010 and 2009, the ratios were 6.32%, 7.11%, 7.38%, 7.95% and 9.32%, respectively.</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Before adoption of ASC 825 for the fiscal years ended September 30, 2013, 2012, 2011, 2010 and 2009, the ratios were 8.92%, 10.20%, 8.55%, 9.15% and (1.75%), respectively.</w:t>
      </w:r>
    </w:p>
    <w:p>
      <w:pPr>
        <w:spacing w:after="0" w:line="118"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SBA debentures outstanding.</w:t>
      </w:r>
    </w:p>
    <w:p>
      <w:pPr>
        <w:spacing w:after="0" w:line="118" w:lineRule="exact"/>
        <w:rPr>
          <w:rFonts w:ascii="Arial" w:cs="Arial" w:eastAsia="Arial" w:hAnsi="Arial"/>
          <w:sz w:val="12"/>
          <w:szCs w:val="12"/>
          <w:color w:val="auto"/>
        </w:rPr>
      </w:pPr>
    </w:p>
    <w:p>
      <w:pPr>
        <w:jc w:val="both"/>
        <w:ind w:left="340" w:right="140" w:hanging="332"/>
        <w:spacing w:after="0" w:line="243"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07"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average market value per unit is derived based on the monthly average closing price of the 2025 Notes trading on NYSE under the symbol “PNTA” since issuance, which were issued in increments of $25 per unit.</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DEBT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Facility</w:t>
      </w:r>
    </w:p>
    <w:p>
      <w:pPr>
        <w:spacing w:after="0" w:line="105" w:lineRule="exact"/>
        <w:rPr>
          <w:sz w:val="20"/>
          <w:szCs w:val="20"/>
          <w:color w:val="auto"/>
        </w:rPr>
      </w:pPr>
    </w:p>
    <w:p>
      <w:pPr>
        <w:ind w:firstLine="674"/>
        <w:spacing w:after="0" w:line="347" w:lineRule="auto"/>
        <w:rPr>
          <w:sz w:val="20"/>
          <w:szCs w:val="20"/>
          <w:color w:val="auto"/>
        </w:rPr>
      </w:pPr>
      <w:r>
        <w:rPr>
          <w:rFonts w:ascii="Arial" w:cs="Arial" w:eastAsia="Arial" w:hAnsi="Arial"/>
          <w:sz w:val="9"/>
          <w:szCs w:val="9"/>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50"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220"/>
          </w:cols>
          <w:pgMar w:left="320" w:top="459" w:right="3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PENNANTPARK INVESTMENT CORPORATION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SEPTEMBER 30, 2013</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SBA Debentures</w:t>
      </w:r>
    </w:p>
    <w:p>
      <w:pPr>
        <w:spacing w:after="0" w:line="105"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83" w:lineRule="exact"/>
        <w:rPr>
          <w:sz w:val="20"/>
          <w:szCs w:val="20"/>
          <w:color w:val="auto"/>
        </w:rPr>
      </w:pPr>
    </w:p>
    <w:p>
      <w:pPr>
        <w:ind w:right="200" w:firstLine="674"/>
        <w:spacing w:after="0" w:line="252" w:lineRule="auto"/>
        <w:rPr>
          <w:sz w:val="20"/>
          <w:szCs w:val="20"/>
          <w:color w:val="auto"/>
        </w:rPr>
      </w:pPr>
      <w:r>
        <w:rPr>
          <w:rFonts w:ascii="Arial" w:cs="Arial" w:eastAsia="Arial" w:hAnsi="Arial"/>
          <w:sz w:val="12"/>
          <w:szCs w:val="12"/>
          <w:color w:val="auto"/>
        </w:rPr>
        <w:t>As of September 30, 2013, $150.0 million in debt commitments were fully drawn with a weighted average interest rate of 3.70%, exclusive of the 3.43% in upfront fees which are amortized over the life of the loan (4.04% after upfront fees). Our fixed rate SBA debentures as of September 30, 2013 were as follows:</w:t>
      </w:r>
    </w:p>
    <w:p>
      <w:pPr>
        <w:spacing w:after="0" w:line="97" w:lineRule="exact"/>
        <w:rPr>
          <w:sz w:val="20"/>
          <w:szCs w:val="20"/>
          <w:color w:val="auto"/>
        </w:rPr>
      </w:pPr>
    </w:p>
    <w:tbl>
      <w:tblPr>
        <w:tblLayout w:type="fixed"/>
        <w:tblInd w:w="238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9"/>
              </w:rPr>
              <w:t>Fixed All-in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0"/>
              </w:rPr>
              <w:t>Principal</w:t>
            </w:r>
          </w:p>
        </w:tc>
        <w:tc>
          <w:tcPr>
            <w:tcW w:w="0" w:type="dxa"/>
            <w:vAlign w:val="bottom"/>
          </w:tcPr>
          <w:p>
            <w:pPr>
              <w:spacing w:after="0"/>
              <w:rPr>
                <w:sz w:val="1"/>
                <w:szCs w:val="1"/>
                <w:color w:val="auto"/>
              </w:rPr>
            </w:pPr>
          </w:p>
        </w:tc>
      </w:tr>
      <w:tr>
        <w:trPr>
          <w:trHeight w:val="122"/>
        </w:trPr>
        <w:tc>
          <w:tcPr>
            <w:tcW w:w="2060" w:type="dxa"/>
            <w:vAlign w:val="bottom"/>
            <w:vMerge w:val="restart"/>
          </w:tcPr>
          <w:p>
            <w:pPr>
              <w:spacing w:after="0"/>
              <w:rPr>
                <w:sz w:val="20"/>
                <w:szCs w:val="20"/>
                <w:color w:val="auto"/>
              </w:rPr>
            </w:pPr>
            <w:r>
              <w:rPr>
                <w:rFonts w:ascii="Arial" w:cs="Arial" w:eastAsia="Arial" w:hAnsi="Arial"/>
                <w:sz w:val="12"/>
                <w:szCs w:val="12"/>
                <w:b w:val="1"/>
                <w:bCs w:val="1"/>
                <w:color w:val="auto"/>
              </w:rPr>
              <w:t>Issuance Dates</w:t>
            </w:r>
          </w:p>
        </w:tc>
        <w:tc>
          <w:tcPr>
            <w:tcW w:w="8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tcPr>
          <w:p>
            <w:pPr>
              <w:jc w:val="center"/>
              <w:ind w:right="420"/>
              <w:spacing w:after="0" w:line="122" w:lineRule="exact"/>
              <w:rPr>
                <w:sz w:val="20"/>
                <w:szCs w:val="20"/>
                <w:color w:val="auto"/>
              </w:rPr>
            </w:pPr>
            <w:r>
              <w:rPr>
                <w:rFonts w:ascii="Arial" w:cs="Arial" w:eastAsia="Arial" w:hAnsi="Arial"/>
                <w:sz w:val="12"/>
                <w:szCs w:val="12"/>
                <w:b w:val="1"/>
                <w:bCs w:val="1"/>
                <w:color w:val="auto"/>
                <w:w w:val="88"/>
              </w:rPr>
              <w:t>Coupon Rate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5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6"/>
              </w:rPr>
              <w:t>Balance</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September 22, 2010</w:t>
            </w:r>
          </w:p>
        </w:tc>
        <w:tc>
          <w:tcPr>
            <w:tcW w:w="82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September 1, 2020</w:t>
            </w:r>
          </w:p>
        </w:tc>
        <w:tc>
          <w:tcPr>
            <w:tcW w:w="5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460"/>
              <w:spacing w:after="0" w:line="129" w:lineRule="exact"/>
              <w:rPr>
                <w:sz w:val="20"/>
                <w:szCs w:val="20"/>
                <w:color w:val="auto"/>
              </w:rPr>
            </w:pPr>
            <w:r>
              <w:rPr>
                <w:rFonts w:ascii="Arial" w:cs="Arial" w:eastAsia="Arial" w:hAnsi="Arial"/>
                <w:sz w:val="12"/>
                <w:szCs w:val="12"/>
                <w:color w:val="auto"/>
              </w:rPr>
              <w:t>3.50%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spacing w:after="0"/>
              <w:rPr>
                <w:sz w:val="20"/>
                <w:szCs w:val="20"/>
                <w:color w:val="auto"/>
              </w:rPr>
            </w:pPr>
            <w:r>
              <w:rPr>
                <w:rFonts w:ascii="Arial" w:cs="Arial" w:eastAsia="Arial" w:hAnsi="Arial"/>
                <w:sz w:val="12"/>
                <w:szCs w:val="12"/>
                <w:color w:val="auto"/>
              </w:rPr>
              <w:t>March 29, 2011</w:t>
            </w:r>
          </w:p>
        </w:tc>
        <w:tc>
          <w:tcPr>
            <w:tcW w:w="1400" w:type="dxa"/>
            <w:vAlign w:val="bottom"/>
            <w:gridSpan w:val="2"/>
          </w:tcPr>
          <w:p>
            <w:pPr>
              <w:jc w:val="center"/>
              <w:ind w:right="520"/>
              <w:spacing w:after="0"/>
              <w:rPr>
                <w:sz w:val="20"/>
                <w:szCs w:val="20"/>
                <w:color w:val="auto"/>
              </w:rPr>
            </w:pPr>
            <w:r>
              <w:rPr>
                <w:rFonts w:ascii="Arial" w:cs="Arial" w:eastAsia="Arial" w:hAnsi="Arial"/>
                <w:sz w:val="12"/>
                <w:szCs w:val="12"/>
                <w:color w:val="auto"/>
                <w:w w:val="88"/>
              </w:rPr>
              <w:t>March 1, 2021</w:t>
            </w:r>
          </w:p>
        </w:tc>
        <w:tc>
          <w:tcPr>
            <w:tcW w:w="1080" w:type="dxa"/>
            <w:vAlign w:val="bottom"/>
            <w:gridSpan w:val="2"/>
          </w:tcPr>
          <w:p>
            <w:pPr>
              <w:ind w:left="460"/>
              <w:spacing w:after="0"/>
              <w:rPr>
                <w:sz w:val="20"/>
                <w:szCs w:val="20"/>
                <w:color w:val="auto"/>
              </w:rPr>
            </w:pPr>
            <w:r>
              <w:rPr>
                <w:rFonts w:ascii="Arial" w:cs="Arial" w:eastAsia="Arial" w:hAnsi="Arial"/>
                <w:sz w:val="12"/>
                <w:szCs w:val="12"/>
                <w:color w:val="auto"/>
              </w:rPr>
              <w:t>4.46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44,500,000</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21, 2011</w:t>
            </w:r>
          </w:p>
        </w:tc>
        <w:tc>
          <w:tcPr>
            <w:tcW w:w="140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86"/>
              </w:rPr>
              <w:t>September 1, 2021</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3.38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8"/>
              </w:rPr>
              <w:t>105,000,000</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2"/>
                <w:szCs w:val="12"/>
                <w:color w:val="auto"/>
              </w:rPr>
              <w:t>Weighted average rate / Total</w:t>
            </w: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Arial" w:cs="Arial" w:eastAsia="Arial" w:hAnsi="Arial"/>
                <w:sz w:val="12"/>
                <w:szCs w:val="12"/>
                <w:color w:val="auto"/>
              </w:rPr>
              <w:t>3.70%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150,000,000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94615</wp:posOffset>
            </wp:positionV>
            <wp:extent cx="1645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6" w:lineRule="exact"/>
        <w:rPr>
          <w:sz w:val="20"/>
          <w:szCs w:val="20"/>
          <w:color w:val="auto"/>
        </w:rPr>
      </w:pPr>
    </w:p>
    <w:p>
      <w:pPr>
        <w:ind w:left="1240" w:hanging="449"/>
        <w:spacing w:after="0"/>
        <w:tabs>
          <w:tab w:leader="none" w:pos="1240" w:val="left"/>
        </w:tabs>
        <w:numPr>
          <w:ilvl w:val="0"/>
          <w:numId w:val="39"/>
        </w:numPr>
        <w:rPr>
          <w:rFonts w:ascii="Arial" w:cs="Arial" w:eastAsia="Arial" w:hAnsi="Arial"/>
          <w:sz w:val="10"/>
          <w:szCs w:val="10"/>
          <w:color w:val="auto"/>
        </w:rPr>
      </w:pPr>
      <w:r>
        <w:rPr>
          <w:rFonts w:ascii="Arial" w:cs="Arial" w:eastAsia="Arial" w:hAnsi="Arial"/>
          <w:sz w:val="12"/>
          <w:szCs w:val="12"/>
          <w:color w:val="auto"/>
        </w:rPr>
        <w:t>Excluding 3.43% of upfront fees.</w:t>
      </w:r>
    </w:p>
    <w:p>
      <w:pPr>
        <w:spacing w:after="0" w:line="105" w:lineRule="exact"/>
        <w:rPr>
          <w:sz w:val="20"/>
          <w:szCs w:val="20"/>
          <w:color w:val="auto"/>
        </w:rPr>
      </w:pPr>
    </w:p>
    <w:p>
      <w:pPr>
        <w:ind w:right="80" w:firstLine="674"/>
        <w:spacing w:after="0" w:line="266" w:lineRule="auto"/>
        <w:rPr>
          <w:sz w:val="20"/>
          <w:szCs w:val="20"/>
          <w:color w:val="auto"/>
        </w:rPr>
      </w:pPr>
      <w:r>
        <w:rPr>
          <w:rFonts w:ascii="Arial" w:cs="Arial" w:eastAsia="Arial" w:hAnsi="Arial"/>
          <w:sz w:val="11"/>
          <w:szCs w:val="11"/>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2025 Notes</w:t>
      </w:r>
    </w:p>
    <w:p>
      <w:pPr>
        <w:spacing w:after="0" w:line="105" w:lineRule="exact"/>
        <w:rPr>
          <w:sz w:val="20"/>
          <w:szCs w:val="20"/>
          <w:color w:val="auto"/>
        </w:rPr>
      </w:pPr>
    </w:p>
    <w:p>
      <w:pPr>
        <w:ind w:firstLine="674"/>
        <w:spacing w:after="0" w:line="269" w:lineRule="auto"/>
        <w:rPr>
          <w:sz w:val="20"/>
          <w:szCs w:val="20"/>
          <w:color w:val="auto"/>
        </w:rPr>
      </w:pPr>
      <w:r>
        <w:rPr>
          <w:rFonts w:ascii="Arial" w:cs="Arial" w:eastAsia="Arial" w:hAnsi="Arial"/>
          <w:sz w:val="11"/>
          <w:szCs w:val="11"/>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COMMITMENTS, GUARANTEES AND CONTINGENCIES</w:t>
      </w:r>
    </w:p>
    <w:p>
      <w:pPr>
        <w:spacing w:after="0" w:line="107" w:lineRule="exact"/>
        <w:rPr>
          <w:sz w:val="20"/>
          <w:szCs w:val="20"/>
          <w:color w:val="auto"/>
        </w:rPr>
      </w:pPr>
    </w:p>
    <w:p>
      <w:pPr>
        <w:jc w:val="both"/>
        <w:ind w:right="100" w:firstLine="674"/>
        <w:spacing w:after="0" w:line="243"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4" w:lineRule="exact"/>
        <w:rPr>
          <w:sz w:val="20"/>
          <w:szCs w:val="20"/>
          <w:color w:val="auto"/>
        </w:rPr>
      </w:pPr>
    </w:p>
    <w:p>
      <w:pPr>
        <w:ind w:firstLine="674"/>
        <w:spacing w:after="0" w:line="243" w:lineRule="auto"/>
        <w:rPr>
          <w:sz w:val="20"/>
          <w:szCs w:val="20"/>
          <w:color w:val="auto"/>
        </w:rPr>
      </w:pPr>
      <w:r>
        <w:rPr>
          <w:rFonts w:ascii="Arial" w:cs="Arial" w:eastAsia="Arial" w:hAnsi="Arial"/>
          <w:sz w:val="12"/>
          <w:szCs w:val="12"/>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SUPPLEMENTARY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Quarterly Data (Unaudited)</w:t>
      </w:r>
    </w:p>
    <w:p>
      <w:pPr>
        <w:jc w:val="cente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2"/>
                <w:szCs w:val="12"/>
                <w:b w:val="1"/>
                <w:bCs w:val="1"/>
                <w:color w:val="auto"/>
              </w:rPr>
              <w:t>2013</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Q4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Q3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Q2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Q1</w:t>
            </w:r>
          </w:p>
        </w:tc>
      </w:tr>
      <w:tr>
        <w:trPr>
          <w:trHeight w:val="128"/>
        </w:trPr>
        <w:tc>
          <w:tcPr>
            <w:tcW w:w="55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Total investment income</w:t>
            </w:r>
          </w:p>
        </w:tc>
        <w:tc>
          <w:tcPr>
            <w:tcW w:w="2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31,447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33,725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31,057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32,958</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5520" w:type="dxa"/>
            <w:vAlign w:val="bottom"/>
          </w:tcPr>
          <w:p>
            <w:pPr>
              <w:spacing w:after="0"/>
              <w:rPr>
                <w:sz w:val="20"/>
                <w:szCs w:val="20"/>
                <w:color w:val="auto"/>
              </w:rPr>
            </w:pPr>
            <w:r>
              <w:rPr>
                <w:rFonts w:ascii="Arial" w:cs="Arial" w:eastAsia="Arial" w:hAnsi="Arial"/>
                <w:sz w:val="12"/>
                <w:szCs w:val="12"/>
                <w:color w:val="auto"/>
              </w:rPr>
              <w:t>Net investment income</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17,099</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17,655</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14,063</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18,181</w:t>
            </w:r>
          </w:p>
        </w:tc>
      </w:tr>
      <w:tr>
        <w:trPr>
          <w:trHeight w:val="149"/>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gain (loss)</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5,379</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(3,869)</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12,910</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10,360</w:t>
            </w:r>
          </w:p>
        </w:tc>
      </w:tr>
      <w:tr>
        <w:trPr>
          <w:trHeight w:val="148"/>
        </w:trPr>
        <w:tc>
          <w:tcPr>
            <w:tcW w:w="5520" w:type="dxa"/>
            <w:vAlign w:val="bottom"/>
          </w:tcPr>
          <w:p>
            <w:pPr>
              <w:spacing w:after="0"/>
              <w:rPr>
                <w:sz w:val="20"/>
                <w:szCs w:val="20"/>
                <w:color w:val="auto"/>
              </w:rPr>
            </w:pPr>
            <w:r>
              <w:rPr>
                <w:rFonts w:ascii="Arial" w:cs="Arial" w:eastAsia="Arial" w:hAnsi="Arial"/>
                <w:sz w:val="12"/>
                <w:szCs w:val="12"/>
                <w:color w:val="auto"/>
              </w:rPr>
              <w:t>Net increase in net assets resulting from operations</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22,479</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13,786</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26,972</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28,541</w:t>
            </w:r>
          </w:p>
        </w:tc>
      </w:tr>
      <w:tr>
        <w:trPr>
          <w:trHeight w:val="148"/>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net assets resulting from operations per common share</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0.33</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0.41</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0.44</w:t>
            </w:r>
          </w:p>
        </w:tc>
      </w:tr>
      <w:tr>
        <w:trPr>
          <w:trHeight w:val="148"/>
        </w:trPr>
        <w:tc>
          <w:tcPr>
            <w:tcW w:w="5520" w:type="dxa"/>
            <w:vAlign w:val="bottom"/>
          </w:tcPr>
          <w:p>
            <w:pPr>
              <w:spacing w:after="0"/>
              <w:rPr>
                <w:sz w:val="20"/>
                <w:szCs w:val="20"/>
                <w:color w:val="auto"/>
              </w:rPr>
            </w:pPr>
            <w:r>
              <w:rPr>
                <w:rFonts w:ascii="Arial" w:cs="Arial" w:eastAsia="Arial" w:hAnsi="Arial"/>
                <w:sz w:val="12"/>
                <w:szCs w:val="12"/>
                <w:color w:val="auto"/>
              </w:rPr>
              <w:t>Net asset value per share at the end of the quarter</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10.49</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10.43</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10.50</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10.38</w:t>
            </w:r>
          </w:p>
        </w:tc>
      </w:tr>
      <w:tr>
        <w:trPr>
          <w:trHeight w:val="148"/>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Market value per share at the end of the quarter</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11.28</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11.05</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11.30</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11.00</w:t>
            </w:r>
          </w:p>
        </w:tc>
      </w:tr>
    </w:tbl>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2"/>
                <w:szCs w:val="12"/>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Q4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Q3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Q2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Q1</w:t>
            </w:r>
          </w:p>
        </w:tc>
      </w:tr>
      <w:tr>
        <w:trPr>
          <w:trHeight w:val="128"/>
        </w:trPr>
        <w:tc>
          <w:tcPr>
            <w:tcW w:w="55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Total investment income</w:t>
            </w:r>
          </w:p>
        </w:tc>
        <w:tc>
          <w:tcPr>
            <w:tcW w:w="2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30,806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29,385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26,362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26,839</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5520" w:type="dxa"/>
            <w:vAlign w:val="bottom"/>
          </w:tcPr>
          <w:p>
            <w:pPr>
              <w:spacing w:after="0"/>
              <w:rPr>
                <w:sz w:val="20"/>
                <w:szCs w:val="20"/>
                <w:color w:val="auto"/>
              </w:rPr>
            </w:pPr>
            <w:r>
              <w:rPr>
                <w:rFonts w:ascii="Arial" w:cs="Arial" w:eastAsia="Arial" w:hAnsi="Arial"/>
                <w:sz w:val="12"/>
                <w:szCs w:val="12"/>
                <w:color w:val="auto"/>
              </w:rPr>
              <w:t>Net investment income</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16,742</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15,571</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9,759</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14,997</w:t>
            </w:r>
          </w:p>
        </w:tc>
      </w:tr>
      <w:tr>
        <w:trPr>
          <w:trHeight w:val="148"/>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gain (loss)</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948</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(12,151)</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16,638</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849</w:t>
            </w:r>
          </w:p>
        </w:tc>
      </w:tr>
      <w:tr>
        <w:trPr>
          <w:trHeight w:val="149"/>
        </w:trPr>
        <w:tc>
          <w:tcPr>
            <w:tcW w:w="5520" w:type="dxa"/>
            <w:vAlign w:val="bottom"/>
          </w:tcPr>
          <w:p>
            <w:pPr>
              <w:spacing w:after="0"/>
              <w:rPr>
                <w:sz w:val="20"/>
                <w:szCs w:val="20"/>
                <w:color w:val="auto"/>
              </w:rPr>
            </w:pPr>
            <w:r>
              <w:rPr>
                <w:rFonts w:ascii="Arial" w:cs="Arial" w:eastAsia="Arial" w:hAnsi="Arial"/>
                <w:sz w:val="12"/>
                <w:szCs w:val="12"/>
                <w:color w:val="auto"/>
              </w:rPr>
              <w:t>Net increase in net assets resulting from operations</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17,690</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3,420</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26,397</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15,846</w:t>
            </w:r>
          </w:p>
        </w:tc>
      </w:tr>
      <w:tr>
        <w:trPr>
          <w:trHeight w:val="148"/>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net assets resulting from operations per common share</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0.31</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0.50</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0.34</w:t>
            </w:r>
          </w:p>
        </w:tc>
      </w:tr>
      <w:tr>
        <w:trPr>
          <w:trHeight w:val="148"/>
        </w:trPr>
        <w:tc>
          <w:tcPr>
            <w:tcW w:w="5520" w:type="dxa"/>
            <w:vAlign w:val="bottom"/>
          </w:tcPr>
          <w:p>
            <w:pPr>
              <w:spacing w:after="0"/>
              <w:rPr>
                <w:sz w:val="20"/>
                <w:szCs w:val="20"/>
                <w:color w:val="auto"/>
              </w:rPr>
            </w:pPr>
            <w:r>
              <w:rPr>
                <w:rFonts w:ascii="Arial" w:cs="Arial" w:eastAsia="Arial" w:hAnsi="Arial"/>
                <w:sz w:val="12"/>
                <w:szCs w:val="12"/>
                <w:color w:val="auto"/>
              </w:rPr>
              <w:t>Net asset value per share at the end of the quarter</w:t>
            </w:r>
          </w:p>
        </w:tc>
        <w:tc>
          <w:tcPr>
            <w:tcW w:w="2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10.22</w:t>
            </w:r>
          </w:p>
        </w:tc>
        <w:tc>
          <w:tcPr>
            <w:tcW w:w="26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10.16</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10.38</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10.19</w:t>
            </w:r>
          </w:p>
        </w:tc>
      </w:tr>
      <w:tr>
        <w:trPr>
          <w:trHeight w:val="148"/>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Market value per share at the end of the quarter</w:t>
            </w:r>
          </w:p>
        </w:tc>
        <w:tc>
          <w:tcPr>
            <w:tcW w:w="24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10.61</w:t>
            </w:r>
          </w:p>
        </w:tc>
        <w:tc>
          <w:tcPr>
            <w:tcW w:w="26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10.35</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10.40</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10.09</w:t>
            </w:r>
          </w:p>
        </w:tc>
      </w:tr>
    </w:tbl>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2"/>
                <w:szCs w:val="12"/>
                <w:b w:val="1"/>
                <w:bCs w:val="1"/>
                <w:color w:val="auto"/>
              </w:rPr>
              <w:t>2011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Q4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Q3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Q2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Q1</w:t>
            </w:r>
          </w:p>
        </w:tc>
      </w:tr>
      <w:tr>
        <w:trPr>
          <w:trHeight w:val="128"/>
        </w:trPr>
        <w:tc>
          <w:tcPr>
            <w:tcW w:w="44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Total investment income</w:t>
            </w:r>
          </w:p>
        </w:tc>
        <w:tc>
          <w:tcPr>
            <w:tcW w:w="3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26,139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22,908</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22,712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19,979</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4420" w:type="dxa"/>
            <w:vAlign w:val="bottom"/>
          </w:tcPr>
          <w:p>
            <w:pPr>
              <w:spacing w:after="0"/>
              <w:rPr>
                <w:sz w:val="20"/>
                <w:szCs w:val="20"/>
                <w:color w:val="auto"/>
              </w:rPr>
            </w:pPr>
            <w:r>
              <w:rPr>
                <w:rFonts w:ascii="Arial" w:cs="Arial" w:eastAsia="Arial" w:hAnsi="Arial"/>
                <w:sz w:val="12"/>
                <w:szCs w:val="12"/>
                <w:color w:val="auto"/>
              </w:rPr>
              <w:t>Net investment income</w:t>
            </w:r>
          </w:p>
        </w:tc>
        <w:tc>
          <w:tcPr>
            <w:tcW w:w="35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15,095</w:t>
            </w:r>
          </w:p>
        </w:tc>
        <w:tc>
          <w:tcPr>
            <w:tcW w:w="24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13,220</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13,159</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11,171</w:t>
            </w:r>
          </w:p>
        </w:tc>
      </w:tr>
      <w:tr>
        <w:trPr>
          <w:trHeight w:val="148"/>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Net realized and unrealized (loss) gain</w:t>
            </w:r>
          </w:p>
        </w:tc>
        <w:tc>
          <w:tcPr>
            <w:tcW w:w="35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(46,260)</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(10,901)</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428</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14,351</w:t>
            </w:r>
          </w:p>
        </w:tc>
      </w:tr>
      <w:tr>
        <w:trPr>
          <w:trHeight w:val="148"/>
        </w:trPr>
        <w:tc>
          <w:tcPr>
            <w:tcW w:w="4420" w:type="dxa"/>
            <w:vAlign w:val="bottom"/>
          </w:tcPr>
          <w:p>
            <w:pPr>
              <w:spacing w:after="0"/>
              <w:rPr>
                <w:sz w:val="20"/>
                <w:szCs w:val="20"/>
                <w:color w:val="auto"/>
              </w:rPr>
            </w:pPr>
            <w:r>
              <w:rPr>
                <w:rFonts w:ascii="Arial" w:cs="Arial" w:eastAsia="Arial" w:hAnsi="Arial"/>
                <w:sz w:val="12"/>
                <w:szCs w:val="12"/>
                <w:color w:val="auto"/>
              </w:rPr>
              <w:t>Net (decrease) increase in net assets resulting from operations</w:t>
            </w:r>
          </w:p>
        </w:tc>
        <w:tc>
          <w:tcPr>
            <w:tcW w:w="35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(31,165)</w:t>
            </w:r>
          </w:p>
        </w:tc>
        <w:tc>
          <w:tcPr>
            <w:tcW w:w="24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2,319</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13,587</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25,522</w:t>
            </w:r>
          </w:p>
        </w:tc>
      </w:tr>
      <w:tr>
        <w:trPr>
          <w:trHeight w:val="149"/>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net assets resulting from operations per common share</w:t>
            </w:r>
          </w:p>
        </w:tc>
        <w:tc>
          <w:tcPr>
            <w:tcW w:w="35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(0.68)</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0.05</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0.33</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0.71</w:t>
            </w:r>
          </w:p>
        </w:tc>
      </w:tr>
      <w:tr>
        <w:trPr>
          <w:trHeight w:val="148"/>
        </w:trPr>
        <w:tc>
          <w:tcPr>
            <w:tcW w:w="4420" w:type="dxa"/>
            <w:vAlign w:val="bottom"/>
          </w:tcPr>
          <w:p>
            <w:pPr>
              <w:spacing w:after="0"/>
              <w:rPr>
                <w:sz w:val="20"/>
                <w:szCs w:val="20"/>
                <w:color w:val="auto"/>
              </w:rPr>
            </w:pPr>
            <w:r>
              <w:rPr>
                <w:rFonts w:ascii="Arial" w:cs="Arial" w:eastAsia="Arial" w:hAnsi="Arial"/>
                <w:sz w:val="12"/>
                <w:szCs w:val="12"/>
                <w:color w:val="auto"/>
              </w:rPr>
              <w:t>Net asset value per share at the end of the quarter</w:t>
            </w:r>
          </w:p>
        </w:tc>
        <w:tc>
          <w:tcPr>
            <w:tcW w:w="35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10.13</w:t>
            </w:r>
          </w:p>
        </w:tc>
        <w:tc>
          <w:tcPr>
            <w:tcW w:w="24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11.08</w:t>
            </w:r>
          </w:p>
        </w:tc>
        <w:tc>
          <w:tcPr>
            <w:tcW w:w="24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11.30</w:t>
            </w:r>
          </w:p>
        </w:tc>
        <w:tc>
          <w:tcPr>
            <w:tcW w:w="2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11.14</w:t>
            </w:r>
          </w:p>
        </w:tc>
      </w:tr>
      <w:tr>
        <w:trPr>
          <w:trHeight w:val="148"/>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Market value per share at the end of the quarter</w:t>
            </w:r>
          </w:p>
        </w:tc>
        <w:tc>
          <w:tcPr>
            <w:tcW w:w="350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8.92</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11.21</w:t>
            </w: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11.92</w:t>
            </w:r>
          </w:p>
        </w:tc>
        <w:tc>
          <w:tcPr>
            <w:tcW w:w="2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12.25</w:t>
            </w:r>
          </w:p>
        </w:tc>
      </w:tr>
      <w:tr>
        <w:trPr>
          <w:trHeight w:val="291"/>
        </w:trPr>
        <w:tc>
          <w:tcPr>
            <w:tcW w:w="4420" w:type="dxa"/>
            <w:vAlign w:val="bottom"/>
          </w:tcPr>
          <w:p>
            <w:pPr>
              <w:spacing w:after="0"/>
              <w:rPr>
                <w:sz w:val="24"/>
                <w:szCs w:val="24"/>
                <w:color w:val="auto"/>
              </w:rPr>
            </w:pPr>
          </w:p>
        </w:tc>
        <w:tc>
          <w:tcPr>
            <w:tcW w:w="3320" w:type="dxa"/>
            <w:vAlign w:val="bottom"/>
          </w:tcPr>
          <w:p>
            <w:pPr>
              <w:jc w:val="right"/>
              <w:ind w:right="2002"/>
              <w:spacing w:after="0"/>
              <w:rPr>
                <w:sz w:val="20"/>
                <w:szCs w:val="20"/>
                <w:color w:val="auto"/>
              </w:rPr>
            </w:pPr>
            <w:r>
              <w:rPr>
                <w:rFonts w:ascii="Arial" w:cs="Arial" w:eastAsia="Arial" w:hAnsi="Arial"/>
                <w:sz w:val="12"/>
                <w:szCs w:val="12"/>
                <w:color w:val="auto"/>
              </w:rPr>
              <w:t>67</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9"/>
          <w:szCs w:val="9"/>
          <w:b w:val="1"/>
          <w:bCs w:val="1"/>
          <w:color w:val="auto"/>
        </w:rPr>
        <w:t>Changes in and Disagreements with Accountants on Accounting and Financial Disclosure</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None.</w:t>
      </w:r>
    </w:p>
    <w:p>
      <w:pPr>
        <w:spacing w:after="0" w:line="238"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9"/>
          <w:szCs w:val="9"/>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Evaluation of Disclosure Controls and Procedures</w:t>
      </w:r>
    </w:p>
    <w:p>
      <w:pPr>
        <w:spacing w:after="0" w:line="105" w:lineRule="exact"/>
        <w:rPr>
          <w:sz w:val="20"/>
          <w:szCs w:val="20"/>
          <w:color w:val="auto"/>
        </w:rPr>
      </w:pPr>
    </w:p>
    <w:p>
      <w:pPr>
        <w:ind w:firstLine="674"/>
        <w:spacing w:after="0" w:line="264" w:lineRule="auto"/>
        <w:rPr>
          <w:sz w:val="20"/>
          <w:szCs w:val="20"/>
          <w:color w:val="auto"/>
        </w:rPr>
      </w:pPr>
      <w:r>
        <w:rPr>
          <w:rFonts w:ascii="Arial" w:cs="Arial" w:eastAsia="Arial" w:hAnsi="Arial"/>
          <w:sz w:val="11"/>
          <w:szCs w:val="11"/>
          <w:color w:val="auto"/>
        </w:rPr>
        <w:t>As of September 30, 2013,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 Management’s Report on Internal Control Over Financial Reporting</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Management’s Report on Internal Control Over Financial Reporting, which appears on page 42 of this Form 10-K, is incorporated by reference herein.</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 Changes in Internal Controls Over Financial Reporting</w:t>
      </w:r>
    </w:p>
    <w:p>
      <w:pPr>
        <w:spacing w:after="0" w:line="105" w:lineRule="exact"/>
        <w:rPr>
          <w:sz w:val="20"/>
          <w:szCs w:val="20"/>
          <w:color w:val="auto"/>
        </w:rPr>
      </w:pPr>
    </w:p>
    <w:p>
      <w:pPr>
        <w:ind w:right="20" w:firstLine="674"/>
        <w:spacing w:after="0" w:line="252" w:lineRule="auto"/>
        <w:rPr>
          <w:sz w:val="20"/>
          <w:szCs w:val="20"/>
          <w:color w:val="auto"/>
        </w:rPr>
      </w:pPr>
      <w:r>
        <w:rPr>
          <w:rFonts w:ascii="Arial" w:cs="Arial" w:eastAsia="Arial" w:hAnsi="Arial"/>
          <w:sz w:val="12"/>
          <w:szCs w:val="12"/>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PART III</w:t>
      </w:r>
    </w:p>
    <w:p>
      <w:pPr>
        <w:spacing w:after="0" w:line="107" w:lineRule="exact"/>
        <w:rPr>
          <w:sz w:val="20"/>
          <w:szCs w:val="20"/>
          <w:color w:val="auto"/>
        </w:rPr>
      </w:pPr>
    </w:p>
    <w:p>
      <w:pPr>
        <w:ind w:right="140" w:firstLine="674"/>
        <w:spacing w:after="0" w:line="416" w:lineRule="auto"/>
        <w:rPr>
          <w:sz w:val="20"/>
          <w:szCs w:val="20"/>
          <w:color w:val="auto"/>
        </w:rPr>
      </w:pPr>
      <w:r>
        <w:rPr>
          <w:rFonts w:ascii="Arial" w:cs="Arial" w:eastAsia="Arial" w:hAnsi="Arial"/>
          <w:sz w:val="9"/>
          <w:szCs w:val="9"/>
          <w:color w:val="auto"/>
        </w:rPr>
        <w:t>We will file a definitive Proxy Statement for our 2014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152"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9"/>
          <w:szCs w:val="9"/>
          <w:b w:val="1"/>
          <w:bCs w:val="1"/>
          <w:color w:val="auto"/>
        </w:rPr>
        <w:t>Directors, Executive Officers and Corporate Governance</w:t>
      </w:r>
    </w:p>
    <w:p>
      <w:pPr>
        <w:spacing w:after="0" w:line="107"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The information required by Item 10 is hereby incorporated by reference from our definitive Proxy Statement relating to our 2014 Annual Meeting of Stockholders, to be filed with the Securities and Exchange Commission within 120 days following the end of our fiscal year.</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9"/>
          <w:szCs w:val="9"/>
          <w:b w:val="1"/>
          <w:bCs w:val="1"/>
          <w:color w:val="auto"/>
        </w:rPr>
        <w:t>Executive Compensation</w:t>
      </w:r>
    </w:p>
    <w:p>
      <w:pPr>
        <w:spacing w:after="0" w:line="107"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The information required by Item 11 is hereby incorporated by reference from our definitive Proxy Statement relating to our 2014 Annual Meeting of Stockholders, to be filed with the Securities and Exchange Commission within 120 days following the end of our fiscal year.</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9"/>
          <w:szCs w:val="9"/>
          <w:b w:val="1"/>
          <w:bCs w:val="1"/>
          <w:color w:val="auto"/>
        </w:rPr>
        <w:t>Security Ownership of Certain Beneficial Owners and Management and Related Stockholder Matters</w:t>
      </w:r>
    </w:p>
    <w:p>
      <w:pPr>
        <w:spacing w:after="0" w:line="107"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The information required by Item 12 is hereby incorporated by reference from our definitive Proxy Statement relating to our 2014 Annual Meeting of Stockholders, to be filed with the Securities and Exchange Commission within 120 days following the end of our fiscal year.</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9"/>
          <w:szCs w:val="9"/>
          <w:b w:val="1"/>
          <w:bCs w:val="1"/>
          <w:color w:val="auto"/>
        </w:rPr>
        <w:t>Certain Relationships and Related Transactions, and Director Independence</w:t>
      </w:r>
    </w:p>
    <w:p>
      <w:pPr>
        <w:spacing w:after="0" w:line="107"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The information required by Item 13 is hereby incorporated by reference from our definitive Proxy Statement relating to our 2014 Annual Meeting of Stockholders, to be filed with the Securities and Exchange Commission within 120 days following the end of our fiscal year.</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9"/>
          <w:szCs w:val="9"/>
          <w:b w:val="1"/>
          <w:bCs w:val="1"/>
          <w:color w:val="auto"/>
        </w:rPr>
        <w:t>Principal Accountant Fees and Services</w:t>
      </w:r>
    </w:p>
    <w:p>
      <w:pPr>
        <w:spacing w:after="0" w:line="107" w:lineRule="exact"/>
        <w:rPr>
          <w:sz w:val="20"/>
          <w:szCs w:val="20"/>
          <w:color w:val="auto"/>
        </w:rPr>
      </w:pPr>
    </w:p>
    <w:p>
      <w:pPr>
        <w:ind w:firstLine="674"/>
        <w:spacing w:after="0" w:line="252" w:lineRule="auto"/>
        <w:rPr>
          <w:sz w:val="20"/>
          <w:szCs w:val="20"/>
          <w:color w:val="auto"/>
        </w:rPr>
      </w:pPr>
      <w:r>
        <w:rPr>
          <w:rFonts w:ascii="Arial" w:cs="Arial" w:eastAsia="Arial" w:hAnsi="Arial"/>
          <w:sz w:val="12"/>
          <w:szCs w:val="12"/>
          <w:color w:val="auto"/>
        </w:rPr>
        <w:t>The information required by Item 14 is hereby incorporated by reference from our definitive Proxy Statement relating to our 2014 Annual Meeting of Stockholders, to be filed with the Securities and Exchange Commission within 120 days following the end of our fiscal year.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060"/>
          </w:cols>
          <w:pgMar w:left="320" w:top="459"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PART IV</w:t>
      </w:r>
    </w:p>
    <w:p>
      <w:pPr>
        <w:spacing w:after="0" w:line="119"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9"/>
          <w:szCs w:val="9"/>
          <w:b w:val="1"/>
          <w:bCs w:val="1"/>
          <w:color w:val="auto"/>
        </w:rPr>
        <w:t>Exhibits and Financial Statement Schedules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documents are filed as part of this Annual Report:</w:t>
      </w:r>
    </w:p>
    <w:p>
      <w:pPr>
        <w:spacing w:after="0" w:line="119" w:lineRule="exact"/>
        <w:rPr>
          <w:sz w:val="20"/>
          <w:szCs w:val="20"/>
          <w:color w:val="auto"/>
        </w:rPr>
      </w:pPr>
    </w:p>
    <w:p>
      <w:pPr>
        <w:ind w:left="880" w:hanging="548"/>
        <w:spacing w:after="0"/>
        <w:tabs>
          <w:tab w:leader="none" w:pos="8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Financial Statements—Refer to Item 8 starting on page 41.</w:t>
      </w:r>
    </w:p>
    <w:p>
      <w:pPr>
        <w:spacing w:after="0" w:line="118" w:lineRule="exact"/>
        <w:rPr>
          <w:rFonts w:ascii="Arial" w:cs="Arial" w:eastAsia="Arial" w:hAnsi="Arial"/>
          <w:sz w:val="12"/>
          <w:szCs w:val="12"/>
          <w:color w:val="auto"/>
        </w:rPr>
      </w:pPr>
    </w:p>
    <w:p>
      <w:pPr>
        <w:ind w:left="880" w:hanging="548"/>
        <w:spacing w:after="0"/>
        <w:tabs>
          <w:tab w:leader="none" w:pos="8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Financial Statement Schedules—None.</w:t>
      </w:r>
    </w:p>
    <w:p>
      <w:pPr>
        <w:spacing w:after="0" w:line="118" w:lineRule="exact"/>
        <w:rPr>
          <w:rFonts w:ascii="Arial" w:cs="Arial" w:eastAsia="Arial" w:hAnsi="Arial"/>
          <w:sz w:val="12"/>
          <w:szCs w:val="12"/>
          <w:color w:val="auto"/>
        </w:rPr>
      </w:pPr>
    </w:p>
    <w:p>
      <w:pPr>
        <w:ind w:left="880" w:hanging="548"/>
        <w:spacing w:after="0"/>
        <w:tabs>
          <w:tab w:leader="none" w:pos="8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Exhibits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3.1</w:t>
            </w:r>
          </w:p>
        </w:tc>
        <w:tc>
          <w:tcPr>
            <w:tcW w:w="10180" w:type="dxa"/>
            <w:vAlign w:val="bottom"/>
          </w:tcPr>
          <w:p>
            <w:pPr>
              <w:ind w:left="700"/>
              <w:spacing w:after="0"/>
              <w:rPr>
                <w:sz w:val="20"/>
                <w:szCs w:val="20"/>
                <w:color w:val="auto"/>
              </w:rPr>
            </w:pPr>
            <w:r>
              <w:rPr>
                <w:rFonts w:ascii="Arial" w:cs="Arial" w:eastAsia="Arial" w:hAnsi="Arial"/>
                <w:sz w:val="12"/>
                <w:szCs w:val="12"/>
                <w:color w:val="auto"/>
                <w:w w:val="91"/>
              </w:rPr>
              <w:t>Articles of Incorporation (Incorporated by reference to the Registrant’s Pre-Effective Amendment No.1 to the Registration Statement on Form N-2/A (File No. 333-140092), filed on March 5, 2007).</w:t>
            </w:r>
          </w:p>
        </w:tc>
      </w:tr>
      <w:tr>
        <w:trPr>
          <w:trHeight w:val="230"/>
        </w:trPr>
        <w:tc>
          <w:tcPr>
            <w:tcW w:w="1000" w:type="dxa"/>
            <w:vAlign w:val="bottom"/>
          </w:tcPr>
          <w:p>
            <w:pPr>
              <w:spacing w:after="0"/>
              <w:rPr>
                <w:sz w:val="20"/>
                <w:szCs w:val="20"/>
                <w:color w:val="auto"/>
              </w:rPr>
            </w:pPr>
            <w:r>
              <w:rPr>
                <w:rFonts w:ascii="Arial" w:cs="Arial" w:eastAsia="Arial" w:hAnsi="Arial"/>
                <w:sz w:val="12"/>
                <w:szCs w:val="12"/>
                <w:color w:val="auto"/>
              </w:rPr>
              <w:t>3.2*</w:t>
            </w:r>
          </w:p>
        </w:tc>
        <w:tc>
          <w:tcPr>
            <w:tcW w:w="10180" w:type="dxa"/>
            <w:vAlign w:val="bottom"/>
          </w:tcPr>
          <w:p>
            <w:pPr>
              <w:ind w:left="700"/>
              <w:spacing w:after="0"/>
              <w:rPr>
                <w:sz w:val="20"/>
                <w:szCs w:val="20"/>
                <w:color w:val="auto"/>
              </w:rPr>
            </w:pPr>
            <w:r>
              <w:rPr>
                <w:rFonts w:ascii="Arial" w:cs="Arial" w:eastAsia="Arial" w:hAnsi="Arial"/>
                <w:sz w:val="12"/>
                <w:szCs w:val="12"/>
                <w:color w:val="auto"/>
              </w:rPr>
              <w:t>Amended and Restated Bylaws of the Registrant.</w:t>
            </w:r>
          </w:p>
        </w:tc>
      </w:tr>
      <w:tr>
        <w:trPr>
          <w:trHeight w:val="229"/>
        </w:trPr>
        <w:tc>
          <w:tcPr>
            <w:tcW w:w="1000" w:type="dxa"/>
            <w:vAlign w:val="bottom"/>
          </w:tcPr>
          <w:p>
            <w:pPr>
              <w:spacing w:after="0"/>
              <w:rPr>
                <w:sz w:val="20"/>
                <w:szCs w:val="20"/>
                <w:color w:val="auto"/>
              </w:rPr>
            </w:pPr>
            <w:r>
              <w:rPr>
                <w:rFonts w:ascii="Arial" w:cs="Arial" w:eastAsia="Arial" w:hAnsi="Arial"/>
                <w:sz w:val="12"/>
                <w:szCs w:val="12"/>
                <w:color w:val="auto"/>
              </w:rPr>
              <w:t>4.1</w:t>
            </w:r>
          </w:p>
        </w:tc>
        <w:tc>
          <w:tcPr>
            <w:tcW w:w="10180" w:type="dxa"/>
            <w:vAlign w:val="bottom"/>
          </w:tcPr>
          <w:p>
            <w:pPr>
              <w:ind w:left="700"/>
              <w:spacing w:after="0"/>
              <w:rPr>
                <w:sz w:val="20"/>
                <w:szCs w:val="20"/>
                <w:color w:val="auto"/>
              </w:rPr>
            </w:pPr>
            <w:r>
              <w:rPr>
                <w:rFonts w:ascii="Arial" w:cs="Arial" w:eastAsia="Arial" w:hAnsi="Arial"/>
                <w:sz w:val="12"/>
                <w:szCs w:val="12"/>
                <w:color w:val="auto"/>
              </w:rPr>
              <w:t>Form of Share Certificate (Incorporated by reference to Exhibit 99(d)(1) to the Registrant’s Registration Statement on Form N-2 (File No. 333-150033), filed on April 2, 2008).</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4.2</w:t>
            </w:r>
          </w:p>
        </w:tc>
        <w:tc>
          <w:tcPr>
            <w:tcW w:w="10180" w:type="dxa"/>
            <w:vAlign w:val="bottom"/>
          </w:tcPr>
          <w:p>
            <w:pPr>
              <w:ind w:left="700"/>
              <w:spacing w:after="0"/>
              <w:rPr>
                <w:sz w:val="20"/>
                <w:szCs w:val="20"/>
                <w:color w:val="auto"/>
              </w:rPr>
            </w:pPr>
            <w:r>
              <w:rPr>
                <w:rFonts w:ascii="Arial" w:cs="Arial" w:eastAsia="Arial" w:hAnsi="Arial"/>
                <w:sz w:val="12"/>
                <w:szCs w:val="12"/>
                <w:color w:val="auto"/>
                <w:w w:val="90"/>
              </w:rPr>
              <w:t>Base Indenture, dated as of January 22, 2013, relating to the 6.25% Senior Notes due 2025, between the Registrant and American Stock Transfer &amp; Trust Company, LLC, as trustee (Incorporated by</w:t>
            </w:r>
          </w:p>
        </w:tc>
      </w:tr>
      <w:tr>
        <w:trPr>
          <w:trHeight w:val="148"/>
        </w:trPr>
        <w:tc>
          <w:tcPr>
            <w:tcW w:w="1000" w:type="dxa"/>
            <w:vAlign w:val="bottom"/>
          </w:tcPr>
          <w:p>
            <w:pPr>
              <w:spacing w:after="0"/>
              <w:rPr>
                <w:sz w:val="12"/>
                <w:szCs w:val="12"/>
                <w:color w:val="auto"/>
              </w:rPr>
            </w:pPr>
          </w:p>
        </w:tc>
        <w:tc>
          <w:tcPr>
            <w:tcW w:w="10180" w:type="dxa"/>
            <w:vAlign w:val="bottom"/>
          </w:tcPr>
          <w:p>
            <w:pPr>
              <w:ind w:left="700"/>
              <w:spacing w:after="0"/>
              <w:rPr>
                <w:sz w:val="20"/>
                <w:szCs w:val="20"/>
                <w:color w:val="auto"/>
              </w:rPr>
            </w:pPr>
            <w:r>
              <w:rPr>
                <w:rFonts w:ascii="Arial" w:cs="Arial" w:eastAsia="Arial" w:hAnsi="Arial"/>
                <w:sz w:val="12"/>
                <w:szCs w:val="12"/>
                <w:color w:val="auto"/>
              </w:rPr>
              <w:t>reference to Exhibit 99(d)(8) to the Registrant’s Post-Effective Amendment No.4 to the Registration Statement on Form N-2/A (File No.333-172524), filed on January 22, 2013).</w:t>
            </w:r>
          </w:p>
        </w:tc>
      </w:tr>
      <w:tr>
        <w:trPr>
          <w:trHeight w:val="203"/>
        </w:trPr>
        <w:tc>
          <w:tcPr>
            <w:tcW w:w="1000" w:type="dxa"/>
            <w:vAlign w:val="bottom"/>
          </w:tcPr>
          <w:p>
            <w:pPr>
              <w:spacing w:after="0"/>
              <w:rPr>
                <w:sz w:val="20"/>
                <w:szCs w:val="20"/>
                <w:color w:val="auto"/>
              </w:rPr>
            </w:pPr>
            <w:r>
              <w:rPr>
                <w:rFonts w:ascii="Arial" w:cs="Arial" w:eastAsia="Arial" w:hAnsi="Arial"/>
                <w:sz w:val="12"/>
                <w:szCs w:val="12"/>
                <w:color w:val="auto"/>
              </w:rPr>
              <w:t>4.3</w:t>
            </w:r>
          </w:p>
        </w:tc>
        <w:tc>
          <w:tcPr>
            <w:tcW w:w="10180" w:type="dxa"/>
            <w:vAlign w:val="bottom"/>
          </w:tcPr>
          <w:p>
            <w:pPr>
              <w:ind w:left="700"/>
              <w:spacing w:after="0"/>
              <w:rPr>
                <w:sz w:val="20"/>
                <w:szCs w:val="20"/>
                <w:color w:val="auto"/>
              </w:rPr>
            </w:pPr>
            <w:r>
              <w:rPr>
                <w:rFonts w:ascii="Arial" w:cs="Arial" w:eastAsia="Arial" w:hAnsi="Arial"/>
                <w:sz w:val="12"/>
                <w:szCs w:val="12"/>
                <w:color w:val="auto"/>
                <w:w w:val="91"/>
              </w:rPr>
              <w:t>First Supplemental Indenture, dated as of January 22, 2013, relating to the 6.25% Senior Notes due 2025, between the Registrant and American Stock Transfer &amp; Trust Company, LLC, as trustee</w:t>
            </w:r>
          </w:p>
        </w:tc>
      </w:tr>
      <w:tr>
        <w:trPr>
          <w:trHeight w:val="148"/>
        </w:trPr>
        <w:tc>
          <w:tcPr>
            <w:tcW w:w="1000" w:type="dxa"/>
            <w:vAlign w:val="bottom"/>
          </w:tcPr>
          <w:p>
            <w:pPr>
              <w:spacing w:after="0"/>
              <w:rPr>
                <w:sz w:val="12"/>
                <w:szCs w:val="12"/>
                <w:color w:val="auto"/>
              </w:rPr>
            </w:pPr>
          </w:p>
        </w:tc>
        <w:tc>
          <w:tcPr>
            <w:tcW w:w="10180" w:type="dxa"/>
            <w:vAlign w:val="bottom"/>
          </w:tcPr>
          <w:p>
            <w:pPr>
              <w:ind w:left="700"/>
              <w:spacing w:after="0"/>
              <w:rPr>
                <w:sz w:val="20"/>
                <w:szCs w:val="20"/>
                <w:color w:val="auto"/>
              </w:rPr>
            </w:pPr>
            <w:r>
              <w:rPr>
                <w:rFonts w:ascii="Arial" w:cs="Arial" w:eastAsia="Arial" w:hAnsi="Arial"/>
                <w:sz w:val="12"/>
                <w:szCs w:val="12"/>
                <w:color w:val="auto"/>
                <w:w w:val="92"/>
              </w:rPr>
              <w:t>(Incorporated by reference to Exhibit 99(d)(9) to the Registrant’s Post-Effective Amendment No.4 to the Registration Statement on Form N-2/A (File No.333-172524), filed on January 22, 2013).</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4.4</w:t>
            </w:r>
          </w:p>
        </w:tc>
        <w:tc>
          <w:tcPr>
            <w:tcW w:w="10180" w:type="dxa"/>
            <w:vAlign w:val="bottom"/>
          </w:tcPr>
          <w:p>
            <w:pPr>
              <w:ind w:left="700"/>
              <w:spacing w:after="0"/>
              <w:rPr>
                <w:sz w:val="20"/>
                <w:szCs w:val="20"/>
                <w:color w:val="auto"/>
              </w:rPr>
            </w:pPr>
            <w:r>
              <w:rPr>
                <w:rFonts w:ascii="Arial" w:cs="Arial" w:eastAsia="Arial" w:hAnsi="Arial"/>
                <w:sz w:val="12"/>
                <w:szCs w:val="12"/>
                <w:color w:val="auto"/>
              </w:rPr>
              <w:t>Form of 6.25% Senior Notes due 2025 (included as part of Exhibit 4.3).</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10.1</w:t>
            </w:r>
          </w:p>
        </w:tc>
        <w:tc>
          <w:tcPr>
            <w:tcW w:w="10180" w:type="dxa"/>
            <w:vAlign w:val="bottom"/>
          </w:tcPr>
          <w:p>
            <w:pPr>
              <w:ind w:left="700"/>
              <w:spacing w:after="0"/>
              <w:rPr>
                <w:sz w:val="20"/>
                <w:szCs w:val="20"/>
                <w:color w:val="auto"/>
              </w:rPr>
            </w:pPr>
            <w:r>
              <w:rPr>
                <w:rFonts w:ascii="Arial" w:cs="Arial" w:eastAsia="Arial" w:hAnsi="Arial"/>
                <w:sz w:val="12"/>
                <w:szCs w:val="12"/>
                <w:color w:val="auto"/>
                <w:w w:val="88"/>
              </w:rPr>
              <w:t>Form of Investment Management Agreement between the Registrant and PennantPark Investment Advisers, LLC (Incorporated by reference to Exhibit 99(g) to the Registrant’s Registration Statement on</w:t>
            </w:r>
          </w:p>
        </w:tc>
      </w:tr>
      <w:tr>
        <w:trPr>
          <w:trHeight w:val="148"/>
        </w:trPr>
        <w:tc>
          <w:tcPr>
            <w:tcW w:w="1000" w:type="dxa"/>
            <w:vAlign w:val="bottom"/>
          </w:tcPr>
          <w:p>
            <w:pPr>
              <w:spacing w:after="0"/>
              <w:rPr>
                <w:sz w:val="12"/>
                <w:szCs w:val="12"/>
                <w:color w:val="auto"/>
              </w:rPr>
            </w:pPr>
          </w:p>
        </w:tc>
        <w:tc>
          <w:tcPr>
            <w:tcW w:w="10180" w:type="dxa"/>
            <w:vAlign w:val="bottom"/>
          </w:tcPr>
          <w:p>
            <w:pPr>
              <w:ind w:left="700"/>
              <w:spacing w:after="0"/>
              <w:rPr>
                <w:sz w:val="20"/>
                <w:szCs w:val="20"/>
                <w:color w:val="auto"/>
              </w:rPr>
            </w:pPr>
            <w:r>
              <w:rPr>
                <w:rFonts w:ascii="Arial" w:cs="Arial" w:eastAsia="Arial" w:hAnsi="Arial"/>
                <w:sz w:val="12"/>
                <w:szCs w:val="12"/>
                <w:color w:val="auto"/>
              </w:rPr>
              <w:t>Form N-2 (File No. 333-150033), filed on April 2, 2008).</w:t>
            </w:r>
          </w:p>
        </w:tc>
      </w:tr>
      <w:tr>
        <w:trPr>
          <w:trHeight w:val="203"/>
        </w:trPr>
        <w:tc>
          <w:tcPr>
            <w:tcW w:w="1000" w:type="dxa"/>
            <w:vAlign w:val="bottom"/>
          </w:tcPr>
          <w:p>
            <w:pPr>
              <w:spacing w:after="0"/>
              <w:rPr>
                <w:sz w:val="20"/>
                <w:szCs w:val="20"/>
                <w:color w:val="auto"/>
              </w:rPr>
            </w:pPr>
            <w:r>
              <w:rPr>
                <w:rFonts w:ascii="Arial" w:cs="Arial" w:eastAsia="Arial" w:hAnsi="Arial"/>
                <w:sz w:val="12"/>
                <w:szCs w:val="12"/>
                <w:color w:val="auto"/>
              </w:rPr>
              <w:t>10.2</w:t>
            </w:r>
          </w:p>
        </w:tc>
        <w:tc>
          <w:tcPr>
            <w:tcW w:w="10180" w:type="dxa"/>
            <w:vAlign w:val="bottom"/>
          </w:tcPr>
          <w:p>
            <w:pPr>
              <w:ind w:left="700"/>
              <w:spacing w:after="0"/>
              <w:rPr>
                <w:sz w:val="20"/>
                <w:szCs w:val="20"/>
                <w:color w:val="auto"/>
              </w:rPr>
            </w:pPr>
            <w:r>
              <w:rPr>
                <w:rFonts w:ascii="Arial" w:cs="Arial" w:eastAsia="Arial" w:hAnsi="Arial"/>
                <w:sz w:val="12"/>
                <w:szCs w:val="12"/>
                <w:color w:val="auto"/>
                <w:w w:val="89"/>
              </w:rPr>
              <w:t>Form of Administration Agreement between the Registrant and PennantPark Investment Administration LLC (Incorporated by reference to Exhibit 99(k)(1) to the Registrant’s Registration Statement on</w:t>
            </w:r>
          </w:p>
        </w:tc>
      </w:tr>
      <w:tr>
        <w:trPr>
          <w:trHeight w:val="148"/>
        </w:trPr>
        <w:tc>
          <w:tcPr>
            <w:tcW w:w="1000" w:type="dxa"/>
            <w:vAlign w:val="bottom"/>
          </w:tcPr>
          <w:p>
            <w:pPr>
              <w:spacing w:after="0"/>
              <w:rPr>
                <w:sz w:val="12"/>
                <w:szCs w:val="12"/>
                <w:color w:val="auto"/>
              </w:rPr>
            </w:pPr>
          </w:p>
        </w:tc>
        <w:tc>
          <w:tcPr>
            <w:tcW w:w="10180" w:type="dxa"/>
            <w:vAlign w:val="bottom"/>
          </w:tcPr>
          <w:p>
            <w:pPr>
              <w:ind w:left="700"/>
              <w:spacing w:after="0"/>
              <w:rPr>
                <w:sz w:val="20"/>
                <w:szCs w:val="20"/>
                <w:color w:val="auto"/>
              </w:rPr>
            </w:pPr>
            <w:r>
              <w:rPr>
                <w:rFonts w:ascii="Arial" w:cs="Arial" w:eastAsia="Arial" w:hAnsi="Arial"/>
                <w:sz w:val="12"/>
                <w:szCs w:val="12"/>
                <w:color w:val="auto"/>
              </w:rPr>
              <w:t>Form N-2 (File No. 333-150033), filed on April 2, 2008).</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10.3</w:t>
            </w:r>
          </w:p>
        </w:tc>
        <w:tc>
          <w:tcPr>
            <w:tcW w:w="10180" w:type="dxa"/>
            <w:vAlign w:val="bottom"/>
          </w:tcPr>
          <w:p>
            <w:pPr>
              <w:ind w:left="700"/>
              <w:spacing w:after="0"/>
              <w:rPr>
                <w:sz w:val="20"/>
                <w:szCs w:val="20"/>
                <w:color w:val="auto"/>
              </w:rPr>
            </w:pPr>
            <w:r>
              <w:rPr>
                <w:rFonts w:ascii="Arial" w:cs="Arial" w:eastAsia="Arial" w:hAnsi="Arial"/>
                <w:sz w:val="12"/>
                <w:szCs w:val="12"/>
                <w:color w:val="auto"/>
              </w:rPr>
              <w:t>Dividend Reinvestment Plan (Incorporated by reference to Exhibit 99(e) to the Registrant’s Registration Statement on Form N-2 (File No. 333-150033), filed on April 2, 2008).</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10.4</w:t>
            </w:r>
          </w:p>
        </w:tc>
        <w:tc>
          <w:tcPr>
            <w:tcW w:w="10180" w:type="dxa"/>
            <w:vAlign w:val="bottom"/>
          </w:tcPr>
          <w:p>
            <w:pPr>
              <w:ind w:left="700"/>
              <w:spacing w:after="0"/>
              <w:rPr>
                <w:sz w:val="20"/>
                <w:szCs w:val="20"/>
                <w:color w:val="auto"/>
              </w:rPr>
            </w:pPr>
            <w:r>
              <w:rPr>
                <w:rFonts w:ascii="Arial" w:cs="Arial" w:eastAsia="Arial" w:hAnsi="Arial"/>
                <w:sz w:val="12"/>
                <w:szCs w:val="12"/>
                <w:color w:val="auto"/>
                <w:w w:val="89"/>
              </w:rPr>
              <w:t>Amended and Restated Senior Secured Revolving Credit Agreement, dated as of February 21, 2012, among PennantPark Investment Corporation, as the borrower, the Lenders party hereto, SunTrust</w:t>
            </w:r>
          </w:p>
        </w:tc>
      </w:tr>
      <w:tr>
        <w:trPr>
          <w:trHeight w:val="135"/>
        </w:trPr>
        <w:tc>
          <w:tcPr>
            <w:tcW w:w="1000" w:type="dxa"/>
            <w:vAlign w:val="bottom"/>
          </w:tcPr>
          <w:p>
            <w:pPr>
              <w:spacing w:after="0"/>
              <w:rPr>
                <w:sz w:val="11"/>
                <w:szCs w:val="11"/>
                <w:color w:val="auto"/>
              </w:rPr>
            </w:pPr>
          </w:p>
        </w:tc>
        <w:tc>
          <w:tcPr>
            <w:tcW w:w="10180" w:type="dxa"/>
            <w:vAlign w:val="bottom"/>
          </w:tcPr>
          <w:p>
            <w:pPr>
              <w:ind w:left="700"/>
              <w:spacing w:after="0" w:line="135" w:lineRule="exact"/>
              <w:rPr>
                <w:sz w:val="20"/>
                <w:szCs w:val="20"/>
                <w:color w:val="auto"/>
              </w:rPr>
            </w:pPr>
            <w:r>
              <w:rPr>
                <w:rFonts w:ascii="Arial" w:cs="Arial" w:eastAsia="Arial" w:hAnsi="Arial"/>
                <w:sz w:val="12"/>
                <w:szCs w:val="12"/>
                <w:color w:val="auto"/>
                <w:w w:val="88"/>
              </w:rPr>
              <w:t>Bank, as administrative agent and JPMorgan Chase Bank, N.A., as syndication agent (Incorporated by reference to Exhibit 10.1 to the Registrant’s Quarterly Report on Form 10-Q (File No. 814-00736),</w:t>
            </w:r>
          </w:p>
        </w:tc>
      </w:tr>
      <w:tr>
        <w:trPr>
          <w:trHeight w:val="148"/>
        </w:trPr>
        <w:tc>
          <w:tcPr>
            <w:tcW w:w="1000" w:type="dxa"/>
            <w:vAlign w:val="bottom"/>
          </w:tcPr>
          <w:p>
            <w:pPr>
              <w:spacing w:after="0"/>
              <w:rPr>
                <w:sz w:val="12"/>
                <w:szCs w:val="12"/>
                <w:color w:val="auto"/>
              </w:rPr>
            </w:pPr>
          </w:p>
        </w:tc>
        <w:tc>
          <w:tcPr>
            <w:tcW w:w="10180" w:type="dxa"/>
            <w:vAlign w:val="bottom"/>
          </w:tcPr>
          <w:p>
            <w:pPr>
              <w:ind w:left="700"/>
              <w:spacing w:after="0"/>
              <w:rPr>
                <w:sz w:val="20"/>
                <w:szCs w:val="20"/>
                <w:color w:val="auto"/>
              </w:rPr>
            </w:pPr>
            <w:r>
              <w:rPr>
                <w:rFonts w:ascii="Arial" w:cs="Arial" w:eastAsia="Arial" w:hAnsi="Arial"/>
                <w:sz w:val="12"/>
                <w:szCs w:val="12"/>
                <w:color w:val="auto"/>
              </w:rPr>
              <w:t>filed on May 2, 2012).</w:t>
            </w:r>
          </w:p>
        </w:tc>
      </w:tr>
      <w:tr>
        <w:trPr>
          <w:trHeight w:val="216"/>
        </w:trPr>
        <w:tc>
          <w:tcPr>
            <w:tcW w:w="1000" w:type="dxa"/>
            <w:vAlign w:val="bottom"/>
          </w:tcPr>
          <w:p>
            <w:pPr>
              <w:spacing w:after="0"/>
              <w:rPr>
                <w:sz w:val="20"/>
                <w:szCs w:val="20"/>
                <w:color w:val="auto"/>
              </w:rPr>
            </w:pPr>
            <w:r>
              <w:rPr>
                <w:rFonts w:ascii="Arial" w:cs="Arial" w:eastAsia="Arial" w:hAnsi="Arial"/>
                <w:sz w:val="12"/>
                <w:szCs w:val="12"/>
                <w:color w:val="auto"/>
              </w:rPr>
              <w:t>11</w:t>
            </w:r>
          </w:p>
        </w:tc>
        <w:tc>
          <w:tcPr>
            <w:tcW w:w="10180" w:type="dxa"/>
            <w:vAlign w:val="bottom"/>
          </w:tcPr>
          <w:p>
            <w:pPr>
              <w:ind w:left="700"/>
              <w:spacing w:after="0"/>
              <w:rPr>
                <w:sz w:val="20"/>
                <w:szCs w:val="20"/>
                <w:color w:val="auto"/>
              </w:rPr>
            </w:pPr>
            <w:r>
              <w:rPr>
                <w:rFonts w:ascii="Arial" w:cs="Arial" w:eastAsia="Arial" w:hAnsi="Arial"/>
                <w:sz w:val="12"/>
                <w:szCs w:val="12"/>
                <w:color w:val="auto"/>
              </w:rPr>
              <w:t>Computation of Per Share Earnings (included in the notes to the audited financial statements contained in this Report).</w:t>
            </w:r>
          </w:p>
        </w:tc>
      </w:tr>
      <w:tr>
        <w:trPr>
          <w:trHeight w:val="229"/>
        </w:trPr>
        <w:tc>
          <w:tcPr>
            <w:tcW w:w="1000" w:type="dxa"/>
            <w:vAlign w:val="bottom"/>
          </w:tcPr>
          <w:p>
            <w:pPr>
              <w:spacing w:after="0"/>
              <w:rPr>
                <w:sz w:val="20"/>
                <w:szCs w:val="20"/>
                <w:color w:val="auto"/>
              </w:rPr>
            </w:pPr>
            <w:r>
              <w:rPr>
                <w:rFonts w:ascii="Arial" w:cs="Arial" w:eastAsia="Arial" w:hAnsi="Arial"/>
                <w:sz w:val="12"/>
                <w:szCs w:val="12"/>
                <w:color w:val="auto"/>
              </w:rPr>
              <w:t>14.1*</w:t>
            </w:r>
          </w:p>
        </w:tc>
        <w:tc>
          <w:tcPr>
            <w:tcW w:w="10180" w:type="dxa"/>
            <w:vAlign w:val="bottom"/>
          </w:tcPr>
          <w:p>
            <w:pPr>
              <w:ind w:left="700"/>
              <w:spacing w:after="0"/>
              <w:rPr>
                <w:sz w:val="20"/>
                <w:szCs w:val="20"/>
                <w:color w:val="auto"/>
              </w:rPr>
            </w:pPr>
            <w:r>
              <w:rPr>
                <w:rFonts w:ascii="Arial" w:cs="Arial" w:eastAsia="Arial" w:hAnsi="Arial"/>
                <w:sz w:val="12"/>
                <w:szCs w:val="12"/>
                <w:color w:val="auto"/>
              </w:rPr>
              <w:t>Joint Code of Ethics of the Registrant.</w:t>
            </w:r>
          </w:p>
        </w:tc>
      </w:tr>
      <w:tr>
        <w:trPr>
          <w:trHeight w:val="230"/>
        </w:trPr>
        <w:tc>
          <w:tcPr>
            <w:tcW w:w="1000" w:type="dxa"/>
            <w:vAlign w:val="bottom"/>
          </w:tcPr>
          <w:p>
            <w:pPr>
              <w:spacing w:after="0"/>
              <w:rPr>
                <w:sz w:val="20"/>
                <w:szCs w:val="20"/>
                <w:color w:val="auto"/>
              </w:rPr>
            </w:pPr>
            <w:r>
              <w:rPr>
                <w:rFonts w:ascii="Arial" w:cs="Arial" w:eastAsia="Arial" w:hAnsi="Arial"/>
                <w:sz w:val="12"/>
                <w:szCs w:val="12"/>
                <w:color w:val="auto"/>
              </w:rPr>
              <w:t>21.1*</w:t>
            </w:r>
          </w:p>
        </w:tc>
        <w:tc>
          <w:tcPr>
            <w:tcW w:w="10180" w:type="dxa"/>
            <w:vAlign w:val="bottom"/>
          </w:tcPr>
          <w:p>
            <w:pPr>
              <w:ind w:left="700"/>
              <w:spacing w:after="0"/>
              <w:rPr>
                <w:sz w:val="20"/>
                <w:szCs w:val="20"/>
                <w:color w:val="auto"/>
              </w:rPr>
            </w:pPr>
            <w:r>
              <w:rPr>
                <w:rFonts w:ascii="Arial" w:cs="Arial" w:eastAsia="Arial" w:hAnsi="Arial"/>
                <w:sz w:val="12"/>
                <w:szCs w:val="12"/>
                <w:color w:val="auto"/>
              </w:rPr>
              <w:t>Subsidiaries of the Registrant.</w:t>
            </w:r>
          </w:p>
        </w:tc>
      </w:tr>
      <w:tr>
        <w:trPr>
          <w:trHeight w:val="229"/>
        </w:trPr>
        <w:tc>
          <w:tcPr>
            <w:tcW w:w="1000" w:type="dxa"/>
            <w:vAlign w:val="bottom"/>
          </w:tcPr>
          <w:p>
            <w:pPr>
              <w:spacing w:after="0"/>
              <w:rPr>
                <w:sz w:val="20"/>
                <w:szCs w:val="20"/>
                <w:color w:val="auto"/>
              </w:rPr>
            </w:pPr>
            <w:r>
              <w:rPr>
                <w:rFonts w:ascii="Arial" w:cs="Arial" w:eastAsia="Arial" w:hAnsi="Arial"/>
                <w:sz w:val="12"/>
                <w:szCs w:val="12"/>
                <w:color w:val="auto"/>
              </w:rPr>
              <w:t>31.1*</w:t>
            </w:r>
          </w:p>
        </w:tc>
        <w:tc>
          <w:tcPr>
            <w:tcW w:w="10180" w:type="dxa"/>
            <w:vAlign w:val="bottom"/>
          </w:tcPr>
          <w:p>
            <w:pPr>
              <w:ind w:left="700"/>
              <w:spacing w:after="0"/>
              <w:rPr>
                <w:sz w:val="20"/>
                <w:szCs w:val="20"/>
                <w:color w:val="auto"/>
              </w:rPr>
            </w:pPr>
            <w:r>
              <w:rPr>
                <w:rFonts w:ascii="Arial" w:cs="Arial" w:eastAsia="Arial" w:hAnsi="Arial"/>
                <w:sz w:val="12"/>
                <w:szCs w:val="12"/>
                <w:color w:val="auto"/>
              </w:rPr>
              <w:t>Certification of Chief Executive Officer pursuant to Rule 13a-14 of the Securities Exchange Act of 1934, as amended.</w:t>
            </w:r>
          </w:p>
        </w:tc>
      </w:tr>
      <w:tr>
        <w:trPr>
          <w:trHeight w:val="230"/>
        </w:trPr>
        <w:tc>
          <w:tcPr>
            <w:tcW w:w="1000" w:type="dxa"/>
            <w:vAlign w:val="bottom"/>
          </w:tcPr>
          <w:p>
            <w:pPr>
              <w:spacing w:after="0"/>
              <w:rPr>
                <w:sz w:val="20"/>
                <w:szCs w:val="20"/>
                <w:color w:val="auto"/>
              </w:rPr>
            </w:pPr>
            <w:r>
              <w:rPr>
                <w:rFonts w:ascii="Arial" w:cs="Arial" w:eastAsia="Arial" w:hAnsi="Arial"/>
                <w:sz w:val="12"/>
                <w:szCs w:val="12"/>
                <w:color w:val="auto"/>
              </w:rPr>
              <w:t>31.2*</w:t>
            </w:r>
          </w:p>
        </w:tc>
        <w:tc>
          <w:tcPr>
            <w:tcW w:w="10180" w:type="dxa"/>
            <w:vAlign w:val="bottom"/>
          </w:tcPr>
          <w:p>
            <w:pPr>
              <w:ind w:left="700"/>
              <w:spacing w:after="0"/>
              <w:rPr>
                <w:sz w:val="20"/>
                <w:szCs w:val="20"/>
                <w:color w:val="auto"/>
              </w:rPr>
            </w:pPr>
            <w:r>
              <w:rPr>
                <w:rFonts w:ascii="Arial" w:cs="Arial" w:eastAsia="Arial" w:hAnsi="Arial"/>
                <w:sz w:val="12"/>
                <w:szCs w:val="12"/>
                <w:color w:val="auto"/>
              </w:rPr>
              <w:t>Certification of Chief Financial Officer pursuant to Rule 13a-14 of the Securities Exchange Act of 1934, as amended.</w:t>
            </w:r>
          </w:p>
        </w:tc>
      </w:tr>
      <w:tr>
        <w:trPr>
          <w:trHeight w:val="230"/>
        </w:trPr>
        <w:tc>
          <w:tcPr>
            <w:tcW w:w="1000" w:type="dxa"/>
            <w:vAlign w:val="bottom"/>
          </w:tcPr>
          <w:p>
            <w:pPr>
              <w:spacing w:after="0"/>
              <w:rPr>
                <w:sz w:val="20"/>
                <w:szCs w:val="20"/>
                <w:color w:val="auto"/>
              </w:rPr>
            </w:pPr>
            <w:r>
              <w:rPr>
                <w:rFonts w:ascii="Arial" w:cs="Arial" w:eastAsia="Arial" w:hAnsi="Arial"/>
                <w:sz w:val="12"/>
                <w:szCs w:val="12"/>
                <w:color w:val="auto"/>
              </w:rPr>
              <w:t>32.1*</w:t>
            </w:r>
          </w:p>
        </w:tc>
        <w:tc>
          <w:tcPr>
            <w:tcW w:w="10180" w:type="dxa"/>
            <w:vAlign w:val="bottom"/>
          </w:tcPr>
          <w:p>
            <w:pPr>
              <w:ind w:left="700"/>
              <w:spacing w:after="0"/>
              <w:rPr>
                <w:sz w:val="20"/>
                <w:szCs w:val="20"/>
                <w:color w:val="auto"/>
              </w:rPr>
            </w:pPr>
            <w:r>
              <w:rPr>
                <w:rFonts w:ascii="Arial" w:cs="Arial" w:eastAsia="Arial" w:hAnsi="Arial"/>
                <w:sz w:val="12"/>
                <w:szCs w:val="12"/>
                <w:color w:val="auto"/>
              </w:rPr>
              <w:t>Certification of Chief Executive Officer pursuant to section 906 of the Sarbanes-Oxley Act of 2002.</w:t>
            </w:r>
          </w:p>
        </w:tc>
      </w:tr>
      <w:tr>
        <w:trPr>
          <w:trHeight w:val="230"/>
        </w:trPr>
        <w:tc>
          <w:tcPr>
            <w:tcW w:w="1000" w:type="dxa"/>
            <w:vAlign w:val="bottom"/>
          </w:tcPr>
          <w:p>
            <w:pPr>
              <w:spacing w:after="0"/>
              <w:rPr>
                <w:sz w:val="20"/>
                <w:szCs w:val="20"/>
                <w:color w:val="auto"/>
              </w:rPr>
            </w:pPr>
            <w:r>
              <w:rPr>
                <w:rFonts w:ascii="Arial" w:cs="Arial" w:eastAsia="Arial" w:hAnsi="Arial"/>
                <w:sz w:val="12"/>
                <w:szCs w:val="12"/>
                <w:color w:val="auto"/>
              </w:rPr>
              <w:t>32.2*</w:t>
            </w:r>
          </w:p>
        </w:tc>
        <w:tc>
          <w:tcPr>
            <w:tcW w:w="10180" w:type="dxa"/>
            <w:vAlign w:val="bottom"/>
          </w:tcPr>
          <w:p>
            <w:pPr>
              <w:ind w:left="700"/>
              <w:spacing w:after="0"/>
              <w:rPr>
                <w:sz w:val="20"/>
                <w:szCs w:val="20"/>
                <w:color w:val="auto"/>
              </w:rPr>
            </w:pPr>
            <w:r>
              <w:rPr>
                <w:rFonts w:ascii="Arial" w:cs="Arial" w:eastAsia="Arial" w:hAnsi="Arial"/>
                <w:sz w:val="12"/>
                <w:szCs w:val="12"/>
                <w:color w:val="auto"/>
              </w:rPr>
              <w:t>Certification of Chief Financial Officer pursuant to section 906 of the Sarbanes-Oxley Act of 2002.</w:t>
            </w:r>
          </w:p>
        </w:tc>
      </w:tr>
      <w:tr>
        <w:trPr>
          <w:trHeight w:val="229"/>
        </w:trPr>
        <w:tc>
          <w:tcPr>
            <w:tcW w:w="1000" w:type="dxa"/>
            <w:vAlign w:val="bottom"/>
          </w:tcPr>
          <w:p>
            <w:pPr>
              <w:spacing w:after="0"/>
              <w:rPr>
                <w:sz w:val="20"/>
                <w:szCs w:val="20"/>
                <w:color w:val="auto"/>
              </w:rPr>
            </w:pPr>
            <w:r>
              <w:rPr>
                <w:rFonts w:ascii="Arial" w:cs="Arial" w:eastAsia="Arial" w:hAnsi="Arial"/>
                <w:sz w:val="12"/>
                <w:szCs w:val="12"/>
                <w:color w:val="auto"/>
              </w:rPr>
              <w:t>99.1</w:t>
            </w:r>
          </w:p>
        </w:tc>
        <w:tc>
          <w:tcPr>
            <w:tcW w:w="10180" w:type="dxa"/>
            <w:vAlign w:val="bottom"/>
          </w:tcPr>
          <w:p>
            <w:pPr>
              <w:ind w:left="700"/>
              <w:spacing w:after="0"/>
              <w:rPr>
                <w:sz w:val="20"/>
                <w:szCs w:val="20"/>
                <w:color w:val="auto"/>
              </w:rPr>
            </w:pPr>
            <w:r>
              <w:rPr>
                <w:rFonts w:ascii="Arial" w:cs="Arial" w:eastAsia="Arial" w:hAnsi="Arial"/>
                <w:sz w:val="12"/>
                <w:szCs w:val="12"/>
                <w:color w:val="auto"/>
              </w:rPr>
              <w:t>Privacy Policy of the Registrant (Incorporated by reference to Exhibit 99.1 to the Registrant’s Annual Report on Form 10-K (File No. 814-00736), filed on November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9944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 Filed herewith</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180"/>
          </w:cols>
          <w:pgMar w:left="320" w:top="459" w:right="3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SIGNATURES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 w:type="dxa"/>
            <w:vAlign w:val="bottom"/>
          </w:tcPr>
          <w:p>
            <w:pPr>
              <w:spacing w:after="0"/>
              <w:rPr>
                <w:sz w:val="12"/>
                <w:szCs w:val="12"/>
                <w:color w:val="auto"/>
              </w:rPr>
            </w:pPr>
          </w:p>
        </w:tc>
        <w:tc>
          <w:tcPr>
            <w:tcW w:w="9760" w:type="dxa"/>
            <w:vAlign w:val="bottom"/>
            <w:gridSpan w:val="2"/>
          </w:tcPr>
          <w:p>
            <w:pPr>
              <w:ind w:left="140"/>
              <w:spacing w:after="0"/>
              <w:rPr>
                <w:sz w:val="20"/>
                <w:szCs w:val="20"/>
                <w:color w:val="auto"/>
              </w:rPr>
            </w:pPr>
            <w:r>
              <w:rPr>
                <w:rFonts w:ascii="Arial" w:cs="Arial" w:eastAsia="Arial" w:hAnsi="Arial"/>
                <w:sz w:val="12"/>
                <w:szCs w:val="12"/>
                <w:color w:val="auto"/>
                <w:w w:val="87"/>
              </w:rPr>
              <w:t>Pursuant to the requirements of Section 13 or 15(d) of the Securities Exchange Act of 1934, the registrant has duly caused this report to be signed on its behalf by the undersigned, thereunto duly authorized.</w:t>
            </w:r>
          </w:p>
        </w:tc>
      </w:tr>
      <w:tr>
        <w:trPr>
          <w:trHeight w:val="371"/>
        </w:trPr>
        <w:tc>
          <w:tcPr>
            <w:tcW w:w="540" w:type="dxa"/>
            <w:vAlign w:val="bottom"/>
          </w:tcPr>
          <w:p>
            <w:pPr>
              <w:spacing w:after="0"/>
              <w:rPr>
                <w:sz w:val="20"/>
                <w:szCs w:val="20"/>
                <w:color w:val="auto"/>
              </w:rPr>
            </w:pPr>
            <w:r>
              <w:rPr>
                <w:rFonts w:ascii="Arial" w:cs="Arial" w:eastAsia="Arial" w:hAnsi="Arial"/>
                <w:sz w:val="12"/>
                <w:szCs w:val="12"/>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ARTHUR H. PENN</w:t>
            </w:r>
          </w:p>
        </w:tc>
        <w:tc>
          <w:tcPr>
            <w:tcW w:w="5820" w:type="dxa"/>
            <w:vAlign w:val="bottom"/>
          </w:tcPr>
          <w:p>
            <w:pPr>
              <w:spacing w:after="0"/>
              <w:rPr>
                <w:sz w:val="24"/>
                <w:szCs w:val="24"/>
                <w:color w:val="auto"/>
              </w:rPr>
            </w:pPr>
          </w:p>
        </w:tc>
      </w:tr>
      <w:tr>
        <w:trPr>
          <w:trHeight w:val="149"/>
        </w:trPr>
        <w:tc>
          <w:tcPr>
            <w:tcW w:w="540" w:type="dxa"/>
            <w:vAlign w:val="bottom"/>
          </w:tcPr>
          <w:p>
            <w:pPr>
              <w:spacing w:after="0"/>
              <w:rPr>
                <w:sz w:val="20"/>
                <w:szCs w:val="20"/>
                <w:color w:val="auto"/>
              </w:rPr>
            </w:pPr>
            <w:r>
              <w:rPr>
                <w:rFonts w:ascii="Arial" w:cs="Arial" w:eastAsia="Arial" w:hAnsi="Arial"/>
                <w:sz w:val="12"/>
                <w:szCs w:val="12"/>
                <w:color w:val="auto"/>
              </w:rPr>
              <w:t>Name:</w:t>
            </w:r>
          </w:p>
        </w:tc>
        <w:tc>
          <w:tcPr>
            <w:tcW w:w="9760" w:type="dxa"/>
            <w:vAlign w:val="bottom"/>
            <w:gridSpan w:val="2"/>
          </w:tcPr>
          <w:p>
            <w:pPr>
              <w:jc w:val="center"/>
              <w:ind w:right="5800"/>
              <w:spacing w:after="0"/>
              <w:rPr>
                <w:sz w:val="20"/>
                <w:szCs w:val="20"/>
                <w:color w:val="auto"/>
              </w:rPr>
            </w:pPr>
            <w:r>
              <w:rPr>
                <w:rFonts w:ascii="Arial" w:cs="Arial" w:eastAsia="Arial" w:hAnsi="Arial"/>
                <w:sz w:val="12"/>
                <w:szCs w:val="12"/>
                <w:b w:val="1"/>
                <w:bCs w:val="1"/>
                <w:color w:val="auto"/>
                <w:w w:val="94"/>
              </w:rPr>
              <w:t>Arthur H. Penn</w:t>
            </w:r>
          </w:p>
        </w:tc>
      </w:tr>
      <w:tr>
        <w:trPr>
          <w:trHeight w:val="162"/>
        </w:trPr>
        <w:tc>
          <w:tcPr>
            <w:tcW w:w="540" w:type="dxa"/>
            <w:vAlign w:val="bottom"/>
          </w:tcPr>
          <w:p>
            <w:pPr>
              <w:spacing w:after="0"/>
              <w:rPr>
                <w:sz w:val="20"/>
                <w:szCs w:val="20"/>
                <w:color w:val="auto"/>
              </w:rPr>
            </w:pPr>
            <w:r>
              <w:rPr>
                <w:rFonts w:ascii="Arial" w:cs="Arial" w:eastAsia="Arial" w:hAnsi="Arial"/>
                <w:sz w:val="12"/>
                <w:szCs w:val="12"/>
                <w:color w:val="auto"/>
              </w:rPr>
              <w:t>Title:</w:t>
            </w:r>
          </w:p>
        </w:tc>
        <w:tc>
          <w:tcPr>
            <w:tcW w:w="9760" w:type="dxa"/>
            <w:vAlign w:val="bottom"/>
            <w:gridSpan w:val="2"/>
          </w:tcPr>
          <w:p>
            <w:pPr>
              <w:jc w:val="center"/>
              <w:ind w:right="5800"/>
              <w:spacing w:after="0"/>
              <w:rPr>
                <w:sz w:val="20"/>
                <w:szCs w:val="20"/>
                <w:color w:val="auto"/>
              </w:rPr>
            </w:pPr>
            <w:r>
              <w:rPr>
                <w:rFonts w:ascii="Arial" w:cs="Arial" w:eastAsia="Arial" w:hAnsi="Arial"/>
                <w:sz w:val="12"/>
                <w:szCs w:val="12"/>
                <w:b w:val="1"/>
                <w:bCs w:val="1"/>
                <w:color w:val="auto"/>
                <w:w w:val="90"/>
              </w:rPr>
              <w:t>Chief Executive Officer and Chairman of the Board</w:t>
            </w:r>
          </w:p>
        </w:tc>
      </w:tr>
      <w:tr>
        <w:trPr>
          <w:trHeight w:val="243"/>
        </w:trPr>
        <w:tc>
          <w:tcPr>
            <w:tcW w:w="540" w:type="dxa"/>
            <w:vAlign w:val="bottom"/>
          </w:tcPr>
          <w:p>
            <w:pPr>
              <w:spacing w:after="0"/>
              <w:rPr>
                <w:sz w:val="21"/>
                <w:szCs w:val="21"/>
                <w:color w:val="auto"/>
              </w:rPr>
            </w:pPr>
          </w:p>
        </w:tc>
        <w:tc>
          <w:tcPr>
            <w:tcW w:w="9760" w:type="dxa"/>
            <w:vAlign w:val="bottom"/>
            <w:gridSpan w:val="2"/>
          </w:tcPr>
          <w:p>
            <w:pPr>
              <w:ind w:left="140"/>
              <w:spacing w:after="0"/>
              <w:rPr>
                <w:sz w:val="20"/>
                <w:szCs w:val="20"/>
                <w:color w:val="auto"/>
              </w:rPr>
            </w:pPr>
            <w:r>
              <w:rPr>
                <w:rFonts w:ascii="Arial" w:cs="Arial" w:eastAsia="Arial" w:hAnsi="Arial"/>
                <w:sz w:val="12"/>
                <w:szCs w:val="12"/>
                <w:color w:val="auto"/>
                <w:w w:val="88"/>
              </w:rPr>
              <w:t>Pursuant to the requirements of the Securities Exchange Act of 1934, this report has been signed below by the following persons on behalf of the registrant and in the capacities and on the dates indicated.</w:t>
            </w:r>
          </w:p>
        </w:tc>
      </w:tr>
    </w:tbl>
    <w:p>
      <w:pPr>
        <w:spacing w:after="0" w:line="106" w:lineRule="exact"/>
        <w:rPr>
          <w:sz w:val="20"/>
          <w:szCs w:val="20"/>
          <w:color w:val="auto"/>
        </w:rPr>
      </w:pPr>
    </w:p>
    <w:p>
      <w:pPr>
        <w:sectPr>
          <w:pgSz w:w="11900" w:h="16838" w:orient="portrait"/>
          <w:cols w:equalWidth="0" w:num="1">
            <w:col w:w="10580"/>
          </w:cols>
          <w:pgMar w:left="320" w:top="459" w:right="999" w:bottom="1440" w:gutter="0" w:footer="0" w:header="0"/>
        </w:sectPr>
      </w:pPr>
    </w:p>
    <w:p>
      <w:pPr>
        <w:ind w:left="190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089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 w:lineRule="exact"/>
        <w:rPr>
          <w:sz w:val="20"/>
          <w:szCs w:val="20"/>
          <w:color w:val="auto"/>
        </w:rPr>
      </w:pPr>
    </w:p>
    <w:p>
      <w:pPr>
        <w:ind w:left="1560"/>
        <w:spacing w:after="0"/>
        <w:tabs>
          <w:tab w:leader="none" w:pos="17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2"/>
          <w:szCs w:val="12"/>
          <w:b w:val="1"/>
          <w:bCs w:val="1"/>
          <w:color w:val="auto"/>
        </w:rPr>
        <w:t>Arthur H. Penn</w:t>
      </w:r>
    </w:p>
    <w:p>
      <w:pPr>
        <w:spacing w:after="0" w:line="119" w:lineRule="exact"/>
        <w:rPr>
          <w:sz w:val="20"/>
          <w:szCs w:val="20"/>
          <w:color w:val="auto"/>
        </w:rPr>
      </w:pPr>
    </w:p>
    <w:p>
      <w:pPr>
        <w:ind w:left="1700"/>
        <w:spacing w:after="0"/>
        <w:tabs>
          <w:tab w:leader="none" w:pos="190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2"/>
          <w:szCs w:val="12"/>
          <w:b w:val="1"/>
          <w:bCs w:val="1"/>
          <w:color w:val="auto"/>
        </w:rPr>
        <w:t>Aviv Efrat</w:t>
      </w:r>
    </w:p>
    <w:p>
      <w:pPr>
        <w:spacing w:after="0" w:line="119" w:lineRule="exact"/>
        <w:rPr>
          <w:sz w:val="20"/>
          <w:szCs w:val="20"/>
          <w:color w:val="auto"/>
        </w:rPr>
      </w:pPr>
    </w:p>
    <w:p>
      <w:pPr>
        <w:ind w:left="1440"/>
        <w:spacing w:after="0"/>
        <w:tabs>
          <w:tab w:leader="none" w:pos="164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ADAM K.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2"/>
          <w:szCs w:val="12"/>
          <w:b w:val="1"/>
          <w:bCs w:val="1"/>
          <w:color w:val="auto"/>
        </w:rPr>
        <w:t>Adam K. Bernstein</w:t>
      </w:r>
    </w:p>
    <w:p>
      <w:pPr>
        <w:spacing w:after="0" w:line="119" w:lineRule="exact"/>
        <w:rPr>
          <w:sz w:val="20"/>
          <w:szCs w:val="20"/>
          <w:color w:val="auto"/>
        </w:rPr>
      </w:pPr>
    </w:p>
    <w:p>
      <w:pPr>
        <w:ind w:left="1620"/>
        <w:spacing w:after="0"/>
        <w:tabs>
          <w:tab w:leader="none" w:pos="18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JEFFREY FLUG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b w:val="1"/>
          <w:bCs w:val="1"/>
          <w:color w:val="auto"/>
        </w:rPr>
        <w:t>Jeffrey Flug</w:t>
      </w:r>
    </w:p>
    <w:p>
      <w:pPr>
        <w:spacing w:after="0" w:line="119" w:lineRule="exact"/>
        <w:rPr>
          <w:sz w:val="20"/>
          <w:szCs w:val="20"/>
          <w:color w:val="auto"/>
        </w:rPr>
      </w:pPr>
    </w:p>
    <w:p>
      <w:pPr>
        <w:ind w:left="1420"/>
        <w:spacing w:after="0"/>
        <w:tabs>
          <w:tab w:leader="none" w:pos="164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2"/>
          <w:szCs w:val="12"/>
          <w:b w:val="1"/>
          <w:bCs w:val="1"/>
          <w:color w:val="auto"/>
        </w:rPr>
        <w:t>Marshall Brozost</w:t>
      </w:r>
    </w:p>
    <w:p>
      <w:pPr>
        <w:spacing w:after="0" w:line="119" w:lineRule="exact"/>
        <w:rPr>
          <w:sz w:val="20"/>
          <w:szCs w:val="20"/>
          <w:color w:val="auto"/>
        </w:rPr>
      </w:pPr>
    </w:p>
    <w:p>
      <w:pPr>
        <w:ind w:left="1560"/>
        <w:spacing w:after="0"/>
        <w:tabs>
          <w:tab w:leader="none" w:pos="176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089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2"/>
          <w:szCs w:val="12"/>
          <w:b w:val="1"/>
          <w:bCs w:val="1"/>
          <w:color w:val="auto"/>
        </w:rPr>
        <w:t>Samuel L. Katz</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12065</wp:posOffset>
            </wp:positionV>
            <wp:extent cx="28460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7" w:lineRule="exact"/>
        <w:rPr>
          <w:sz w:val="20"/>
          <w:szCs w:val="20"/>
          <w:color w:val="auto"/>
        </w:rPr>
      </w:pPr>
    </w:p>
    <w:p>
      <w:pPr>
        <w:jc w:val="center"/>
        <w:ind w:right="80"/>
        <w:spacing w:after="0"/>
        <w:rPr>
          <w:sz w:val="20"/>
          <w:szCs w:val="20"/>
          <w:color w:val="auto"/>
        </w:rPr>
      </w:pPr>
      <w:r>
        <w:rPr>
          <w:rFonts w:ascii="Arial" w:cs="Arial" w:eastAsia="Arial" w:hAnsi="Arial"/>
          <w:sz w:val="9"/>
          <w:szCs w:val="9"/>
          <w:color w:val="auto"/>
        </w:rPr>
        <w:t>Chairman of the Board of Directors and Chief Executive Officer (Principal Executive Officer)</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Chief Financial Officer and Treasurer (Principal Financial and Accounting Officer)</w:t>
      </w:r>
    </w:p>
    <w:p>
      <w:pPr>
        <w:spacing w:after="0" w:line="279"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Director</w:t>
      </w: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Director</w:t>
      </w: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Director</w:t>
      </w: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Director</w:t>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12065</wp:posOffset>
            </wp:positionV>
            <wp:extent cx="1423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9"/>
          <w:szCs w:val="9"/>
          <w:color w:val="auto"/>
        </w:rPr>
        <w:t>November 13, 2013</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November 13, 2013</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November 13, 2013</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November 13, 2013</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November 13, 2013</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color w:val="auto"/>
        </w:rPr>
        <w:t>November 13, 2013</w:t>
      </w:r>
    </w:p>
    <w:p>
      <w:pPr>
        <w:sectPr>
          <w:pgSz w:w="11900" w:h="16838" w:orient="portrait"/>
          <w:cols w:equalWidth="0" w:num="3">
            <w:col w:w="3720" w:space="720"/>
            <w:col w:w="4500" w:space="720"/>
            <w:col w:w="920"/>
          </w:cols>
          <w:pgMar w:left="320" w:top="459" w:right="99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left="700" w:hanging="243"/>
        <w:spacing w:after="0"/>
        <w:tabs>
          <w:tab w:leader="none" w:pos="70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Chairman of the Board, the president or the Board of Directors may call a special meeting of the stockholders. Subject to subsection</w:t>
      </w:r>
    </w:p>
    <w:p>
      <w:pPr>
        <w:spacing w:after="0" w:line="46"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9" w:lineRule="exact"/>
        <w:rPr>
          <w:rFonts w:ascii="Arial" w:cs="Arial" w:eastAsia="Arial" w:hAnsi="Arial"/>
          <w:sz w:val="18"/>
          <w:szCs w:val="18"/>
          <w:color w:val="auto"/>
        </w:rPr>
      </w:pPr>
    </w:p>
    <w:p>
      <w:pPr>
        <w:ind w:right="20" w:firstLine="457"/>
        <w:spacing w:after="0" w:line="254" w:lineRule="auto"/>
        <w:tabs>
          <w:tab w:leader="none" w:pos="70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74" w:name="page75"/>
    <w:bookmarkEnd w:id="74"/>
    <w:p>
      <w:pPr>
        <w:ind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95" w:lineRule="exact"/>
        <w:rPr>
          <w:sz w:val="20"/>
          <w:szCs w:val="20"/>
          <w:color w:val="auto"/>
        </w:rPr>
      </w:pPr>
    </w:p>
    <w:p>
      <w:pPr>
        <w:ind w:right="20" w:firstLine="906"/>
        <w:spacing w:after="0" w:line="284" w:lineRule="auto"/>
        <w:tabs>
          <w:tab w:leader="none" w:pos="1153"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w:t>
      </w:r>
    </w:p>
    <w:p>
      <w:pPr>
        <w:ind w:right="60" w:firstLine="8"/>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89" w:lineRule="exact"/>
        <w:rPr>
          <w:rFonts w:ascii="Arial" w:cs="Arial" w:eastAsia="Arial" w:hAnsi="Arial"/>
          <w:sz w:val="18"/>
          <w:szCs w:val="18"/>
          <w:color w:val="auto"/>
        </w:rPr>
      </w:pPr>
    </w:p>
    <w:p>
      <w:pPr>
        <w:ind w:firstLine="906"/>
        <w:spacing w:after="0" w:line="259" w:lineRule="auto"/>
        <w:tabs>
          <w:tab w:leader="none" w:pos="11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firstLine="906"/>
        <w:spacing w:after="0" w:line="273" w:lineRule="auto"/>
        <w:tabs>
          <w:tab w:leader="none" w:pos="1153" w:val="left"/>
        </w:tabs>
        <w:numPr>
          <w:ilvl w:val="1"/>
          <w:numId w:val="44"/>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4" w:right="379" w:bottom="1440" w:gutter="0" w:footer="0" w:header="0"/>
        </w:sectPr>
      </w:pPr>
    </w:p>
    <w:bookmarkStart w:id="75" w:name="page76"/>
    <w:bookmarkEnd w:id="75"/>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5" w:lineRule="exact"/>
        <w:rPr>
          <w:sz w:val="20"/>
          <w:szCs w:val="20"/>
          <w:color w:val="auto"/>
        </w:rPr>
      </w:pPr>
    </w:p>
    <w:p>
      <w:pPr>
        <w:ind w:firstLine="906"/>
        <w:spacing w:after="0" w:line="269" w:lineRule="auto"/>
        <w:tabs>
          <w:tab w:leader="none" w:pos="11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85" w:lineRule="exact"/>
        <w:rPr>
          <w:rFonts w:ascii="Arial" w:cs="Arial" w:eastAsia="Arial" w:hAnsi="Arial"/>
          <w:sz w:val="17"/>
          <w:szCs w:val="17"/>
          <w:color w:val="auto"/>
        </w:rPr>
      </w:pPr>
    </w:p>
    <w:p>
      <w:pPr>
        <w:ind w:right="140" w:firstLine="906"/>
        <w:spacing w:after="0" w:line="290" w:lineRule="auto"/>
        <w:tabs>
          <w:tab w:leader="none" w:pos="11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76" w:name="page77"/>
    <w:bookmarkEnd w:id="76"/>
    <w:p>
      <w:pPr>
        <w:ind w:right="700" w:firstLine="906"/>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these Bylaws, “Business Day” shall mean any day other than a Saturday, a Sunday or other day on which banking institutions in the State of New York are authorized or obligated by law or executive order to close.</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 AND CONDUCT</w:t>
      </w:r>
      <w:r>
        <w:rPr>
          <w:rFonts w:ascii="Arial" w:cs="Arial" w:eastAsia="Arial" w:hAnsi="Arial"/>
          <w:sz w:val="17"/>
          <w:szCs w:val="17"/>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77" w:name="page78"/>
    <w:bookmarkEnd w:id="77"/>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w:t>
      </w:r>
    </w:p>
    <w:p>
      <w:pPr>
        <w:spacing w:after="0" w:line="2" w:lineRule="exact"/>
        <w:rPr>
          <w:sz w:val="20"/>
          <w:szCs w:val="20"/>
          <w:color w:val="auto"/>
        </w:rPr>
      </w:pPr>
    </w:p>
    <w:p>
      <w:pPr>
        <w:jc w:val="both"/>
        <w:ind w:right="260" w:firstLine="8"/>
        <w:spacing w:after="0" w:line="281"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w:t>
      </w:r>
    </w:p>
    <w:p>
      <w:pPr>
        <w:spacing w:after="0" w:line="1" w:lineRule="exact"/>
        <w:rPr>
          <w:rFonts w:ascii="Arial" w:cs="Arial" w:eastAsia="Arial" w:hAnsi="Arial"/>
          <w:sz w:val="16"/>
          <w:szCs w:val="16"/>
          <w:color w:val="auto"/>
        </w:rPr>
      </w:pPr>
    </w:p>
    <w:p>
      <w:pPr>
        <w:ind w:firstLine="8"/>
        <w:spacing w:after="0" w:line="273" w:lineRule="auto"/>
        <w:tabs>
          <w:tab w:leader="none" w:pos="2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76"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6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by the affirmative vote of the holders of a majority of the shares of stock outstanding and entitled to vote thereon .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a different vote is required by statute or by the charter of the Corporation. Unless otherwise provided by statute or by the charter, each outstanding share, regardless of class, shall be entitled to one vote on each matter submitted to a vote at a meeting of stockholders.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274" w:right="399" w:bottom="1440" w:gutter="0" w:footer="0" w:header="0"/>
        </w:sectPr>
      </w:pPr>
    </w:p>
    <w:bookmarkStart w:id="78" w:name="page79"/>
    <w:bookmarkEnd w:id="78"/>
    <w:p>
      <w:pPr>
        <w:jc w:val="both"/>
        <w:ind w:right="14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7"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79" w:name="page80"/>
    <w:bookmarkEnd w:id="7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ADVANCE NOTICE OF STOCKHOLDER NOMINEES FOR DIRECTOR AND OTHER STOCKHOLDER PROPOSALS</w:t>
      </w:r>
      <w:r>
        <w:rPr>
          <w:rFonts w:ascii="Arial" w:cs="Arial" w:eastAsia="Arial" w:hAnsi="Arial"/>
          <w:sz w:val="18"/>
          <w:szCs w:val="18"/>
          <w:color w:val="auto"/>
        </w:rPr>
        <w:t>.</w:t>
      </w:r>
    </w:p>
    <w:p>
      <w:pPr>
        <w:spacing w:after="0" w:line="225" w:lineRule="exact"/>
        <w:rPr>
          <w:sz w:val="20"/>
          <w:szCs w:val="20"/>
          <w:color w:val="auto"/>
        </w:rPr>
      </w:pPr>
    </w:p>
    <w:p>
      <w:pPr>
        <w:ind w:right="20" w:firstLine="457"/>
        <w:spacing w:after="0" w:line="275" w:lineRule="auto"/>
        <w:tabs>
          <w:tab w:leader="none" w:pos="69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176" w:lineRule="exact"/>
        <w:rPr>
          <w:rFonts w:ascii="Arial" w:cs="Arial" w:eastAsia="Arial" w:hAnsi="Arial"/>
          <w:sz w:val="17"/>
          <w:szCs w:val="17"/>
          <w:color w:val="auto"/>
        </w:rPr>
      </w:pPr>
    </w:p>
    <w:p>
      <w:pPr>
        <w:ind w:firstLine="906"/>
        <w:spacing w:after="0" w:line="269" w:lineRule="auto"/>
        <w:tabs>
          <w:tab w:leader="none" w:pos="11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nor later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such notice must be so delivered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5:00 p.m., Eastern Time, on the later of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181" w:lineRule="exact"/>
        <w:rPr>
          <w:rFonts w:ascii="Arial" w:cs="Arial" w:eastAsia="Arial" w:hAnsi="Arial"/>
          <w:sz w:val="17"/>
          <w:szCs w:val="17"/>
          <w:color w:val="auto"/>
        </w:rPr>
      </w:pPr>
    </w:p>
    <w:p>
      <w:pPr>
        <w:ind w:left="1160" w:hanging="254"/>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117" w:lineRule="exact"/>
        <w:rPr>
          <w:rFonts w:ascii="Arial" w:cs="Arial" w:eastAsia="Arial" w:hAnsi="Arial"/>
          <w:sz w:val="18"/>
          <w:szCs w:val="18"/>
          <w:color w:val="auto"/>
        </w:rPr>
      </w:pPr>
    </w:p>
    <w:p>
      <w:pPr>
        <w:ind w:left="1680" w:hanging="212"/>
        <w:spacing w:after="0"/>
        <w:tabs>
          <w:tab w:leader="none" w:pos="1680" w:val="left"/>
        </w:tabs>
        <w:numPr>
          <w:ilvl w:val="2"/>
          <w:numId w:val="49"/>
        </w:numPr>
        <w:rPr>
          <w:rFonts w:ascii="Arial" w:cs="Arial" w:eastAsia="Arial" w:hAnsi="Arial"/>
          <w:sz w:val="17"/>
          <w:szCs w:val="17"/>
          <w:color w:val="auto"/>
        </w:rPr>
      </w:pPr>
      <w:r>
        <w:rPr>
          <w:rFonts w:ascii="Arial" w:cs="Arial" w:eastAsia="Arial" w:hAnsi="Arial"/>
          <w:sz w:val="17"/>
          <w:szCs w:val="17"/>
          <w:color w:val="auto"/>
        </w:rPr>
        <w:t>as to each individual whom the stockholder proposes to nominate for election or reelection as a director (each, a “Proposed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Nominee”),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80" w:name="page81"/>
    <w:bookmarkEnd w:id="80"/>
    <w:p>
      <w:pPr>
        <w:ind w:left="-20" w:firstLine="1917"/>
        <w:spacing w:after="0" w:line="311" w:lineRule="auto"/>
        <w:tabs>
          <w:tab w:leader="none" w:pos="2184"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48" w:lineRule="exact"/>
        <w:rPr>
          <w:rFonts w:ascii="Arial" w:cs="Arial" w:eastAsia="Arial" w:hAnsi="Arial"/>
          <w:sz w:val="16"/>
          <w:szCs w:val="16"/>
          <w:color w:val="auto"/>
        </w:rPr>
      </w:pPr>
    </w:p>
    <w:p>
      <w:pPr>
        <w:ind w:left="-20" w:right="300" w:firstLine="1917"/>
        <w:spacing w:after="0" w:line="259" w:lineRule="auto"/>
        <w:tabs>
          <w:tab w:leader="none" w:pos="21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86" w:lineRule="exact"/>
        <w:rPr>
          <w:rFonts w:ascii="Arial" w:cs="Arial" w:eastAsia="Arial" w:hAnsi="Arial"/>
          <w:sz w:val="18"/>
          <w:szCs w:val="18"/>
          <w:color w:val="auto"/>
        </w:rPr>
      </w:pPr>
    </w:p>
    <w:p>
      <w:pPr>
        <w:jc w:val="both"/>
        <w:ind w:left="-20" w:right="40" w:firstLine="1468"/>
        <w:spacing w:after="0" w:line="311" w:lineRule="auto"/>
        <w:tabs>
          <w:tab w:leader="none" w:pos="1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48" w:lineRule="exact"/>
        <w:rPr>
          <w:rFonts w:ascii="Arial" w:cs="Arial" w:eastAsia="Arial" w:hAnsi="Arial"/>
          <w:sz w:val="16"/>
          <w:szCs w:val="16"/>
          <w:color w:val="auto"/>
        </w:rPr>
      </w:pPr>
    </w:p>
    <w:p>
      <w:pPr>
        <w:ind w:left="1760" w:hanging="312"/>
        <w:spacing w:after="0"/>
        <w:tabs>
          <w:tab w:leader="none" w:pos="1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rFonts w:ascii="Arial" w:cs="Arial" w:eastAsia="Arial" w:hAnsi="Arial"/>
          <w:sz w:val="18"/>
          <w:szCs w:val="18"/>
          <w:color w:val="auto"/>
        </w:rPr>
      </w:pPr>
    </w:p>
    <w:p>
      <w:pPr>
        <w:ind w:left="-20" w:right="80" w:firstLine="1917"/>
        <w:spacing w:after="0" w:line="301" w:lineRule="auto"/>
        <w:tabs>
          <w:tab w:leader="none" w:pos="2184"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57" w:lineRule="exact"/>
        <w:rPr>
          <w:rFonts w:ascii="Arial" w:cs="Arial" w:eastAsia="Arial" w:hAnsi="Arial"/>
          <w:sz w:val="16"/>
          <w:szCs w:val="16"/>
          <w:color w:val="auto"/>
        </w:rPr>
      </w:pPr>
    </w:p>
    <w:p>
      <w:pPr>
        <w:ind w:left="-20" w:right="200" w:firstLine="1917"/>
        <w:spacing w:after="0" w:line="277" w:lineRule="auto"/>
        <w:tabs>
          <w:tab w:leader="none" w:pos="21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p>
    <w:p>
      <w:pPr>
        <w:spacing w:after="0" w:line="170" w:lineRule="exact"/>
        <w:rPr>
          <w:rFonts w:ascii="Arial" w:cs="Arial" w:eastAsia="Arial" w:hAnsi="Arial"/>
          <w:sz w:val="18"/>
          <w:szCs w:val="18"/>
          <w:color w:val="auto"/>
        </w:rPr>
      </w:pPr>
    </w:p>
    <w:p>
      <w:pPr>
        <w:ind w:left="-20" w:right="60" w:firstLine="1917"/>
        <w:spacing w:after="0" w:line="254" w:lineRule="auto"/>
        <w:tabs>
          <w:tab w:leader="none" w:pos="21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40" w:top="274" w:right="359" w:bottom="1440" w:gutter="0" w:footer="0" w:header="0"/>
        </w:sectPr>
      </w:pPr>
    </w:p>
    <w:bookmarkStart w:id="81" w:name="page82"/>
    <w:bookmarkEnd w:id="81"/>
    <w:p>
      <w:pPr>
        <w:ind w:left="-8" w:right="100" w:firstLine="1917"/>
        <w:spacing w:after="0" w:line="257" w:lineRule="auto"/>
        <w:tabs>
          <w:tab w:leader="none" w:pos="2196" w:val="left"/>
        </w:tabs>
        <w:numPr>
          <w:ilvl w:val="3"/>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pro rata basis by all other holders of the same class or series;</w:t>
      </w:r>
    </w:p>
    <w:p>
      <w:pPr>
        <w:spacing w:after="0" w:line="187" w:lineRule="exact"/>
        <w:rPr>
          <w:rFonts w:ascii="Arial" w:cs="Arial" w:eastAsia="Arial" w:hAnsi="Arial"/>
          <w:sz w:val="18"/>
          <w:szCs w:val="18"/>
          <w:color w:val="auto"/>
        </w:rPr>
      </w:pPr>
    </w:p>
    <w:p>
      <w:pPr>
        <w:ind w:left="1772" w:hanging="312"/>
        <w:spacing w:after="0"/>
        <w:tabs>
          <w:tab w:leader="none" w:pos="1772" w:val="left"/>
        </w:tabs>
        <w:numPr>
          <w:ilvl w:val="2"/>
          <w:numId w:val="53"/>
        </w:numPr>
        <w:rPr>
          <w:rFonts w:ascii="Arial" w:cs="Arial" w:eastAsia="Arial" w:hAnsi="Arial"/>
          <w:sz w:val="16"/>
          <w:szCs w:val="16"/>
          <w:color w:val="auto"/>
        </w:rPr>
      </w:pPr>
      <w:r>
        <w:rPr>
          <w:rFonts w:ascii="Arial" w:cs="Arial" w:eastAsia="Arial" w:hAnsi="Arial"/>
          <w:sz w:val="16"/>
          <w:szCs w:val="16"/>
          <w:color w:val="auto"/>
        </w:rPr>
        <w:t>as to the stockholder giving the notice, any Stockholder Associated Person with an interest or ownership referred to in clauses</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 (iii) of this paragraph (3) of this Section 11(a) and any Proposed Nominee,</w:t>
      </w:r>
    </w:p>
    <w:p>
      <w:pPr>
        <w:spacing w:after="0" w:line="210" w:lineRule="exact"/>
        <w:rPr>
          <w:rFonts w:ascii="Arial" w:cs="Arial" w:eastAsia="Arial" w:hAnsi="Arial"/>
          <w:sz w:val="18"/>
          <w:szCs w:val="18"/>
          <w:color w:val="auto"/>
        </w:rPr>
      </w:pPr>
    </w:p>
    <w:p>
      <w:pPr>
        <w:ind w:left="-8" w:right="580" w:firstLine="1917"/>
        <w:spacing w:after="0" w:line="277" w:lineRule="auto"/>
        <w:tabs>
          <w:tab w:leader="none" w:pos="2196" w:val="left"/>
        </w:tabs>
        <w:numPr>
          <w:ilvl w:val="3"/>
          <w:numId w:val="54"/>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jc w:val="both"/>
        <w:ind w:left="-8" w:right="80" w:firstLine="1917"/>
        <w:spacing w:after="0" w:line="263" w:lineRule="auto"/>
        <w:tabs>
          <w:tab w:leader="none" w:pos="2186" w:val="left"/>
        </w:tabs>
        <w:numPr>
          <w:ilvl w:val="3"/>
          <w:numId w:val="54"/>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3" w:lineRule="exact"/>
        <w:rPr>
          <w:rFonts w:ascii="Arial" w:cs="Arial" w:eastAsia="Arial" w:hAnsi="Arial"/>
          <w:sz w:val="18"/>
          <w:szCs w:val="18"/>
          <w:color w:val="auto"/>
        </w:rPr>
      </w:pPr>
    </w:p>
    <w:p>
      <w:pPr>
        <w:ind w:left="-8" w:right="560" w:firstLine="1468"/>
        <w:spacing w:after="0" w:line="308" w:lineRule="auto"/>
        <w:tabs>
          <w:tab w:leader="none" w:pos="1707" w:val="left"/>
        </w:tabs>
        <w:numPr>
          <w:ilvl w:val="2"/>
          <w:numId w:val="54"/>
        </w:numPr>
        <w:rPr>
          <w:rFonts w:ascii="Arial" w:cs="Arial" w:eastAsia="Arial" w:hAnsi="Arial"/>
          <w:sz w:val="17"/>
          <w:szCs w:val="17"/>
          <w:color w:val="auto"/>
        </w:rPr>
      </w:pPr>
      <w:r>
        <w:rPr>
          <w:rFonts w:ascii="Arial" w:cs="Arial" w:eastAsia="Arial" w:hAnsi="Arial"/>
          <w:sz w:val="17"/>
          <w:szCs w:val="17"/>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46" w:lineRule="exact"/>
        <w:rPr>
          <w:rFonts w:ascii="Arial" w:cs="Arial" w:eastAsia="Arial" w:hAnsi="Arial"/>
          <w:sz w:val="17"/>
          <w:szCs w:val="17"/>
          <w:color w:val="auto"/>
        </w:rPr>
      </w:pPr>
    </w:p>
    <w:p>
      <w:pPr>
        <w:ind w:left="-8" w:right="240" w:firstLine="1468"/>
        <w:spacing w:after="0" w:line="277" w:lineRule="auto"/>
        <w:tabs>
          <w:tab w:leader="none" w:pos="1757"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rFonts w:ascii="Arial" w:cs="Arial" w:eastAsia="Arial" w:hAnsi="Arial"/>
          <w:sz w:val="18"/>
          <w:szCs w:val="18"/>
          <w:color w:val="auto"/>
        </w:rPr>
      </w:pPr>
    </w:p>
    <w:p>
      <w:pPr>
        <w:ind w:left="1152" w:hanging="254"/>
        <w:spacing w:after="0"/>
        <w:tabs>
          <w:tab w:leader="none" w:pos="11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w:t>
      </w:r>
    </w:p>
    <w:p>
      <w:pPr>
        <w:spacing w:after="0" w:line="46" w:lineRule="exact"/>
        <w:rPr>
          <w:rFonts w:ascii="Arial" w:cs="Arial" w:eastAsia="Arial" w:hAnsi="Arial"/>
          <w:sz w:val="16"/>
          <w:szCs w:val="16"/>
          <w:color w:val="auto"/>
        </w:rPr>
      </w:pPr>
    </w:p>
    <w:p>
      <w:pPr>
        <w:ind w:left="-8" w:firstLine="8"/>
        <w:spacing w:after="0" w:line="287" w:lineRule="auto"/>
        <w:tabs>
          <w:tab w:leader="none" w:pos="2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274" w:right="339" w:bottom="1440" w:gutter="0" w:footer="0" w:header="0"/>
        </w:sectPr>
      </w:pPr>
    </w:p>
    <w:bookmarkStart w:id="82" w:name="page83"/>
    <w:bookmarkEnd w:id="82"/>
    <w:p>
      <w:pPr>
        <w:ind w:left="-60" w:right="120" w:firstLine="906"/>
        <w:spacing w:after="0" w:line="255" w:lineRule="auto"/>
        <w:tabs>
          <w:tab w:leader="none" w:pos="1093"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60" w:right="80" w:firstLine="906"/>
        <w:spacing w:after="0" w:line="259" w:lineRule="auto"/>
        <w:tabs>
          <w:tab w:leader="none" w:pos="10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6" w:lineRule="exact"/>
        <w:rPr>
          <w:rFonts w:ascii="Arial" w:cs="Arial" w:eastAsia="Arial" w:hAnsi="Arial"/>
          <w:sz w:val="18"/>
          <w:szCs w:val="18"/>
          <w:color w:val="auto"/>
        </w:rPr>
      </w:pPr>
    </w:p>
    <w:p>
      <w:pPr>
        <w:ind w:left="-60" w:firstLine="457"/>
        <w:spacing w:after="0" w:line="286" w:lineRule="auto"/>
        <w:tabs>
          <w:tab w:leader="none" w:pos="644"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 this Section 11, is delivered to the secretary at the principal executive office of the Corporation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and not later than 5:00 p.m., 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73" w:lineRule="exact"/>
        <w:rPr>
          <w:rFonts w:ascii="Arial" w:cs="Arial" w:eastAsia="Arial" w:hAnsi="Arial"/>
          <w:sz w:val="16"/>
          <w:szCs w:val="16"/>
          <w:color w:val="auto"/>
        </w:rPr>
      </w:pPr>
    </w:p>
    <w:p>
      <w:pPr>
        <w:ind w:left="-60" w:right="100" w:firstLine="457"/>
        <w:spacing w:after="0" w:line="257"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80" w:top="274" w:right="379" w:bottom="1440" w:gutter="0" w:footer="0" w:header="0"/>
        </w:sectPr>
      </w:pPr>
    </w:p>
    <w:bookmarkStart w:id="83" w:name="page84"/>
    <w:bookmarkEnd w:id="83"/>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64" w:lineRule="exact"/>
        <w:rPr>
          <w:sz w:val="20"/>
          <w:szCs w:val="20"/>
          <w:color w:val="auto"/>
        </w:rPr>
      </w:pPr>
    </w:p>
    <w:p>
      <w:pPr>
        <w:ind w:right="40" w:firstLine="906"/>
        <w:spacing w:after="0" w:line="259"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6" w:lineRule="exact"/>
        <w:rPr>
          <w:rFonts w:ascii="Arial" w:cs="Arial" w:eastAsia="Arial" w:hAnsi="Arial"/>
          <w:sz w:val="18"/>
          <w:szCs w:val="18"/>
          <w:color w:val="auto"/>
        </w:rPr>
      </w:pPr>
    </w:p>
    <w:p>
      <w:pPr>
        <w:ind w:right="40" w:firstLine="906"/>
        <w:spacing w:after="0" w:line="257"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87" w:lineRule="exact"/>
        <w:rPr>
          <w:rFonts w:ascii="Arial" w:cs="Arial" w:eastAsia="Arial" w:hAnsi="Arial"/>
          <w:sz w:val="18"/>
          <w:szCs w:val="18"/>
          <w:color w:val="auto"/>
        </w:rPr>
      </w:pPr>
    </w:p>
    <w:p>
      <w:pPr>
        <w:ind w:firstLine="906"/>
        <w:spacing w:after="0" w:line="254" w:lineRule="auto"/>
        <w:tabs>
          <w:tab w:leader="none" w:pos="11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 or the Investment Company Act.</w:t>
      </w:r>
    </w:p>
    <w:p>
      <w:pPr>
        <w:spacing w:after="0" w:line="19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CONTROL SHARE ACQUISITION ACT</w:t>
      </w:r>
      <w:r>
        <w:rPr>
          <w:rFonts w:ascii="Arial" w:cs="Arial" w:eastAsia="Arial" w:hAnsi="Arial"/>
          <w:sz w:val="16"/>
          <w:szCs w:val="16"/>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Notwithstanding the forgoing, the Company must consult with the SEC prior to applying the MGCL provisions referenced in</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274" w:right="419" w:bottom="1440" w:gutter="0" w:footer="0" w:header="0"/>
        </w:sectPr>
      </w:pPr>
    </w:p>
    <w:bookmarkStart w:id="84" w:name="page85"/>
    <w:bookmarkEnd w:id="8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under the direction of its Board of Directors.</w:t>
      </w:r>
    </w:p>
    <w:p>
      <w:pPr>
        <w:spacing w:after="0" w:line="23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TENURE AND RESIGNATION</w:t>
      </w:r>
      <w:r>
        <w:rPr>
          <w:rFonts w:ascii="Arial" w:cs="Arial" w:eastAsia="Arial" w:hAnsi="Arial"/>
          <w:sz w:val="17"/>
          <w:szCs w:val="17"/>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20" w:top="274" w:right="419" w:bottom="1440" w:gutter="0" w:footer="0" w:header="0"/>
        </w:sectPr>
      </w:pPr>
    </w:p>
    <w:bookmarkStart w:id="85" w:name="page86"/>
    <w:bookmarkEnd w:id="8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8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8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86" w:name="page87"/>
    <w:bookmarkEnd w:id="86"/>
    <w:p>
      <w:pPr>
        <w:ind w:right="6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7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78"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RATIFICATION</w:t>
      </w:r>
      <w:r>
        <w:rPr>
          <w:rFonts w:ascii="Arial" w:cs="Arial" w:eastAsia="Arial" w:hAnsi="Arial"/>
          <w:sz w:val="18"/>
          <w:szCs w:val="18"/>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87" w:name="page88"/>
    <w:bookmarkEnd w:id="8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ind w:firstLine="449"/>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provisions hereof, the Board of Directors shall have the power at any time to change the membership of any committee, to fill all vacancies,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88" w:name="page89"/>
    <w:bookmarkEnd w:id="88"/>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66"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225"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4" w:right="379" w:bottom="1440" w:gutter="0" w:footer="0" w:header="0"/>
        </w:sectPr>
      </w:pPr>
    </w:p>
    <w:bookmarkStart w:id="89" w:name="page90"/>
    <w:bookmarkEnd w:id="89"/>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right="300"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6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w:t>
      </w:r>
    </w:p>
    <w:p>
      <w:pPr>
        <w:spacing w:after="0" w:line="1" w:lineRule="exact"/>
        <w:rPr>
          <w:sz w:val="20"/>
          <w:szCs w:val="20"/>
          <w:color w:val="auto"/>
        </w:rPr>
      </w:pPr>
    </w:p>
    <w:p>
      <w:pPr>
        <w:ind w:right="640" w:firstLine="8"/>
        <w:spacing w:after="0" w:line="260" w:lineRule="auto"/>
        <w:tabs>
          <w:tab w:leader="none" w:pos="2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general perform such other duties as from time to time may be assigned to him by the chief executive officer, the president or by the Board of Directors.</w:t>
      </w:r>
    </w:p>
    <w:p>
      <w:pPr>
        <w:spacing w:after="0" w:line="18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90" w:name="page91"/>
    <w:bookmarkEnd w:id="90"/>
    <w:p>
      <w:pPr>
        <w:ind w:right="6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REQUIRED INFORMATION</w:t>
      </w:r>
      <w:r>
        <w:rPr>
          <w:rFonts w:ascii="Arial" w:cs="Arial" w:eastAsia="Arial" w:hAnsi="Arial"/>
          <w:sz w:val="17"/>
          <w:szCs w:val="17"/>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76"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 WHEN CERTIFICATES ISSUED</w:t>
      </w:r>
      <w:r>
        <w:rPr>
          <w:rFonts w:ascii="Arial" w:cs="Arial" w:eastAsia="Arial" w:hAnsi="Arial"/>
          <w:sz w:val="17"/>
          <w:szCs w:val="17"/>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76"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jc w:val="both"/>
        <w:ind w:right="160" w:firstLine="449"/>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96"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0" w:right="359" w:bottom="1440" w:gutter="0" w:footer="0" w:header="0"/>
        </w:sectPr>
      </w:pPr>
    </w:p>
    <w:bookmarkStart w:id="92" w:name="page93"/>
    <w:bookmarkEnd w:id="92"/>
    <w:p>
      <w:pPr>
        <w:jc w:val="both"/>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4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187" w:lineRule="exact"/>
        <w:rPr>
          <w:sz w:val="20"/>
          <w:szCs w:val="20"/>
          <w:color w:val="auto"/>
        </w:rPr>
      </w:pPr>
    </w:p>
    <w:p>
      <w:pPr>
        <w:jc w:val="both"/>
        <w:ind w:right="260" w:firstLine="449"/>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2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84"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74" w:right="359" w:bottom="1440" w:gutter="0" w:footer="0" w:header="0"/>
        </w:sectPr>
      </w:pPr>
    </w:p>
    <w:bookmarkStart w:id="93" w:name="page94"/>
    <w:bookmarkEnd w:id="93"/>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4" w:right="33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INSPECTION OF RECORDS</w:t>
      </w:r>
    </w:p>
    <w:p>
      <w:pPr>
        <w:spacing w:after="0" w:line="229"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of Directors shall have the exclusive power to adopt, alter or repeal any provision of these Bylaws and to make new Bylaws.</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270" w:right="439" w:bottom="1440" w:gutter="0" w:footer="0" w:header="0"/>
        </w:sectPr>
      </w:pPr>
    </w:p>
    <w:bookmarkStart w:id="95" w:name="page96"/>
    <w:bookmarkEnd w:id="95"/>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121" w:lineRule="exact"/>
        <w:rPr>
          <w:sz w:val="20"/>
          <w:szCs w:val="20"/>
          <w:color w:val="auto"/>
        </w:rPr>
      </w:pPr>
    </w:p>
    <w:p>
      <w:pPr>
        <w:ind w:right="80" w:firstLine="898"/>
        <w:spacing w:after="0" w:line="271" w:lineRule="auto"/>
        <w:rPr>
          <w:sz w:val="20"/>
          <w:szCs w:val="20"/>
          <w:color w:val="auto"/>
        </w:rPr>
      </w:pPr>
      <w:r>
        <w:rPr>
          <w:rFonts w:ascii="Arial" w:cs="Arial" w:eastAsia="Arial" w:hAnsi="Arial"/>
          <w:sz w:val="17"/>
          <w:szCs w:val="17"/>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78"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9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Covered Personnel must read and retain this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135" w:lineRule="exact"/>
        <w:rPr>
          <w:sz w:val="20"/>
          <w:szCs w:val="20"/>
          <w:color w:val="auto"/>
        </w:rPr>
      </w:pPr>
    </w:p>
    <w:p>
      <w:pPr>
        <w:ind w:left="900" w:hanging="447"/>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“Access Person” means any director, officer, general partner or Advisory Person (as defined below) of the Corporations or the Adviser.</w:t>
      </w:r>
    </w:p>
    <w:p>
      <w:pPr>
        <w:spacing w:after="0" w:line="142" w:lineRule="exact"/>
        <w:rPr>
          <w:rFonts w:ascii="Arial" w:cs="Arial" w:eastAsia="Arial" w:hAnsi="Arial"/>
          <w:sz w:val="17"/>
          <w:szCs w:val="17"/>
          <w:color w:val="auto"/>
        </w:rPr>
      </w:pPr>
    </w:p>
    <w:p>
      <w:pPr>
        <w:ind w:left="900" w:right="100" w:hanging="447"/>
        <w:spacing w:after="0" w:line="273"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3" w:lineRule="exact"/>
        <w:rPr>
          <w:rFonts w:ascii="Arial" w:cs="Arial" w:eastAsia="Arial" w:hAnsi="Arial"/>
          <w:sz w:val="17"/>
          <w:szCs w:val="17"/>
          <w:color w:val="auto"/>
        </w:rPr>
      </w:pPr>
    </w:p>
    <w:p>
      <w:pPr>
        <w:ind w:left="900" w:right="200" w:hanging="447"/>
        <w:spacing w:after="0" w:line="263"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89" w:lineRule="exact"/>
        <w:rPr>
          <w:rFonts w:ascii="Arial" w:cs="Arial" w:eastAsia="Arial" w:hAnsi="Arial"/>
          <w:sz w:val="18"/>
          <w:szCs w:val="18"/>
          <w:color w:val="auto"/>
        </w:rPr>
      </w:pPr>
    </w:p>
    <w:p>
      <w:pPr>
        <w:ind w:left="900" w:right="400" w:hanging="447"/>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130" w:lineRule="exact"/>
        <w:rPr>
          <w:rFonts w:ascii="Arial" w:cs="Arial" w:eastAsia="Arial" w:hAnsi="Arial"/>
          <w:sz w:val="18"/>
          <w:szCs w:val="18"/>
          <w:color w:val="auto"/>
        </w:rPr>
      </w:pPr>
    </w:p>
    <w:p>
      <w:pPr>
        <w:ind w:left="900" w:right="100" w:hanging="447"/>
        <w:spacing w:after="0" w:line="271"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83" w:lineRule="exact"/>
        <w:rPr>
          <w:rFonts w:ascii="Arial" w:cs="Arial" w:eastAsia="Arial" w:hAnsi="Arial"/>
          <w:sz w:val="17"/>
          <w:szCs w:val="17"/>
          <w:color w:val="auto"/>
        </w:rPr>
      </w:pPr>
    </w:p>
    <w:p>
      <w:pPr>
        <w:ind w:left="900" w:right="40"/>
        <w:spacing w:after="0" w:line="284" w:lineRule="auto"/>
        <w:rPr>
          <w:rFonts w:ascii="Arial" w:cs="Arial" w:eastAsia="Arial" w:hAnsi="Arial"/>
          <w:sz w:val="17"/>
          <w:szCs w:val="17"/>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w:t>
      </w:r>
    </w:p>
    <w:p>
      <w:pPr>
        <w:spacing w:after="0" w:line="4" w:lineRule="exact"/>
        <w:rPr>
          <w:rFonts w:ascii="Arial" w:cs="Arial" w:eastAsia="Arial" w:hAnsi="Arial"/>
          <w:sz w:val="17"/>
          <w:szCs w:val="17"/>
          <w:color w:val="auto"/>
        </w:rPr>
      </w:pPr>
    </w:p>
    <w:p>
      <w:pPr>
        <w:jc w:val="both"/>
        <w:ind w:left="900" w:right="80"/>
        <w:spacing w:after="0" w:line="277" w:lineRule="auto"/>
        <w:rPr>
          <w:rFonts w:ascii="Arial" w:cs="Arial" w:eastAsia="Arial" w:hAnsi="Arial"/>
          <w:sz w:val="17"/>
          <w:szCs w:val="17"/>
          <w:color w:val="auto"/>
        </w:rPr>
      </w:pPr>
      <w:r>
        <w:rPr>
          <w:rFonts w:ascii="Arial" w:cs="Arial" w:eastAsia="Arial" w:hAnsi="Arial"/>
          <w:sz w:val="17"/>
          <w:szCs w:val="17"/>
          <w:color w:val="auto"/>
        </w:rPr>
        <w:t>(i)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8" w:lineRule="exact"/>
        <w:rPr>
          <w:rFonts w:ascii="Arial" w:cs="Arial" w:eastAsia="Arial" w:hAnsi="Arial"/>
          <w:sz w:val="17"/>
          <w:szCs w:val="17"/>
          <w:color w:val="auto"/>
        </w:rPr>
      </w:pPr>
    </w:p>
    <w:p>
      <w:pPr>
        <w:ind w:left="900" w:right="600" w:hanging="447"/>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75" w:lineRule="exact"/>
        <w:rPr>
          <w:rFonts w:ascii="Arial" w:cs="Arial" w:eastAsia="Arial" w:hAnsi="Arial"/>
          <w:sz w:val="18"/>
          <w:szCs w:val="18"/>
          <w:color w:val="auto"/>
        </w:rPr>
      </w:pPr>
    </w:p>
    <w:p>
      <w:pPr>
        <w:ind w:left="900" w:right="440" w:hanging="447"/>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1" w:lineRule="exact"/>
        <w:rPr>
          <w:rFonts w:ascii="Arial" w:cs="Arial" w:eastAsia="Arial" w:hAnsi="Arial"/>
          <w:sz w:val="17"/>
          <w:szCs w:val="17"/>
          <w:color w:val="auto"/>
        </w:rPr>
      </w:pPr>
    </w:p>
    <w:p>
      <w:pPr>
        <w:ind w:left="900" w:right="220" w:hanging="447"/>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ectPr>
          <w:pgSz w:w="11900" w:h="16922" w:orient="portrait"/>
          <w:cols w:equalWidth="0" w:num="1">
            <w:col w:w="11240"/>
          </w:cols>
          <w:pgMar w:left="320" w:top="121" w:right="339" w:bottom="0" w:gutter="0" w:footer="0" w:header="0"/>
        </w:sectPr>
      </w:pPr>
    </w:p>
    <w:bookmarkStart w:id="96" w:name="page97"/>
    <w:bookmarkEnd w:id="96"/>
    <w:p>
      <w:pPr>
        <w:ind w:left="447" w:hanging="447"/>
        <w:spacing w:after="0" w:line="277" w:lineRule="auto"/>
        <w:tabs>
          <w:tab w:leader="none" w:pos="4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List” means the “Pipeline” report of potential investments combined with the current holdings of the clients. PennantPark Access Persons are restricted from trading any security on the Restricted List.</w:t>
      </w:r>
    </w:p>
    <w:p>
      <w:pPr>
        <w:spacing w:after="0" w:line="76" w:lineRule="exact"/>
        <w:rPr>
          <w:sz w:val="20"/>
          <w:szCs w:val="20"/>
          <w:color w:val="auto"/>
        </w:rPr>
      </w:pPr>
    </w:p>
    <w:p>
      <w:pPr>
        <w:ind w:left="447" w:right="60" w:hanging="439"/>
        <w:spacing w:after="0" w:line="291" w:lineRule="auto"/>
        <w:tabs>
          <w:tab w:leader="none" w:pos="426" w:val="left"/>
        </w:tabs>
        <w:rPr>
          <w:sz w:val="20"/>
          <w:szCs w:val="20"/>
          <w:color w:val="auto"/>
        </w:rPr>
      </w:pPr>
      <w:r>
        <w:rPr>
          <w:rFonts w:ascii="Arial" w:cs="Arial" w:eastAsia="Arial" w:hAnsi="Arial"/>
          <w:sz w:val="16"/>
          <w:szCs w:val="16"/>
          <w:color w:val="auto"/>
        </w:rPr>
        <w:t>(KJ)</w:t>
        <w:tab/>
        <w:t>“Security Held or to be Acquired” by the Corporation means: (i) any Covered Security which, within the most recent 15 days: (A) is or has been held by the Corporation; or (B) is being or has been considered by the Corporation or the Adviser for purchase by the Corporation; and</w:t>
      </w:r>
    </w:p>
    <w:p>
      <w:pPr>
        <w:ind w:left="447"/>
        <w:spacing w:after="0"/>
        <w:rPr>
          <w:sz w:val="20"/>
          <w:szCs w:val="20"/>
          <w:color w:val="auto"/>
        </w:rPr>
      </w:pPr>
      <w:r>
        <w:rPr>
          <w:rFonts w:ascii="Arial" w:cs="Arial" w:eastAsia="Arial" w:hAnsi="Arial"/>
          <w:sz w:val="16"/>
          <w:szCs w:val="16"/>
          <w:color w:val="auto"/>
        </w:rPr>
        <w:t>(ii) any option to purchase or sell, and any security convertible into or exchangeable for, a Covered Security described in Section II (K)(i).</w:t>
      </w:r>
    </w:p>
    <w:p>
      <w:pPr>
        <w:spacing w:after="0" w:line="139" w:lineRule="exact"/>
        <w:rPr>
          <w:sz w:val="20"/>
          <w:szCs w:val="20"/>
          <w:color w:val="auto"/>
        </w:rPr>
      </w:pPr>
    </w:p>
    <w:p>
      <w:pPr>
        <w:ind w:left="447" w:hanging="447"/>
        <w:spacing w:after="0"/>
        <w:tabs>
          <w:tab w:leader="none" w:pos="4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158" w:lineRule="exact"/>
        <w:rPr>
          <w:sz w:val="20"/>
          <w:szCs w:val="20"/>
          <w:color w:val="auto"/>
        </w:rPr>
      </w:pPr>
    </w:p>
    <w:p>
      <w:pPr>
        <w:jc w:val="center"/>
        <w:ind w:right="25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07"/>
          </w:cols>
          <w:pgMar w:left="773" w:top="247" w:right="5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III Objective and General Prohibitions</w:t>
      </w:r>
    </w:p>
    <w:p>
      <w:pPr>
        <w:spacing w:after="0" w:line="12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7"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77" w:lineRule="exact"/>
        <w:rPr>
          <w:sz w:val="20"/>
          <w:szCs w:val="20"/>
          <w:color w:val="auto"/>
        </w:rPr>
      </w:pPr>
    </w:p>
    <w:p>
      <w:pPr>
        <w:ind w:left="1460" w:hanging="561"/>
        <w:spacing w:after="0"/>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130" w:lineRule="exact"/>
        <w:rPr>
          <w:rFonts w:ascii="Arial" w:cs="Arial" w:eastAsia="Arial" w:hAnsi="Arial"/>
          <w:sz w:val="18"/>
          <w:szCs w:val="18"/>
          <w:color w:val="auto"/>
        </w:rPr>
      </w:pPr>
    </w:p>
    <w:p>
      <w:pPr>
        <w:ind w:left="1460" w:right="100" w:hanging="561"/>
        <w:spacing w:after="0" w:line="308" w:lineRule="auto"/>
        <w:tabs>
          <w:tab w:leader="none" w:pos="1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1" w:lineRule="exact"/>
        <w:rPr>
          <w:rFonts w:ascii="Arial" w:cs="Arial" w:eastAsia="Arial" w:hAnsi="Arial"/>
          <w:sz w:val="17"/>
          <w:szCs w:val="17"/>
          <w:color w:val="auto"/>
        </w:rPr>
      </w:pPr>
    </w:p>
    <w:p>
      <w:pPr>
        <w:ind w:left="1460" w:hanging="561"/>
        <w:spacing w:after="0"/>
        <w:tabs>
          <w:tab w:leader="none" w:pos="1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engage in any act, practice or course of business that operates or would operate as a fraud or deceit upon the Corporation; or</w:t>
      </w:r>
    </w:p>
    <w:p>
      <w:pPr>
        <w:spacing w:after="0" w:line="142" w:lineRule="exact"/>
        <w:rPr>
          <w:rFonts w:ascii="Arial" w:cs="Arial" w:eastAsia="Arial" w:hAnsi="Arial"/>
          <w:sz w:val="17"/>
          <w:szCs w:val="17"/>
          <w:color w:val="auto"/>
        </w:rPr>
      </w:pPr>
    </w:p>
    <w:p>
      <w:pPr>
        <w:ind w:left="1460" w:hanging="561"/>
        <w:spacing w:after="0"/>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225" w:lineRule="exact"/>
        <w:rPr>
          <w:sz w:val="20"/>
          <w:szCs w:val="20"/>
          <w:color w:val="auto"/>
        </w:rPr>
      </w:pPr>
    </w:p>
    <w:p>
      <w:pPr>
        <w:ind w:right="620" w:firstLine="898"/>
        <w:spacing w:after="0" w:line="277"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Pre-Clearance of Transactions in Personal Account</w:t>
      </w:r>
    </w:p>
    <w:p>
      <w:pPr>
        <w:spacing w:after="0" w:line="121" w:lineRule="exact"/>
        <w:rPr>
          <w:sz w:val="20"/>
          <w:szCs w:val="20"/>
          <w:color w:val="auto"/>
        </w:rPr>
      </w:pPr>
    </w:p>
    <w:p>
      <w:pPr>
        <w:ind w:right="60" w:firstLine="898"/>
        <w:spacing w:after="0" w:line="296" w:lineRule="auto"/>
        <w:rPr>
          <w:sz w:val="20"/>
          <w:szCs w:val="20"/>
          <w:color w:val="auto"/>
        </w:rPr>
      </w:pPr>
      <w:r>
        <w:rPr>
          <w:rFonts w:ascii="Arial" w:cs="Arial" w:eastAsia="Arial" w:hAnsi="Arial"/>
          <w:sz w:val="16"/>
          <w:szCs w:val="16"/>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approval given under this paragraph will be provided by email and will remain in effect for 72 hours.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Prohibited Transactions</w:t>
      </w:r>
    </w:p>
    <w:p>
      <w:pPr>
        <w:spacing w:after="0" w:line="135" w:lineRule="exact"/>
        <w:rPr>
          <w:sz w:val="20"/>
          <w:szCs w:val="20"/>
          <w:color w:val="auto"/>
        </w:rPr>
      </w:pPr>
    </w:p>
    <w:p>
      <w:pPr>
        <w:ind w:left="900" w:right="80" w:hanging="447"/>
        <w:spacing w:after="0" w:line="293"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69" w:lineRule="exact"/>
        <w:rPr>
          <w:rFonts w:ascii="Arial" w:cs="Arial" w:eastAsia="Arial" w:hAnsi="Arial"/>
          <w:sz w:val="16"/>
          <w:szCs w:val="16"/>
          <w:color w:val="auto"/>
        </w:rPr>
      </w:pPr>
    </w:p>
    <w:p>
      <w:pPr>
        <w:ind w:left="900" w:hanging="447"/>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92" w:lineRule="exact"/>
        <w:rPr>
          <w:rFonts w:ascii="Arial" w:cs="Arial" w:eastAsia="Arial" w:hAnsi="Arial"/>
          <w:sz w:val="18"/>
          <w:szCs w:val="18"/>
          <w:color w:val="auto"/>
        </w:rPr>
      </w:pPr>
    </w:p>
    <w:p>
      <w:pPr>
        <w:ind w:left="900" w:right="80" w:hanging="447"/>
        <w:spacing w:after="0" w:line="25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Reports by Access Persons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Personal Securities Holdings Reports.</w:t>
      </w:r>
    </w:p>
    <w:p>
      <w:pPr>
        <w:spacing w:after="0" w:line="225" w:lineRule="exact"/>
        <w:rPr>
          <w:sz w:val="20"/>
          <w:szCs w:val="20"/>
          <w:color w:val="auto"/>
        </w:rPr>
      </w:pPr>
    </w:p>
    <w:p>
      <w:pPr>
        <w:ind w:right="60" w:firstLine="898"/>
        <w:spacing w:after="0" w:line="272" w:lineRule="auto"/>
        <w:rPr>
          <w:sz w:val="20"/>
          <w:szCs w:val="20"/>
          <w:color w:val="auto"/>
        </w:rPr>
      </w:pPr>
      <w:r>
        <w:rPr>
          <w:rFonts w:ascii="Arial" w:cs="Arial" w:eastAsia="Arial" w:hAnsi="Arial"/>
          <w:sz w:val="17"/>
          <w:szCs w:val="17"/>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Quarterly Transaction Reports.</w:t>
      </w:r>
    </w:p>
    <w:p>
      <w:pPr>
        <w:spacing w:after="0" w:line="225" w:lineRule="exact"/>
        <w:rPr>
          <w:sz w:val="20"/>
          <w:szCs w:val="20"/>
          <w:color w:val="auto"/>
        </w:rPr>
      </w:pPr>
    </w:p>
    <w:p>
      <w:pPr>
        <w:jc w:val="both"/>
        <w:ind w:right="240" w:firstLine="898"/>
        <w:spacing w:after="0" w:line="263" w:lineRule="auto"/>
        <w:rPr>
          <w:sz w:val="20"/>
          <w:szCs w:val="20"/>
          <w:color w:val="auto"/>
        </w:rPr>
      </w:pPr>
      <w:r>
        <w:rPr>
          <w:rFonts w:ascii="Arial" w:cs="Arial" w:eastAsia="Arial" w:hAnsi="Arial"/>
          <w:sz w:val="18"/>
          <w:szCs w:val="18"/>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ectPr>
          <w:pgSz w:w="11900" w:h="16838" w:orient="portrait"/>
          <w:cols w:equalWidth="0" w:num="1">
            <w:col w:w="11220"/>
          </w:cols>
          <w:pgMar w:left="320" w:top="270" w:right="359" w:bottom="1027"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270" w:right="359" w:bottom="1027" w:gutter="0" w:footer="0" w:header="0"/>
          <w:type w:val="continuous"/>
        </w:sectPr>
      </w:pPr>
    </w:p>
    <w:bookmarkStart w:id="98" w:name="page99"/>
    <w:bookmarkEnd w:id="98"/>
    <w:p>
      <w:pPr>
        <w:ind w:right="26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Quarterly Securities Transaction Report shall be in the form of Schedule B or such other form approved by the Chief Compliance Officer and must contain the following information with respect to each reportable transaction:</w:t>
      </w:r>
    </w:p>
    <w:p>
      <w:pPr>
        <w:spacing w:after="0" w:line="62" w:lineRule="exact"/>
        <w:rPr>
          <w:sz w:val="20"/>
          <w:szCs w:val="20"/>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225" w:lineRule="exact"/>
        <w:rPr>
          <w:rFonts w:ascii="Arial" w:cs="Arial" w:eastAsia="Arial" w:hAnsi="Arial"/>
          <w:sz w:val="18"/>
          <w:szCs w:val="18"/>
          <w:color w:val="auto"/>
        </w:rPr>
      </w:pPr>
    </w:p>
    <w:p>
      <w:pPr>
        <w:ind w:firstLine="906"/>
        <w:spacing w:after="0" w:line="277"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225" w:lineRule="exact"/>
        <w:rPr>
          <w:rFonts w:ascii="Arial" w:cs="Arial" w:eastAsia="Arial" w:hAnsi="Arial"/>
          <w:sz w:val="18"/>
          <w:szCs w:val="18"/>
          <w:color w:val="auto"/>
        </w:rPr>
      </w:pPr>
    </w:p>
    <w:p>
      <w:pPr>
        <w:ind w:left="740" w:hanging="283"/>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225" w:lineRule="exact"/>
        <w:rPr>
          <w:sz w:val="20"/>
          <w:szCs w:val="20"/>
          <w:color w:val="auto"/>
        </w:rPr>
      </w:pPr>
    </w:p>
    <w:p>
      <w:pPr>
        <w:ind w:right="80" w:firstLine="898"/>
        <w:spacing w:after="0" w:line="293"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Access Persons of the Adviser.</w:t>
      </w:r>
    </w:p>
    <w:p>
      <w:pPr>
        <w:spacing w:after="0" w:line="225" w:lineRule="exact"/>
        <w:rPr>
          <w:sz w:val="20"/>
          <w:szCs w:val="20"/>
          <w:color w:val="auto"/>
        </w:rPr>
      </w:pPr>
    </w:p>
    <w:p>
      <w:pPr>
        <w:ind w:right="700" w:firstLine="898"/>
        <w:spacing w:after="0" w:line="342" w:lineRule="auto"/>
        <w:rPr>
          <w:sz w:val="20"/>
          <w:szCs w:val="20"/>
          <w:color w:val="auto"/>
        </w:rPr>
      </w:pPr>
      <w:r>
        <w:rPr>
          <w:rFonts w:ascii="Arial" w:cs="Arial" w:eastAsia="Arial" w:hAnsi="Arial"/>
          <w:sz w:val="16"/>
          <w:szCs w:val="16"/>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Brokerage Accounts and Statements.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Access Persons, except Independent Directors, shall:</w:t>
      </w:r>
    </w:p>
    <w:p>
      <w:pPr>
        <w:spacing w:after="0" w:line="225" w:lineRule="exact"/>
        <w:rPr>
          <w:sz w:val="20"/>
          <w:szCs w:val="20"/>
          <w:color w:val="auto"/>
        </w:rPr>
      </w:pPr>
    </w:p>
    <w:p>
      <w:pPr>
        <w:ind w:right="380" w:firstLine="906"/>
        <w:spacing w:after="0" w:line="311" w:lineRule="auto"/>
        <w:tabs>
          <w:tab w:leader="none" w:pos="1153" w:val="left"/>
        </w:tabs>
        <w:numPr>
          <w:ilvl w:val="1"/>
          <w:numId w:val="67"/>
        </w:numPr>
        <w:rPr>
          <w:rFonts w:ascii="Arial" w:cs="Arial" w:eastAsia="Arial" w:hAnsi="Arial"/>
          <w:sz w:val="16"/>
          <w:szCs w:val="16"/>
          <w:color w:val="auto"/>
        </w:rPr>
      </w:pPr>
      <w:r>
        <w:rPr>
          <w:rFonts w:ascii="Arial" w:cs="Arial" w:eastAsia="Arial" w:hAnsi="Arial"/>
          <w:sz w:val="16"/>
          <w:szCs w:val="16"/>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48" w:lineRule="exact"/>
        <w:rPr>
          <w:rFonts w:ascii="Arial" w:cs="Arial" w:eastAsia="Arial" w:hAnsi="Arial"/>
          <w:sz w:val="16"/>
          <w:szCs w:val="16"/>
          <w:color w:val="auto"/>
        </w:rPr>
      </w:pPr>
    </w:p>
    <w:p>
      <w:pPr>
        <w:ind w:right="540" w:firstLine="906"/>
        <w:spacing w:after="0" w:line="277" w:lineRule="auto"/>
        <w:tabs>
          <w:tab w:leader="none" w:pos="11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225" w:lineRule="exact"/>
        <w:rPr>
          <w:sz w:val="20"/>
          <w:szCs w:val="20"/>
          <w:color w:val="auto"/>
        </w:rPr>
      </w:pPr>
    </w:p>
    <w:p>
      <w:pPr>
        <w:jc w:val="both"/>
        <w:ind w:right="360" w:firstLine="898"/>
        <w:spacing w:after="0" w:line="26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Responsibility to Report.</w:t>
      </w:r>
    </w:p>
    <w:p>
      <w:pPr>
        <w:spacing w:after="0" w:line="225" w:lineRule="exact"/>
        <w:rPr>
          <w:sz w:val="20"/>
          <w:szCs w:val="20"/>
          <w:color w:val="auto"/>
        </w:rPr>
      </w:pPr>
    </w:p>
    <w:p>
      <w:pPr>
        <w:ind w:right="300" w:firstLine="898"/>
        <w:spacing w:after="0" w:line="259"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Where to File Reports.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All Quarterly Securities Transaction Reports and Personal Securities Holdings Reports must be filed with the Chief Compliance Officer.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Disclaimers.</w:t>
      </w:r>
    </w:p>
    <w:p>
      <w:pPr>
        <w:spacing w:after="0" w:line="225"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99" w:name="page100"/>
    <w:bookmarkEnd w:id="99"/>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Section VII Additional Prohibitions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Confidentiality of the Corporation’s Transactions.</w:t>
      </w:r>
    </w:p>
    <w:p>
      <w:pPr>
        <w:spacing w:after="0" w:line="225"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Outside Business Activities and Directorships.</w:t>
      </w:r>
    </w:p>
    <w:p>
      <w:pPr>
        <w:spacing w:after="0" w:line="225"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Gratuities.</w:t>
      </w:r>
    </w:p>
    <w:p>
      <w:pPr>
        <w:spacing w:after="0" w:line="225" w:lineRule="exact"/>
        <w:rPr>
          <w:sz w:val="20"/>
          <w:szCs w:val="20"/>
          <w:color w:val="auto"/>
        </w:rPr>
      </w:pPr>
    </w:p>
    <w:p>
      <w:pPr>
        <w:jc w:val="both"/>
        <w:ind w:right="120" w:firstLine="898"/>
        <w:spacing w:after="0" w:line="263"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Prohibition Against Insider Trading</w:t>
      </w:r>
    </w:p>
    <w:p>
      <w:pPr>
        <w:spacing w:after="0" w:line="121"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0" w:lineRule="exact"/>
        <w:rPr>
          <w:sz w:val="20"/>
          <w:szCs w:val="20"/>
          <w:color w:val="auto"/>
        </w:rPr>
      </w:pPr>
    </w:p>
    <w:p>
      <w:pPr>
        <w:ind w:left="900" w:right="480" w:hanging="447"/>
        <w:spacing w:after="0" w:line="263"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9" w:lineRule="exact"/>
        <w:rPr>
          <w:rFonts w:ascii="Arial" w:cs="Arial" w:eastAsia="Arial" w:hAnsi="Arial"/>
          <w:sz w:val="18"/>
          <w:szCs w:val="18"/>
          <w:color w:val="auto"/>
        </w:rPr>
      </w:pPr>
    </w:p>
    <w:p>
      <w:pPr>
        <w:ind w:left="900" w:hanging="447"/>
        <w:spacing w:after="0" w:line="270"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86" w:lineRule="exact"/>
        <w:rPr>
          <w:rFonts w:ascii="Arial" w:cs="Arial" w:eastAsia="Arial" w:hAnsi="Arial"/>
          <w:sz w:val="17"/>
          <w:szCs w:val="17"/>
          <w:color w:val="auto"/>
        </w:rPr>
      </w:pPr>
    </w:p>
    <w:p>
      <w:pPr>
        <w:ind w:left="900" w:right="180" w:hanging="447"/>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some other publication of general circulation, and after sufficient time has passed so that the information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disseminated widely.</w:t>
      </w:r>
    </w:p>
    <w:p>
      <w:pPr>
        <w:spacing w:after="0" w:line="92" w:lineRule="exact"/>
        <w:rPr>
          <w:rFonts w:ascii="Arial" w:cs="Arial" w:eastAsia="Arial" w:hAnsi="Arial"/>
          <w:sz w:val="18"/>
          <w:szCs w:val="18"/>
          <w:color w:val="auto"/>
        </w:rPr>
      </w:pPr>
    </w:p>
    <w:p>
      <w:pPr>
        <w:ind w:left="900" w:right="160" w:hanging="447"/>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92" w:lineRule="exact"/>
        <w:rPr>
          <w:rFonts w:ascii="Arial" w:cs="Arial" w:eastAsia="Arial" w:hAnsi="Arial"/>
          <w:sz w:val="18"/>
          <w:szCs w:val="18"/>
          <w:color w:val="auto"/>
        </w:rPr>
      </w:pPr>
    </w:p>
    <w:p>
      <w:pPr>
        <w:ind w:left="1460" w:hanging="561"/>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89" w:lineRule="exact"/>
        <w:rPr>
          <w:sz w:val="20"/>
          <w:szCs w:val="20"/>
          <w:color w:val="auto"/>
        </w:rPr>
      </w:pPr>
    </w:p>
    <w:p>
      <w:pPr>
        <w:ind w:left="900" w:right="40" w:hanging="447"/>
        <w:spacing w:after="0" w:line="270"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86" w:lineRule="exact"/>
        <w:rPr>
          <w:rFonts w:ascii="Arial" w:cs="Arial" w:eastAsia="Arial" w:hAnsi="Arial"/>
          <w:sz w:val="17"/>
          <w:szCs w:val="17"/>
          <w:color w:val="auto"/>
        </w:rPr>
      </w:pPr>
    </w:p>
    <w:p>
      <w:pPr>
        <w:ind w:left="900" w:right="20" w:hanging="447"/>
        <w:spacing w:after="0" w:line="29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w:t>
      </w:r>
    </w:p>
    <w:p>
      <w:pPr>
        <w:sectPr>
          <w:pgSz w:w="11900" w:h="16850" w:orient="portrait"/>
          <w:cols w:equalWidth="0" w:num="1">
            <w:col w:w="11240"/>
          </w:cols>
          <w:pgMar w:left="320" w:top="270" w:right="339" w:bottom="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make a judgment as to its further conduct. To protect yourself, clients and the Adviser, you should contact the Chief Compliance Officer immediately if you believe that you may have received material, non-public information.</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00"/>
          </w:cols>
          <w:pgMar w:left="1220" w:top="125" w:right="8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IX Annual Certification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Access Persons.</w:t>
      </w:r>
    </w:p>
    <w:p>
      <w:pPr>
        <w:spacing w:after="0" w:line="225"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Board Review.</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Sanctions</w:t>
      </w:r>
    </w:p>
    <w:p>
      <w:pPr>
        <w:spacing w:after="0" w:line="121" w:lineRule="exact"/>
        <w:rPr>
          <w:sz w:val="20"/>
          <w:szCs w:val="20"/>
          <w:color w:val="auto"/>
        </w:rPr>
      </w:pPr>
    </w:p>
    <w:p>
      <w:pPr>
        <w:ind w:firstLine="898"/>
        <w:spacing w:after="0" w:line="293"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Administration and Construction</w:t>
      </w:r>
    </w:p>
    <w:p>
      <w:pPr>
        <w:spacing w:after="0" w:line="135" w:lineRule="exact"/>
        <w:rPr>
          <w:sz w:val="20"/>
          <w:szCs w:val="20"/>
          <w:color w:val="auto"/>
        </w:rPr>
      </w:pPr>
    </w:p>
    <w:p>
      <w:pPr>
        <w:ind w:left="900" w:hanging="447"/>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117" w:lineRule="exact"/>
        <w:rPr>
          <w:rFonts w:ascii="Arial" w:cs="Arial" w:eastAsia="Arial" w:hAnsi="Arial"/>
          <w:sz w:val="18"/>
          <w:szCs w:val="18"/>
          <w:color w:val="auto"/>
        </w:rPr>
      </w:pPr>
    </w:p>
    <w:p>
      <w:pPr>
        <w:ind w:right="20" w:firstLine="906"/>
        <w:spacing w:after="0" w:line="263"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83" w:lineRule="exact"/>
        <w:rPr>
          <w:rFonts w:ascii="Arial" w:cs="Arial" w:eastAsia="Arial" w:hAnsi="Arial"/>
          <w:sz w:val="18"/>
          <w:szCs w:val="18"/>
          <w:color w:val="auto"/>
        </w:rPr>
      </w:pPr>
    </w:p>
    <w:p>
      <w:pPr>
        <w:ind w:right="62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225" w:lineRule="exact"/>
        <w:rPr>
          <w:rFonts w:ascii="Arial" w:cs="Arial" w:eastAsia="Arial" w:hAnsi="Arial"/>
          <w:sz w:val="18"/>
          <w:szCs w:val="18"/>
          <w:color w:val="auto"/>
        </w:rPr>
      </w:pPr>
    </w:p>
    <w:p>
      <w:pPr>
        <w:ind w:right="10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70" w:lineRule="exact"/>
        <w:rPr>
          <w:rFonts w:ascii="Arial" w:cs="Arial" w:eastAsia="Arial" w:hAnsi="Arial"/>
          <w:sz w:val="18"/>
          <w:szCs w:val="18"/>
          <w:color w:val="auto"/>
        </w:rPr>
      </w:pPr>
    </w:p>
    <w:p>
      <w:pPr>
        <w:ind w:right="52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70" w:lineRule="exact"/>
        <w:rPr>
          <w:rFonts w:ascii="Arial" w:cs="Arial" w:eastAsia="Arial" w:hAnsi="Arial"/>
          <w:sz w:val="18"/>
          <w:szCs w:val="18"/>
          <w:color w:val="auto"/>
        </w:rPr>
      </w:pPr>
    </w:p>
    <w:p>
      <w:pPr>
        <w:ind w:right="56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70" w:lineRule="exact"/>
        <w:rPr>
          <w:rFonts w:ascii="Arial" w:cs="Arial" w:eastAsia="Arial" w:hAnsi="Arial"/>
          <w:sz w:val="18"/>
          <w:szCs w:val="18"/>
          <w:color w:val="auto"/>
        </w:rPr>
      </w:pPr>
    </w:p>
    <w:p>
      <w:pPr>
        <w:ind w:right="380" w:firstLine="906"/>
        <w:spacing w:after="0" w:line="342" w:lineRule="auto"/>
        <w:tabs>
          <w:tab w:leader="none" w:pos="1153"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50" w:lineRule="exact"/>
        <w:rPr>
          <w:rFonts w:ascii="Arial" w:cs="Arial" w:eastAsia="Arial" w:hAnsi="Arial"/>
          <w:sz w:val="16"/>
          <w:szCs w:val="16"/>
          <w:color w:val="auto"/>
        </w:rPr>
      </w:pPr>
    </w:p>
    <w:p>
      <w:pPr>
        <w:ind w:left="900" w:hanging="447"/>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Chief Financial Officer shall maintain and cause to be maintained in an easily accessible place at the principal place of business of the 17j-</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 Organization, the following records:</w:t>
      </w:r>
    </w:p>
    <w:p>
      <w:pPr>
        <w:spacing w:after="0" w:line="210" w:lineRule="exact"/>
        <w:rPr>
          <w:rFonts w:ascii="Arial" w:cs="Arial" w:eastAsia="Arial" w:hAnsi="Arial"/>
          <w:sz w:val="16"/>
          <w:szCs w:val="16"/>
          <w:color w:val="auto"/>
        </w:rPr>
      </w:pPr>
    </w:p>
    <w:p>
      <w:pPr>
        <w:ind w:right="28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70" w:lineRule="exact"/>
        <w:rPr>
          <w:rFonts w:ascii="Arial" w:cs="Arial" w:eastAsia="Arial" w:hAnsi="Arial"/>
          <w:sz w:val="18"/>
          <w:szCs w:val="18"/>
          <w:color w:val="auto"/>
        </w:rPr>
      </w:pPr>
    </w:p>
    <w:p>
      <w:pPr>
        <w:ind w:right="2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70" w:lineRule="exact"/>
        <w:rPr>
          <w:rFonts w:ascii="Arial" w:cs="Arial" w:eastAsia="Arial" w:hAnsi="Arial"/>
          <w:sz w:val="18"/>
          <w:szCs w:val="18"/>
          <w:color w:val="auto"/>
        </w:rPr>
      </w:pPr>
    </w:p>
    <w:p>
      <w:pPr>
        <w:ind w:right="20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70" w:lineRule="exact"/>
        <w:rPr>
          <w:rFonts w:ascii="Arial" w:cs="Arial" w:eastAsia="Arial" w:hAnsi="Arial"/>
          <w:sz w:val="18"/>
          <w:szCs w:val="18"/>
          <w:color w:val="auto"/>
        </w:rPr>
      </w:pPr>
    </w:p>
    <w:p>
      <w:pPr>
        <w:ind w:right="240" w:firstLine="906"/>
        <w:spacing w:after="0" w:line="308" w:lineRule="auto"/>
        <w:tabs>
          <w:tab w:leader="none" w:pos="1153" w:val="left"/>
        </w:tabs>
        <w:numPr>
          <w:ilvl w:val="1"/>
          <w:numId w:val="71"/>
        </w:numPr>
        <w:rPr>
          <w:rFonts w:ascii="Arial" w:cs="Arial" w:eastAsia="Arial" w:hAnsi="Arial"/>
          <w:sz w:val="17"/>
          <w:szCs w:val="17"/>
          <w:color w:val="auto"/>
        </w:rPr>
      </w:pPr>
      <w:r>
        <w:rPr>
          <w:rFonts w:ascii="Arial" w:cs="Arial" w:eastAsia="Arial" w:hAnsi="Arial"/>
          <w:sz w:val="17"/>
          <w:szCs w:val="17"/>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46" w:lineRule="exact"/>
        <w:rPr>
          <w:rFonts w:ascii="Arial" w:cs="Arial" w:eastAsia="Arial" w:hAnsi="Arial"/>
          <w:sz w:val="17"/>
          <w:szCs w:val="17"/>
          <w:color w:val="auto"/>
        </w:rPr>
      </w:pPr>
    </w:p>
    <w:p>
      <w:pPr>
        <w:ind w:right="360" w:firstLine="906"/>
        <w:spacing w:after="0" w:line="277" w:lineRule="auto"/>
        <w:tabs>
          <w:tab w:leader="none" w:pos="11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ectPr>
          <w:pgSz w:w="11900" w:h="16838" w:orient="portrait"/>
          <w:cols w:equalWidth="0" w:num="1">
            <w:col w:w="11240"/>
          </w:cols>
          <w:pgMar w:left="320" w:top="270" w:right="339" w:bottom="1162"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270" w:right="339" w:bottom="1162" w:gutter="0" w:footer="0" w:header="0"/>
          <w:type w:val="continuous"/>
        </w:sectPr>
      </w:pPr>
    </w:p>
    <w:bookmarkStart w:id="102" w:name="page103"/>
    <w:bookmarkEnd w:id="102"/>
    <w:p>
      <w:pPr>
        <w:ind w:right="180" w:firstLine="906"/>
        <w:spacing w:after="0" w:line="277"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each report required by Section VII (B) for at least two (2) years after the end of the fiscal year in which it is made, and for an additional three (3) years in a place that need not be easily accessible; and</w:t>
      </w:r>
    </w:p>
    <w:p>
      <w:pPr>
        <w:spacing w:after="0" w:line="170" w:lineRule="exact"/>
        <w:rPr>
          <w:rFonts w:ascii="Arial" w:cs="Arial" w:eastAsia="Arial" w:hAnsi="Arial"/>
          <w:sz w:val="18"/>
          <w:szCs w:val="18"/>
          <w:color w:val="auto"/>
        </w:rPr>
      </w:pPr>
    </w:p>
    <w:p>
      <w:pPr>
        <w:ind w:right="340" w:firstLine="906"/>
        <w:spacing w:after="0" w:line="308" w:lineRule="auto"/>
        <w:tabs>
          <w:tab w:leader="none" w:pos="1153"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46" w:lineRule="exact"/>
        <w:rPr>
          <w:rFonts w:ascii="Arial" w:cs="Arial" w:eastAsia="Arial" w:hAnsi="Arial"/>
          <w:sz w:val="17"/>
          <w:szCs w:val="17"/>
          <w:color w:val="auto"/>
        </w:rPr>
      </w:pPr>
    </w:p>
    <w:p>
      <w:pPr>
        <w:ind w:left="760" w:hanging="303"/>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w:t>
      </w:r>
    </w:p>
    <w:p>
      <w:pPr>
        <w:spacing w:after="0" w:line="248" w:lineRule="exact"/>
        <w:rPr>
          <w:sz w:val="20"/>
          <w:szCs w:val="20"/>
          <w:color w:val="auto"/>
        </w:rPr>
      </w:pPr>
    </w:p>
    <w:p>
      <w:pPr>
        <w:ind w:right="620" w:firstLine="898"/>
        <w:spacing w:after="0" w:line="277" w:lineRule="auto"/>
        <w:rPr>
          <w:sz w:val="20"/>
          <w:szCs w:val="20"/>
          <w:color w:val="auto"/>
        </w:rPr>
      </w:pPr>
      <w:r>
        <w:rPr>
          <w:rFonts w:ascii="Arial" w:cs="Arial" w:eastAsia="Arial" w:hAnsi="Arial"/>
          <w:sz w:val="18"/>
          <w:szCs w:val="18"/>
          <w:color w:val="auto"/>
        </w:rPr>
        <w:t>This Joint Code of Ethics, originally adopted December 12, 2007, is annually reviewed and approved by the Board of Directors of the Corporation, including a majority of the Independent Directors.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274" w:right="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3780" w:type="dxa"/>
            <w:vAlign w:val="bottom"/>
          </w:tcPr>
          <w:p>
            <w:pPr>
              <w:ind w:left="700"/>
              <w:spacing w:after="0"/>
              <w:rPr>
                <w:sz w:val="20"/>
                <w:szCs w:val="20"/>
                <w:color w:val="auto"/>
              </w:rPr>
            </w:pPr>
            <w:r>
              <w:rPr>
                <w:rFonts w:ascii="Arial" w:cs="Arial" w:eastAsia="Arial" w:hAnsi="Arial"/>
                <w:sz w:val="18"/>
                <w:szCs w:val="18"/>
                <w:b w:val="1"/>
                <w:bCs w:val="1"/>
                <w:color w:val="auto"/>
              </w:rPr>
              <w:t>Subsidiaries of the Registrant</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2320" w:type="dxa"/>
            <w:vAlign w:val="bottom"/>
          </w:tcPr>
          <w:p>
            <w:pPr>
              <w:ind w:left="86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58"/>
        </w:trPr>
        <w:tc>
          <w:tcPr>
            <w:tcW w:w="6200" w:type="dxa"/>
            <w:vAlign w:val="bottom"/>
            <w:gridSpan w:val="2"/>
            <w:vMerge w:val="continue"/>
          </w:tcPr>
          <w:p>
            <w:pPr>
              <w:spacing w:after="0"/>
              <w:rPr>
                <w:sz w:val="13"/>
                <w:szCs w:val="13"/>
                <w:color w:val="auto"/>
              </w:rPr>
            </w:pPr>
          </w:p>
        </w:tc>
        <w:tc>
          <w:tcPr>
            <w:tcW w:w="2320" w:type="dxa"/>
            <w:vAlign w:val="bottom"/>
          </w:tcPr>
          <w:p>
            <w:pPr>
              <w:ind w:left="800"/>
              <w:spacing w:after="0" w:line="158" w:lineRule="exact"/>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LP (Delaware)</w:t>
            </w:r>
          </w:p>
        </w:tc>
        <w:tc>
          <w:tcPr>
            <w:tcW w:w="23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6"/>
              </w:rPr>
              <w:t>100%</w:t>
            </w:r>
            <w:r>
              <w:rPr>
                <w:rFonts w:ascii="Arial" w:cs="Arial" w:eastAsia="Arial" w:hAnsi="Arial"/>
                <w:sz w:val="15"/>
                <w:szCs w:val="15"/>
                <w:color w:val="auto"/>
                <w:w w:val="96"/>
              </w:rPr>
              <w:t>(1)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PennantPark GP, LLC (Delaware)</w:t>
            </w:r>
          </w:p>
        </w:tc>
        <w:tc>
          <w:tcPr>
            <w:tcW w:w="2320" w:type="dxa"/>
            <w:vAlign w:val="bottom"/>
          </w:tcPr>
          <w:p>
            <w:pPr>
              <w:ind w:left="1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23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6"/>
              </w:rPr>
              <w:t>100%</w:t>
            </w:r>
            <w:r>
              <w:rPr>
                <w:rFonts w:ascii="Arial" w:cs="Arial" w:eastAsia="Arial" w:hAnsi="Arial"/>
                <w:sz w:val="15"/>
                <w:szCs w:val="15"/>
                <w:color w:val="auto"/>
                <w:w w:val="96"/>
              </w:rPr>
              <w:t>(1)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PennantPark GP II, LLC (Delaware)</w:t>
            </w:r>
          </w:p>
        </w:tc>
        <w:tc>
          <w:tcPr>
            <w:tcW w:w="2320" w:type="dxa"/>
            <w:vAlign w:val="bottom"/>
          </w:tcPr>
          <w:p>
            <w:pPr>
              <w:ind w:left="1680"/>
              <w:spacing w:after="0"/>
              <w:rPr>
                <w:sz w:val="20"/>
                <w:szCs w:val="20"/>
                <w:color w:val="auto"/>
              </w:rPr>
            </w:pPr>
            <w:r>
              <w:rPr>
                <w:rFonts w:ascii="Arial" w:cs="Arial" w:eastAsia="Arial" w:hAnsi="Arial"/>
                <w:sz w:val="18"/>
                <w:szCs w:val="18"/>
                <w:color w:val="auto"/>
                <w:w w:val="96"/>
              </w:rPr>
              <w:t>100%</w:t>
            </w:r>
            <w:r>
              <w:rPr>
                <w:rFonts w:ascii="Arial" w:cs="Arial" w:eastAsia="Arial" w:hAnsi="Arial"/>
                <w:sz w:val="15"/>
                <w:szCs w:val="15"/>
                <w:color w:val="auto"/>
                <w:w w:val="96"/>
              </w:rPr>
              <w:t>(2)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Acentia, LLC (Delaware)</w:t>
            </w:r>
          </w:p>
        </w:tc>
        <w:tc>
          <w:tcPr>
            <w:tcW w:w="23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PNNT Alabama Holdings Inc. (Delaware)</w:t>
            </w:r>
          </w:p>
        </w:tc>
        <w:tc>
          <w:tcPr>
            <w:tcW w:w="2320" w:type="dxa"/>
            <w:vAlign w:val="bottom"/>
          </w:tcPr>
          <w:p>
            <w:pPr>
              <w:ind w:left="1680"/>
              <w:spacing w:after="0"/>
              <w:rPr>
                <w:sz w:val="20"/>
                <w:szCs w:val="20"/>
                <w:color w:val="auto"/>
              </w:rPr>
            </w:pPr>
            <w:r>
              <w:rPr>
                <w:rFonts w:ascii="Arial" w:cs="Arial" w:eastAsia="Arial" w:hAnsi="Arial"/>
                <w:sz w:val="18"/>
                <w:szCs w:val="18"/>
                <w:color w:val="auto"/>
                <w:w w:val="96"/>
              </w:rPr>
              <w:t>100%</w:t>
            </w:r>
            <w:r>
              <w:rPr>
                <w:rFonts w:ascii="Arial" w:cs="Arial" w:eastAsia="Arial" w:hAnsi="Arial"/>
                <w:sz w:val="15"/>
                <w:szCs w:val="15"/>
                <w:color w:val="auto"/>
                <w:w w:val="96"/>
              </w:rPr>
              <w:t>(3)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23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PNNT Transportation 100 Holdco, LLC (Delaware)</w:t>
            </w:r>
          </w:p>
        </w:tc>
        <w:tc>
          <w:tcPr>
            <w:tcW w:w="2320" w:type="dxa"/>
            <w:vAlign w:val="bottom"/>
          </w:tcPr>
          <w:p>
            <w:pPr>
              <w:ind w:left="1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 (Delaware)</w:t>
            </w:r>
          </w:p>
        </w:tc>
        <w:tc>
          <w:tcPr>
            <w:tcW w:w="23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6"/>
              </w:rPr>
              <w:t>100%</w:t>
            </w:r>
            <w:r>
              <w:rPr>
                <w:rFonts w:ascii="Arial" w:cs="Arial" w:eastAsia="Arial" w:hAnsi="Arial"/>
                <w:sz w:val="15"/>
                <w:szCs w:val="15"/>
                <w:color w:val="auto"/>
                <w:w w:val="96"/>
              </w:rPr>
              <w:t>(4)</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SuttonPark Capital LLC (Delaware)</w:t>
            </w:r>
          </w:p>
        </w:tc>
        <w:tc>
          <w:tcPr>
            <w:tcW w:w="2320" w:type="dxa"/>
            <w:vAlign w:val="bottom"/>
          </w:tcPr>
          <w:p>
            <w:pPr>
              <w:ind w:left="16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LLC which is effectively wholly-owned by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entity is non-operational.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is a controlled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t>EXHIBIT 31.1</w:t>
      </w:r>
    </w:p>
    <w:p>
      <w:pPr>
        <w:spacing w:after="0" w:line="10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CERTIFICATION PURSUANT TO SECTION 302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CHIEF EXECUTIVE OFFICER CERTIFICATION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I, Arthur H. Penn, Chairman of the Board and Chief Executive Officer of PennantPark Investment Corporation, certify that:</w:t>
      </w:r>
    </w:p>
    <w:p>
      <w:pPr>
        <w:spacing w:after="0" w:line="105" w:lineRule="exact"/>
        <w:rPr>
          <w:sz w:val="20"/>
          <w:szCs w:val="20"/>
          <w:color w:val="auto"/>
        </w:rPr>
      </w:pPr>
    </w:p>
    <w:p>
      <w:pPr>
        <w:ind w:left="240" w:hanging="120"/>
        <w:spacing w:after="0"/>
        <w:tabs>
          <w:tab w:leader="none" w:pos="2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PennantPark Investment Corporation;</w:t>
      </w:r>
    </w:p>
    <w:p>
      <w:pPr>
        <w:spacing w:after="0" w:line="105" w:lineRule="exact"/>
        <w:rPr>
          <w:rFonts w:ascii="Arial" w:cs="Arial" w:eastAsia="Arial" w:hAnsi="Arial"/>
          <w:sz w:val="12"/>
          <w:szCs w:val="12"/>
          <w:color w:val="auto"/>
        </w:rPr>
      </w:pPr>
    </w:p>
    <w:p>
      <w:pPr>
        <w:ind w:left="120" w:right="80"/>
        <w:spacing w:after="0" w:line="252"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2"/>
          <w:szCs w:val="12"/>
          <w:color w:val="auto"/>
        </w:rPr>
      </w:pPr>
    </w:p>
    <w:p>
      <w:pPr>
        <w:ind w:left="120" w:right="100"/>
        <w:spacing w:after="0" w:line="252"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2"/>
          <w:szCs w:val="12"/>
          <w:color w:val="auto"/>
        </w:rPr>
      </w:pPr>
    </w:p>
    <w:p>
      <w:pPr>
        <w:ind w:left="120" w:right="60"/>
        <w:spacing w:after="0" w:line="252"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240" w:right="320" w:hanging="8"/>
        <w:spacing w:after="0" w:line="252" w:lineRule="auto"/>
        <w:tabs>
          <w:tab w:leader="none" w:pos="360" w:val="left"/>
        </w:tabs>
        <w:numPr>
          <w:ilvl w:val="1"/>
          <w:numId w:val="7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7" w:lineRule="exact"/>
        <w:rPr>
          <w:rFonts w:ascii="Arial" w:cs="Arial" w:eastAsia="Arial" w:hAnsi="Arial"/>
          <w:sz w:val="12"/>
          <w:szCs w:val="12"/>
          <w:color w:val="auto"/>
        </w:rPr>
      </w:pPr>
    </w:p>
    <w:p>
      <w:pPr>
        <w:ind w:left="240" w:right="40" w:hanging="8"/>
        <w:spacing w:after="0" w:line="252" w:lineRule="auto"/>
        <w:tabs>
          <w:tab w:leader="none" w:pos="367" w:val="left"/>
        </w:tabs>
        <w:numPr>
          <w:ilvl w:val="1"/>
          <w:numId w:val="7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Arial" w:cs="Arial" w:eastAsia="Arial" w:hAnsi="Arial"/>
          <w:sz w:val="12"/>
          <w:szCs w:val="12"/>
          <w:color w:val="auto"/>
        </w:rPr>
      </w:pPr>
    </w:p>
    <w:p>
      <w:pPr>
        <w:ind w:left="240" w:right="180" w:hanging="8"/>
        <w:spacing w:after="0" w:line="252" w:lineRule="auto"/>
        <w:tabs>
          <w:tab w:leader="none" w:pos="360" w:val="left"/>
        </w:tabs>
        <w:numPr>
          <w:ilvl w:val="1"/>
          <w:numId w:val="7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2"/>
          <w:szCs w:val="12"/>
          <w:color w:val="auto"/>
        </w:rPr>
      </w:pPr>
    </w:p>
    <w:p>
      <w:pPr>
        <w:ind w:left="240" w:right="20" w:hanging="8"/>
        <w:spacing w:after="0" w:line="252" w:lineRule="auto"/>
        <w:tabs>
          <w:tab w:leader="none" w:pos="367" w:val="left"/>
        </w:tabs>
        <w:numPr>
          <w:ilvl w:val="1"/>
          <w:numId w:val="7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left="120" w:right="160"/>
        <w:spacing w:after="0" w:line="252"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2"/>
          <w:szCs w:val="12"/>
          <w:color w:val="auto"/>
        </w:rPr>
      </w:pPr>
    </w:p>
    <w:p>
      <w:pPr>
        <w:ind w:left="240" w:right="20" w:hanging="8"/>
        <w:spacing w:after="0" w:line="252" w:lineRule="auto"/>
        <w:tabs>
          <w:tab w:leader="none" w:pos="360" w:val="left"/>
        </w:tabs>
        <w:numPr>
          <w:ilvl w:val="1"/>
          <w:numId w:val="7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2"/>
          <w:szCs w:val="12"/>
          <w:color w:val="auto"/>
        </w:rPr>
      </w:pPr>
    </w:p>
    <w:p>
      <w:pPr>
        <w:ind w:left="360" w:hanging="128"/>
        <w:spacing w:after="0"/>
        <w:tabs>
          <w:tab w:leader="none" w:pos="360" w:val="left"/>
        </w:tabs>
        <w:numPr>
          <w:ilvl w:val="1"/>
          <w:numId w:val="7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13, 2013</w:t>
      </w:r>
    </w:p>
    <w:p>
      <w:pPr>
        <w:spacing w:after="0" w:line="213" w:lineRule="exact"/>
        <w:rPr>
          <w:sz w:val="20"/>
          <w:szCs w:val="20"/>
          <w:color w:val="auto"/>
        </w:rPr>
      </w:pPr>
    </w:p>
    <w:p>
      <w:pPr>
        <w:spacing w:after="0"/>
        <w:tabs>
          <w:tab w:leader="none" w:pos="1820" w:val="left"/>
          <w:tab w:leader="none" w:pos="2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10795</wp:posOffset>
            </wp:positionV>
            <wp:extent cx="26142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9"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Arthur H. Penn</w:t>
      </w:r>
    </w:p>
    <w:p>
      <w:pPr>
        <w:spacing w:after="0" w:line="12"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Chairman of the Board and</w:t>
      </w:r>
    </w:p>
    <w:p>
      <w:pPr>
        <w:spacing w:after="0" w:line="11"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Chief Executive Officer</w:t>
      </w:r>
    </w:p>
    <w:p>
      <w:pPr>
        <w:sectPr>
          <w:pgSz w:w="11900" w:h="16838" w:orient="portrait"/>
          <w:cols w:equalWidth="0" w:num="1">
            <w:col w:w="11240"/>
          </w:cols>
          <w:pgMar w:left="320" w:top="13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EXHIBIT 31.2</w:t>
      </w:r>
    </w:p>
    <w:p>
      <w:pPr>
        <w:spacing w:after="0" w:line="10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CERTIFICATION PURSUANT TO SECTION 302</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CHIEF FINANCIAL OFFICER CERTIFICATION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I, Aviv Efrat, Chief Financial Officer of PennantPark Investment Corporation, certify that:</w:t>
      </w:r>
    </w:p>
    <w:p>
      <w:pPr>
        <w:spacing w:after="0" w:line="105" w:lineRule="exact"/>
        <w:rPr>
          <w:sz w:val="20"/>
          <w:szCs w:val="20"/>
          <w:color w:val="auto"/>
        </w:rPr>
      </w:pPr>
    </w:p>
    <w:p>
      <w:pPr>
        <w:ind w:left="240" w:hanging="120"/>
        <w:spacing w:after="0"/>
        <w:tabs>
          <w:tab w:leader="none" w:pos="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PennantPark Investment Corporation;</w:t>
      </w:r>
    </w:p>
    <w:p>
      <w:pPr>
        <w:spacing w:after="0" w:line="105" w:lineRule="exact"/>
        <w:rPr>
          <w:rFonts w:ascii="Arial" w:cs="Arial" w:eastAsia="Arial" w:hAnsi="Arial"/>
          <w:sz w:val="12"/>
          <w:szCs w:val="12"/>
          <w:color w:val="auto"/>
        </w:rPr>
      </w:pPr>
    </w:p>
    <w:p>
      <w:pPr>
        <w:ind w:left="120" w:right="80"/>
        <w:spacing w:after="0" w:line="252" w:lineRule="auto"/>
        <w:tabs>
          <w:tab w:leader="none" w:pos="237"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12"/>
          <w:szCs w:val="12"/>
          <w:color w:val="auto"/>
        </w:rPr>
      </w:pPr>
    </w:p>
    <w:p>
      <w:pPr>
        <w:ind w:left="120" w:right="100"/>
        <w:spacing w:after="0" w:line="252" w:lineRule="auto"/>
        <w:tabs>
          <w:tab w:leader="none" w:pos="237"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2"/>
          <w:szCs w:val="12"/>
          <w:color w:val="auto"/>
        </w:rPr>
      </w:pPr>
    </w:p>
    <w:p>
      <w:pPr>
        <w:ind w:left="120" w:right="60"/>
        <w:spacing w:after="0" w:line="252" w:lineRule="auto"/>
        <w:tabs>
          <w:tab w:leader="none" w:pos="237"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2"/>
          <w:szCs w:val="12"/>
          <w:color w:val="auto"/>
        </w:rPr>
      </w:pPr>
    </w:p>
    <w:p>
      <w:pPr>
        <w:ind w:left="240" w:right="320" w:hanging="8"/>
        <w:spacing w:after="0" w:line="252" w:lineRule="auto"/>
        <w:tabs>
          <w:tab w:leader="none" w:pos="3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7" w:lineRule="exact"/>
        <w:rPr>
          <w:rFonts w:ascii="Arial" w:cs="Arial" w:eastAsia="Arial" w:hAnsi="Arial"/>
          <w:sz w:val="12"/>
          <w:szCs w:val="12"/>
          <w:color w:val="auto"/>
        </w:rPr>
      </w:pPr>
    </w:p>
    <w:p>
      <w:pPr>
        <w:ind w:left="240" w:right="40" w:hanging="8"/>
        <w:spacing w:after="0" w:line="252" w:lineRule="auto"/>
        <w:tabs>
          <w:tab w:leader="none" w:pos="367"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1" w:lineRule="exact"/>
        <w:rPr>
          <w:rFonts w:ascii="Arial" w:cs="Arial" w:eastAsia="Arial" w:hAnsi="Arial"/>
          <w:sz w:val="12"/>
          <w:szCs w:val="12"/>
          <w:color w:val="auto"/>
        </w:rPr>
      </w:pPr>
    </w:p>
    <w:p>
      <w:pPr>
        <w:ind w:left="240" w:right="180" w:hanging="8"/>
        <w:spacing w:after="0" w:line="252" w:lineRule="auto"/>
        <w:tabs>
          <w:tab w:leader="none" w:pos="3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2"/>
          <w:szCs w:val="12"/>
          <w:color w:val="auto"/>
        </w:rPr>
      </w:pPr>
    </w:p>
    <w:p>
      <w:pPr>
        <w:ind w:left="240" w:right="20" w:hanging="8"/>
        <w:spacing w:after="0" w:line="252" w:lineRule="auto"/>
        <w:tabs>
          <w:tab w:leader="none" w:pos="367" w:val="left"/>
        </w:tabs>
        <w:numPr>
          <w:ilvl w:val="1"/>
          <w:numId w:val="7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2"/>
          <w:szCs w:val="12"/>
          <w:color w:val="auto"/>
        </w:rPr>
      </w:pPr>
    </w:p>
    <w:p>
      <w:pPr>
        <w:ind w:left="120" w:right="160"/>
        <w:spacing w:after="0" w:line="252" w:lineRule="auto"/>
        <w:tabs>
          <w:tab w:leader="none" w:pos="237"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2"/>
          <w:szCs w:val="12"/>
          <w:color w:val="auto"/>
        </w:rPr>
      </w:pPr>
    </w:p>
    <w:p>
      <w:pPr>
        <w:ind w:left="240" w:right="20" w:hanging="8"/>
        <w:spacing w:after="0" w:line="252" w:lineRule="auto"/>
        <w:tabs>
          <w:tab w:leader="none" w:pos="3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2"/>
          <w:szCs w:val="12"/>
          <w:color w:val="auto"/>
        </w:rPr>
      </w:pPr>
    </w:p>
    <w:p>
      <w:pPr>
        <w:ind w:left="360" w:hanging="128"/>
        <w:spacing w:after="0"/>
        <w:tabs>
          <w:tab w:leader="none" w:pos="360" w:val="left"/>
        </w:tabs>
        <w:numPr>
          <w:ilvl w:val="1"/>
          <w:numId w:val="7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13, 2013</w:t>
      </w:r>
    </w:p>
    <w:p>
      <w:pPr>
        <w:spacing w:after="0" w:line="213" w:lineRule="exact"/>
        <w:rPr>
          <w:sz w:val="20"/>
          <w:szCs w:val="20"/>
          <w:color w:val="auto"/>
        </w:rPr>
      </w:pPr>
    </w:p>
    <w:p>
      <w:pPr>
        <w:spacing w:after="0"/>
        <w:tabs>
          <w:tab w:leader="none" w:pos="1960" w:val="left"/>
          <w:tab w:leader="none" w:pos="22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10795</wp:posOffset>
            </wp:positionV>
            <wp:extent cx="26142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9"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Aviv Efrat</w:t>
      </w:r>
    </w:p>
    <w:p>
      <w:pPr>
        <w:spacing w:after="0" w:line="12"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1">
            <w:col w:w="11240"/>
          </w:cols>
          <w:pgMar w:left="320" w:top="13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32.1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Section 1350)</w:t>
      </w:r>
    </w:p>
    <w:p>
      <w:pPr>
        <w:spacing w:after="0" w:line="95" w:lineRule="exact"/>
        <w:rPr>
          <w:sz w:val="20"/>
          <w:szCs w:val="20"/>
          <w:color w:val="auto"/>
        </w:rPr>
      </w:pPr>
    </w:p>
    <w:p>
      <w:pPr>
        <w:ind w:right="260" w:firstLine="674"/>
        <w:spacing w:after="0" w:line="252" w:lineRule="auto"/>
        <w:rPr>
          <w:sz w:val="20"/>
          <w:szCs w:val="20"/>
          <w:color w:val="auto"/>
        </w:rPr>
      </w:pPr>
      <w:r>
        <w:rPr>
          <w:rFonts w:ascii="Arial" w:cs="Arial" w:eastAsia="Arial" w:hAnsi="Arial"/>
          <w:sz w:val="12"/>
          <w:szCs w:val="12"/>
          <w:color w:val="auto"/>
        </w:rPr>
        <w:t>In connection with the Annual Report on Form 10-K of PennantPark Investment Corporation for the annual period ended September 30, 2012 as filed with the Securities and Exchange Commission on the date hereof (the “Report”), I, Arthur H. Penn, as Chief Executive Officer of the Registrant hereby certify, to the best of my knowledge that:</w:t>
      </w:r>
    </w:p>
    <w:p>
      <w:pPr>
        <w:spacing w:after="0" w:line="48" w:lineRule="exact"/>
        <w:rPr>
          <w:sz w:val="20"/>
          <w:szCs w:val="20"/>
          <w:color w:val="auto"/>
        </w:rPr>
      </w:pPr>
    </w:p>
    <w:p>
      <w:pPr>
        <w:ind w:left="280" w:hanging="160"/>
        <w:spacing w:after="0"/>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280" w:hanging="160"/>
        <w:spacing w:after="0"/>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jc w:val="center"/>
              <w:ind w:right="962"/>
              <w:spacing w:after="0"/>
              <w:rPr>
                <w:sz w:val="20"/>
                <w:szCs w:val="20"/>
                <w:color w:val="auto"/>
              </w:rPr>
            </w:pPr>
            <w:r>
              <w:rPr>
                <w:rFonts w:ascii="Arial" w:cs="Arial" w:eastAsia="Arial" w:hAnsi="Arial"/>
                <w:sz w:val="12"/>
                <w:szCs w:val="12"/>
                <w:color w:val="auto"/>
                <w:w w:val="97"/>
              </w:rPr>
              <w:t>/S/  ARTHUR H. PENN</w:t>
            </w:r>
          </w:p>
        </w:tc>
      </w:tr>
      <w:tr>
        <w:trPr>
          <w:trHeight w:val="163"/>
        </w:trPr>
        <w:tc>
          <w:tcPr>
            <w:tcW w:w="1580" w:type="dxa"/>
            <w:vAlign w:val="bottom"/>
            <w:gridSpan w:val="2"/>
          </w:tcPr>
          <w:p>
            <w:pPr>
              <w:spacing w:after="0"/>
              <w:rPr>
                <w:sz w:val="20"/>
                <w:szCs w:val="20"/>
                <w:color w:val="auto"/>
              </w:rPr>
            </w:pPr>
            <w:r>
              <w:rPr>
                <w:rFonts w:ascii="Arial" w:cs="Arial" w:eastAsia="Arial" w:hAnsi="Arial"/>
                <w:sz w:val="12"/>
                <w:szCs w:val="12"/>
                <w:color w:val="auto"/>
              </w:rPr>
              <w:t>Name:</w:t>
            </w:r>
          </w:p>
        </w:tc>
        <w:tc>
          <w:tcPr>
            <w:tcW w:w="2900" w:type="dxa"/>
            <w:vAlign w:val="bottom"/>
          </w:tcPr>
          <w:p>
            <w:pPr>
              <w:jc w:val="center"/>
              <w:ind w:right="962"/>
              <w:spacing w:after="0"/>
              <w:rPr>
                <w:sz w:val="20"/>
                <w:szCs w:val="20"/>
                <w:color w:val="auto"/>
              </w:rPr>
            </w:pPr>
            <w:r>
              <w:rPr>
                <w:rFonts w:ascii="Arial" w:cs="Arial" w:eastAsia="Arial" w:hAnsi="Arial"/>
                <w:sz w:val="12"/>
                <w:szCs w:val="12"/>
                <w:b w:val="1"/>
                <w:bCs w:val="1"/>
                <w:color w:val="auto"/>
                <w:w w:val="94"/>
              </w:rPr>
              <w:t>Arthur H. Penn</w:t>
            </w:r>
          </w:p>
        </w:tc>
      </w:tr>
      <w:tr>
        <w:trPr>
          <w:trHeight w:val="162"/>
        </w:trPr>
        <w:tc>
          <w:tcPr>
            <w:tcW w:w="1580" w:type="dxa"/>
            <w:vAlign w:val="bottom"/>
            <w:gridSpan w:val="2"/>
          </w:tcPr>
          <w:p>
            <w:pPr>
              <w:spacing w:after="0"/>
              <w:rPr>
                <w:sz w:val="20"/>
                <w:szCs w:val="20"/>
                <w:color w:val="auto"/>
              </w:rPr>
            </w:pPr>
            <w:r>
              <w:rPr>
                <w:rFonts w:ascii="Arial" w:cs="Arial" w:eastAsia="Arial" w:hAnsi="Arial"/>
                <w:sz w:val="12"/>
                <w:szCs w:val="12"/>
                <w:color w:val="auto"/>
              </w:rPr>
              <w:t>Title:</w:t>
            </w:r>
          </w:p>
        </w:tc>
        <w:tc>
          <w:tcPr>
            <w:tcW w:w="2900" w:type="dxa"/>
            <w:vAlign w:val="bottom"/>
          </w:tcPr>
          <w:p>
            <w:pPr>
              <w:jc w:val="center"/>
              <w:ind w:right="962"/>
              <w:spacing w:after="0"/>
              <w:rPr>
                <w:sz w:val="20"/>
                <w:szCs w:val="20"/>
                <w:color w:val="auto"/>
              </w:rPr>
            </w:pPr>
            <w:r>
              <w:rPr>
                <w:rFonts w:ascii="Arial" w:cs="Arial" w:eastAsia="Arial" w:hAnsi="Arial"/>
                <w:sz w:val="12"/>
                <w:szCs w:val="12"/>
                <w:b w:val="1"/>
                <w:bCs w:val="1"/>
                <w:color w:val="auto"/>
                <w:w w:val="88"/>
              </w:rPr>
              <w:t>Chief Executive Officer</w:t>
            </w:r>
          </w:p>
        </w:tc>
      </w:tr>
      <w:tr>
        <w:trPr>
          <w:trHeight w:val="203"/>
        </w:trPr>
        <w:tc>
          <w:tcPr>
            <w:tcW w:w="1580" w:type="dxa"/>
            <w:vAlign w:val="bottom"/>
            <w:gridSpan w:val="2"/>
          </w:tcPr>
          <w:p>
            <w:pPr>
              <w:spacing w:after="0"/>
              <w:rPr>
                <w:sz w:val="20"/>
                <w:szCs w:val="20"/>
                <w:color w:val="auto"/>
              </w:rPr>
            </w:pPr>
            <w:r>
              <w:rPr>
                <w:rFonts w:ascii="Arial" w:cs="Arial" w:eastAsia="Arial" w:hAnsi="Arial"/>
                <w:sz w:val="12"/>
                <w:szCs w:val="12"/>
                <w:color w:val="auto"/>
              </w:rPr>
              <w:t>Date: November 13, 2013</w:t>
            </w:r>
          </w:p>
        </w:tc>
        <w:tc>
          <w:tcPr>
            <w:tcW w:w="2900" w:type="dxa"/>
            <w:vAlign w:val="bottom"/>
          </w:tcPr>
          <w:p>
            <w:pPr>
              <w:spacing w:after="0"/>
              <w:rPr>
                <w:sz w:val="17"/>
                <w:szCs w:val="17"/>
                <w:color w:val="auto"/>
              </w:rPr>
            </w:pPr>
          </w:p>
        </w:tc>
      </w:tr>
    </w:tbl>
    <w:p>
      <w:pPr>
        <w:sectPr>
          <w:pgSz w:w="11900" w:h="16838" w:orient="portrait"/>
          <w:cols w:equalWidth="0" w:num="1">
            <w:col w:w="11240"/>
          </w:cols>
          <w:pgMar w:left="320" w:top="13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EXHIBIT 32.2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Section 1350)</w:t>
      </w:r>
    </w:p>
    <w:p>
      <w:pPr>
        <w:spacing w:after="0" w:line="95" w:lineRule="exact"/>
        <w:rPr>
          <w:sz w:val="20"/>
          <w:szCs w:val="20"/>
          <w:color w:val="auto"/>
        </w:rPr>
      </w:pPr>
    </w:p>
    <w:p>
      <w:pPr>
        <w:ind w:right="260" w:firstLine="674"/>
        <w:spacing w:after="0" w:line="252" w:lineRule="auto"/>
        <w:rPr>
          <w:sz w:val="20"/>
          <w:szCs w:val="20"/>
          <w:color w:val="auto"/>
        </w:rPr>
      </w:pPr>
      <w:r>
        <w:rPr>
          <w:rFonts w:ascii="Arial" w:cs="Arial" w:eastAsia="Arial" w:hAnsi="Arial"/>
          <w:sz w:val="12"/>
          <w:szCs w:val="12"/>
          <w:color w:val="auto"/>
        </w:rPr>
        <w:t>In connection with the Annual Report on Form 10-K of PennantPark Investment Corporation for the annual period ended September 30, 2012 as filed with the Securities and Exchange Commission on the date hereof (the “Report”), I, Aviv Efrat, as Chief Financial Officer of the Registrant hereby certify, to the best of my knowledge that:</w:t>
      </w:r>
    </w:p>
    <w:p>
      <w:pPr>
        <w:spacing w:after="0" w:line="48" w:lineRule="exact"/>
        <w:rPr>
          <w:sz w:val="20"/>
          <w:szCs w:val="20"/>
          <w:color w:val="auto"/>
        </w:rPr>
      </w:pPr>
    </w:p>
    <w:p>
      <w:pPr>
        <w:ind w:left="280" w:hanging="160"/>
        <w:spacing w:after="0"/>
        <w:tabs>
          <w:tab w:leader="none" w:pos="2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280" w:hanging="160"/>
        <w:spacing w:after="0"/>
        <w:tabs>
          <w:tab w:leader="none" w:pos="2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jc w:val="center"/>
              <w:ind w:right="962"/>
              <w:spacing w:after="0"/>
              <w:rPr>
                <w:sz w:val="20"/>
                <w:szCs w:val="20"/>
                <w:color w:val="auto"/>
              </w:rPr>
            </w:pPr>
            <w:r>
              <w:rPr>
                <w:rFonts w:ascii="Arial" w:cs="Arial" w:eastAsia="Arial" w:hAnsi="Arial"/>
                <w:sz w:val="12"/>
                <w:szCs w:val="12"/>
                <w:color w:val="auto"/>
              </w:rPr>
              <w:t>/S/  AVIV EFRAT</w:t>
            </w:r>
          </w:p>
        </w:tc>
      </w:tr>
      <w:tr>
        <w:trPr>
          <w:trHeight w:val="163"/>
        </w:trPr>
        <w:tc>
          <w:tcPr>
            <w:tcW w:w="1580" w:type="dxa"/>
            <w:vAlign w:val="bottom"/>
            <w:gridSpan w:val="2"/>
          </w:tcPr>
          <w:p>
            <w:pPr>
              <w:spacing w:after="0"/>
              <w:rPr>
                <w:sz w:val="20"/>
                <w:szCs w:val="20"/>
                <w:color w:val="auto"/>
              </w:rPr>
            </w:pPr>
            <w:r>
              <w:rPr>
                <w:rFonts w:ascii="Arial" w:cs="Arial" w:eastAsia="Arial" w:hAnsi="Arial"/>
                <w:sz w:val="12"/>
                <w:szCs w:val="12"/>
                <w:color w:val="auto"/>
              </w:rPr>
              <w:t>Name:</w:t>
            </w:r>
          </w:p>
        </w:tc>
        <w:tc>
          <w:tcPr>
            <w:tcW w:w="2900" w:type="dxa"/>
            <w:vAlign w:val="bottom"/>
          </w:tcPr>
          <w:p>
            <w:pPr>
              <w:jc w:val="center"/>
              <w:ind w:right="962"/>
              <w:spacing w:after="0"/>
              <w:rPr>
                <w:sz w:val="20"/>
                <w:szCs w:val="20"/>
                <w:color w:val="auto"/>
              </w:rPr>
            </w:pPr>
            <w:r>
              <w:rPr>
                <w:rFonts w:ascii="Arial" w:cs="Arial" w:eastAsia="Arial" w:hAnsi="Arial"/>
                <w:sz w:val="12"/>
                <w:szCs w:val="12"/>
                <w:b w:val="1"/>
                <w:bCs w:val="1"/>
                <w:color w:val="auto"/>
                <w:w w:val="92"/>
              </w:rPr>
              <w:t>Aviv Efrat</w:t>
            </w:r>
          </w:p>
        </w:tc>
      </w:tr>
      <w:tr>
        <w:trPr>
          <w:trHeight w:val="162"/>
        </w:trPr>
        <w:tc>
          <w:tcPr>
            <w:tcW w:w="1580" w:type="dxa"/>
            <w:vAlign w:val="bottom"/>
            <w:gridSpan w:val="2"/>
          </w:tcPr>
          <w:p>
            <w:pPr>
              <w:spacing w:after="0"/>
              <w:rPr>
                <w:sz w:val="20"/>
                <w:szCs w:val="20"/>
                <w:color w:val="auto"/>
              </w:rPr>
            </w:pPr>
            <w:r>
              <w:rPr>
                <w:rFonts w:ascii="Arial" w:cs="Arial" w:eastAsia="Arial" w:hAnsi="Arial"/>
                <w:sz w:val="12"/>
                <w:szCs w:val="12"/>
                <w:color w:val="auto"/>
              </w:rPr>
              <w:t>Title:</w:t>
            </w:r>
          </w:p>
        </w:tc>
        <w:tc>
          <w:tcPr>
            <w:tcW w:w="2900" w:type="dxa"/>
            <w:vAlign w:val="bottom"/>
          </w:tcPr>
          <w:p>
            <w:pPr>
              <w:jc w:val="center"/>
              <w:ind w:right="962"/>
              <w:spacing w:after="0"/>
              <w:rPr>
                <w:sz w:val="20"/>
                <w:szCs w:val="20"/>
                <w:color w:val="auto"/>
              </w:rPr>
            </w:pPr>
            <w:r>
              <w:rPr>
                <w:rFonts w:ascii="Arial" w:cs="Arial" w:eastAsia="Arial" w:hAnsi="Arial"/>
                <w:sz w:val="12"/>
                <w:szCs w:val="12"/>
                <w:b w:val="1"/>
                <w:bCs w:val="1"/>
                <w:color w:val="auto"/>
                <w:w w:val="91"/>
              </w:rPr>
              <w:t>Chief Financial Officer</w:t>
            </w:r>
          </w:p>
        </w:tc>
      </w:tr>
      <w:tr>
        <w:trPr>
          <w:trHeight w:val="203"/>
        </w:trPr>
        <w:tc>
          <w:tcPr>
            <w:tcW w:w="1580" w:type="dxa"/>
            <w:vAlign w:val="bottom"/>
            <w:gridSpan w:val="2"/>
          </w:tcPr>
          <w:p>
            <w:pPr>
              <w:spacing w:after="0"/>
              <w:rPr>
                <w:sz w:val="20"/>
                <w:szCs w:val="20"/>
                <w:color w:val="auto"/>
              </w:rPr>
            </w:pPr>
            <w:r>
              <w:rPr>
                <w:rFonts w:ascii="Arial" w:cs="Arial" w:eastAsia="Arial" w:hAnsi="Arial"/>
                <w:sz w:val="12"/>
                <w:szCs w:val="12"/>
                <w:color w:val="auto"/>
              </w:rPr>
              <w:t>Date: November 13, 2013</w:t>
            </w:r>
          </w:p>
        </w:tc>
        <w:tc>
          <w:tcPr>
            <w:tcW w:w="29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lowerLetter"/>
      <w:start w:val="1"/>
    </w:lvl>
  </w:abstractNum>
  <w:abstractNum w:abstractNumId="5">
    <w:nsid w:val="70A64E2A"/>
    <w:multiLevelType w:val="hybridMultilevel"/>
    <w:lvl w:ilvl="0">
      <w:lvlJc w:val="left"/>
      <w:lvlText w:val="%1)"/>
      <w:numFmt w:val="lowerLetter"/>
      <w:start w:val="2"/>
    </w:lvl>
  </w:abstractNum>
  <w:abstractNum w:abstractNumId="6">
    <w:nsid w:val="6A2342EC"/>
    <w:multiLevelType w:val="hybridMultilevel"/>
    <w:lvl w:ilvl="0">
      <w:lvlJc w:val="left"/>
      <w:lvlText w:val="%1)"/>
      <w:numFmt w:val="lowerLetter"/>
      <w:start w:val="3"/>
    </w:lvl>
  </w:abstractNum>
  <w:abstractNum w:abstractNumId="7">
    <w:nsid w:val="2A487CB0"/>
    <w:multiLevelType w:val="hybridMultilevel"/>
    <w:lvl w:ilvl="0">
      <w:lvlJc w:val="left"/>
      <w:lvlText w:val="%1)"/>
      <w:numFmt w:val="lowerLetter"/>
      <w:start w:val="4"/>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2"/>
    </w:lvl>
  </w:abstractNum>
  <w:abstractNum w:abstractNumId="10">
    <w:nsid w:val="2CD89A32"/>
    <w:multiLevelType w:val="hybridMultilevel"/>
    <w:lvl w:ilvl="0">
      <w:lvlJc w:val="left"/>
      <w:lvlText w:val="%1)"/>
      <w:numFmt w:val="lowerLetter"/>
      <w:start w:val="3"/>
    </w:lvl>
  </w:abstractNum>
  <w:abstractNum w:abstractNumId="11">
    <w:nsid w:val="57E4CCAF"/>
    <w:multiLevelType w:val="hybridMultilevel"/>
    <w:lvl w:ilvl="0">
      <w:lvlJc w:val="left"/>
      <w:lvlText w:val="%1)"/>
      <w:numFmt w:val="lowerLetter"/>
      <w:start w:val="4"/>
    </w:lvl>
  </w:abstractNum>
  <w:abstractNum w:abstractNumId="12">
    <w:nsid w:val="7A6D8D3C"/>
    <w:multiLevelType w:val="hybridMultilevel"/>
    <w:lvl w:ilvl="0">
      <w:lvlJc w:val="left"/>
      <w:lvlText w:val="%1)"/>
      <w:numFmt w:val="lowerLetter"/>
      <w:start w:val="5"/>
    </w:lvl>
  </w:abstractNum>
  <w:abstractNum w:abstractNumId="13">
    <w:nsid w:val="4B588F54"/>
    <w:multiLevelType w:val="hybridMultilevel"/>
    <w:lvl w:ilvl="0">
      <w:lvlJc w:val="left"/>
      <w:lvlText w:val="%1)"/>
      <w:numFmt w:val="lowerLetter"/>
      <w:start w:val="6"/>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lvl w:ilvl="1">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lowerLetter"/>
      <w:start w:val="1"/>
    </w:lvl>
    <w:lvl w:ilvl="1">
      <w:lvlJc w:val="left"/>
      <w:lvlText w:val="(%2)"/>
      <w:numFmt w:val="decimal"/>
      <w:start w:val="4"/>
    </w:lvl>
  </w:abstractNum>
  <w:abstractNum w:abstractNumId="33">
    <w:nsid w:val="275AC794"/>
    <w:multiLevelType w:val="hybridMultilevel"/>
    <w:lvl w:ilvl="0">
      <w:lvlJc w:val="left"/>
      <w:lvlText w:val="(%1)"/>
      <w:numFmt w:val="lowerLetter"/>
      <w:start w:val="2"/>
    </w:lvl>
    <w:lvl w:ilvl="1">
      <w:lvlJc w:val="left"/>
      <w:lvlText w:val="%2"/>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lowerLetter"/>
      <w:start w:val="1"/>
    </w:lvl>
    <w:lvl w:ilvl="1">
      <w:lvlJc w:val="left"/>
      <w:lvlText w:val="(%2)"/>
      <w:numFmt w:val="lowerLetter"/>
      <w:start w:val="1"/>
    </w:lvl>
  </w:abstractNum>
  <w:abstractNum w:abstractNumId="41">
    <w:nsid w:val="741226BB"/>
    <w:multiLevelType w:val="hybridMultilevel"/>
    <w:lvl w:ilvl="0">
      <w:lvlJc w:val="left"/>
      <w:lvlText w:val="(%1)"/>
      <w:numFmt w:val="lowerLetter"/>
      <w:start w:val="2"/>
    </w:lvl>
    <w:lvl w:ilvl="1">
      <w:lvlJc w:val="left"/>
      <w:lvlText w:val="(%2)"/>
      <w:numFmt w:val="lowerLetter"/>
      <w:start w:val="2"/>
    </w:lvl>
  </w:abstractNum>
  <w:abstractNum w:abstractNumId="42">
    <w:nsid w:val="D34B6A8"/>
    <w:multiLevelType w:val="hybridMultilevel"/>
    <w:lvl w:ilvl="0">
      <w:lvlJc w:val="left"/>
      <w:lvlText w:val="%1"/>
      <w:numFmt w:val="lowerLetter"/>
      <w:start w:val="1"/>
    </w:lvl>
    <w:lvl w:ilvl="1">
      <w:lvlJc w:val="left"/>
      <w:lvlText w:val="(%2)"/>
      <w:numFmt w:val="decimal"/>
      <w:start w:val="2"/>
    </w:lvl>
  </w:abstractNum>
  <w:abstractNum w:abstractNumId="43">
    <w:nsid w:val="10233C99"/>
    <w:multiLevelType w:val="hybridMultilevel"/>
    <w:lvl w:ilvl="0">
      <w:lvlJc w:val="left"/>
      <w:lvlText w:val="(%1)"/>
      <w:numFmt w:val="lowerLetter"/>
      <w:start w:val="4"/>
    </w:lvl>
    <w:lvl w:ilvl="1">
      <w:lvlJc w:val="left"/>
      <w:lvlText w:val="(%2)"/>
      <w:numFmt w:val="decimal"/>
      <w:start w:val="3"/>
    </w:lvl>
  </w:abstractNum>
  <w:abstractNum w:abstractNumId="44">
    <w:nsid w:val="3F6AB60F"/>
    <w:multiLevelType w:val="hybridMultilevel"/>
    <w:lvl w:ilvl="0">
      <w:lvlJc w:val="left"/>
      <w:lvlText w:val="(%1)"/>
      <w:numFmt w:val="decimal"/>
      <w:start w:val="5"/>
    </w:lvl>
  </w:abstractNum>
  <w:abstractNum w:abstractNumId="45">
    <w:nsid w:val="61574095"/>
    <w:multiLevelType w:val="hybridMultilevel"/>
    <w:lvl w:ilvl="0">
      <w:lvlJc w:val="left"/>
      <w:lvlText w:val="(%1)"/>
      <w:numFmt w:val="decimal"/>
      <w:start w:val="7"/>
    </w:lvl>
  </w:abstractNum>
  <w:abstractNum w:abstractNumId="46">
    <w:nsid w:val="7E0C57B1"/>
    <w:multiLevelType w:val="hybridMultilevel"/>
    <w:lvl w:ilvl="0">
      <w:lvlJc w:val="left"/>
      <w:lvlText w:val="(%1)"/>
      <w:numFmt w:val="lowerLetter"/>
      <w:start w:val="3"/>
    </w:lvl>
  </w:abstractNum>
  <w:abstractNum w:abstractNumId="47">
    <w:nsid w:val="77AE35EB"/>
    <w:multiLevelType w:val="hybridMultilevel"/>
    <w:lvl w:ilvl="0">
      <w:lvlJc w:val="left"/>
      <w:lvlText w:val="(%1)"/>
      <w:numFmt w:val="lowerLetter"/>
      <w:start w:val="5"/>
    </w:lvl>
  </w:abstractNum>
  <w:abstractNum w:abstractNumId="48">
    <w:nsid w:val="579BE4F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9"/>
    </w:lvl>
  </w:abstractNum>
  <w:abstractNum w:abstractNumId="49">
    <w:nsid w:val="310C50B3"/>
    <w:multiLevelType w:val="hybridMultilevel"/>
    <w:lvl w:ilvl="0">
      <w:lvlJc w:val="left"/>
      <w:lvlText w:val="%1"/>
      <w:numFmt w:val="lowerRoman"/>
      <w:start w:val="1"/>
    </w:lvl>
    <w:lvl w:ilvl="1">
      <w:lvlJc w:val="left"/>
      <w:lvlText w:val="(%2)"/>
      <w:numFmt w:val="upperLetter"/>
      <w:start w:val="1"/>
    </w:lvl>
  </w:abstractNum>
  <w:abstractNum w:abstractNumId="50">
    <w:nsid w:val="5FF87E05"/>
    <w:multiLevelType w:val="hybridMultilevel"/>
    <w:lvl w:ilvl="0">
      <w:lvlJc w:val="left"/>
      <w:lvlText w:val="(%1)"/>
      <w:numFmt w:val="lowerRoman"/>
      <w:start w:val="2"/>
    </w:lvl>
    <w:lvl w:ilvl="1">
      <w:lvlJc w:val="left"/>
      <w:lvlText w:val="(%2)"/>
      <w:numFmt w:val="upperLetter"/>
      <w:start w:val="1"/>
    </w:lvl>
  </w:abstractNum>
  <w:abstractNum w:abstractNumId="51">
    <w:nsid w:val="2F305DEF"/>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4"/>
    </w:lvl>
  </w:abstractNum>
  <w:abstractNum w:abstractNumId="52">
    <w:nsid w:val="25A70BF7"/>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lvl w:ilvl="3">
      <w:lvlJc w:val="left"/>
      <w:lvlText w:val="%4"/>
      <w:numFmt w:val="upperLetter"/>
      <w:start w:val="1"/>
    </w:lvl>
  </w:abstractNum>
  <w:abstractNum w:abstractNumId="53">
    <w:nsid w:val="1DBABF00"/>
    <w:multiLevelType w:val="hybridMultilevel"/>
    <w:lvl w:ilvl="0">
      <w:lvlJc w:val="left"/>
      <w:lvlText w:val="(%1)"/>
      <w:numFmt w:val="lowerRoman"/>
      <w:start w:val="2"/>
    </w:lvl>
    <w:lvl w:ilvl="1">
      <w:lvlJc w:val="left"/>
      <w:lvlText w:val="(%2)"/>
      <w:numFmt w:val="decimal"/>
      <w:start w:val="3"/>
    </w:lvl>
    <w:lvl w:ilvl="2">
      <w:lvlJc w:val="left"/>
      <w:lvlText w:val="(%3)"/>
      <w:numFmt w:val="lowerRoman"/>
      <w:start w:val="4"/>
    </w:lvl>
    <w:lvl w:ilvl="3">
      <w:lvlJc w:val="left"/>
      <w:lvlText w:val="(%4)"/>
      <w:numFmt w:val="upperLetter"/>
      <w:start w:val="1"/>
    </w:lvl>
  </w:abstractNum>
  <w:abstractNum w:abstractNumId="54">
    <w:nsid w:val="4AD084E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5">
    <w:nsid w:val="1F48EAA1"/>
    <w:multiLevelType w:val="hybridMultilevel"/>
    <w:lvl w:ilvl="0">
      <w:lvlJc w:val="left"/>
      <w:lvlText w:val="%1"/>
      <w:numFmt w:val="lowerLetter"/>
      <w:start w:val="1"/>
    </w:lvl>
    <w:lvl w:ilvl="1">
      <w:lvlJc w:val="left"/>
      <w:lvlText w:val="(%2)"/>
      <w:numFmt w:val="decimal"/>
      <w:start w:val="5"/>
    </w:lvl>
  </w:abstractNum>
  <w:abstractNum w:abstractNumId="56">
    <w:nsid w:val="1381823A"/>
    <w:multiLevelType w:val="hybridMultilevel"/>
    <w:lvl w:ilvl="0">
      <w:lvlJc w:val="left"/>
      <w:lvlText w:val="(%1)"/>
      <w:numFmt w:val="lowerLetter"/>
      <w:start w:val="2"/>
    </w:lvl>
    <w:lvl w:ilvl="1">
      <w:lvlJc w:val="left"/>
      <w:lvlText w:val="%2"/>
      <w:numFmt w:val="decimal"/>
      <w:start w:val="1"/>
    </w:lvl>
  </w:abstractNum>
  <w:abstractNum w:abstractNumId="57">
    <w:nsid w:val="5DB70AE5"/>
    <w:multiLevelType w:val="hybridMultilevel"/>
    <w:lvl w:ilvl="0">
      <w:lvlJc w:val="left"/>
      <w:lvlText w:val="(%1)"/>
      <w:numFmt w:val="decimal"/>
      <w:start w:val="2"/>
    </w:lvl>
  </w:abstractNum>
  <w:abstractNum w:abstractNumId="58">
    <w:nsid w:val="100F8FCA"/>
    <w:multiLevelType w:val="hybridMultilevel"/>
    <w:lvl w:ilvl="0">
      <w:lvlJc w:val="left"/>
      <w:lvlText w:val="(%1)"/>
      <w:numFmt w:val="lowerLetter"/>
      <w:start w:val="6"/>
    </w:lvl>
  </w:abstractNum>
  <w:abstractNum w:abstractNumId="59">
    <w:nsid w:val="6590700B"/>
    <w:multiLevelType w:val="hybridMultilevel"/>
    <w:lvl w:ilvl="0">
      <w:lvlJc w:val="left"/>
      <w:lvlText w:val="(%1)"/>
      <w:numFmt w:val="upperLetter"/>
      <w:start w:val="1"/>
    </w:lvl>
  </w:abstractNum>
  <w:abstractNum w:abstractNumId="60">
    <w:nsid w:val="15014ACB"/>
    <w:multiLevelType w:val="hybridMultilevel"/>
    <w:lvl w:ilvl="0">
      <w:lvlJc w:val="left"/>
      <w:lvlText w:val="(%1)"/>
      <w:numFmt w:val="upperLetter"/>
      <w:start w:val="10"/>
    </w:lvl>
  </w:abstractNum>
  <w:abstractNum w:abstractNumId="61">
    <w:nsid w:val="5F5E7FD0"/>
    <w:multiLevelType w:val="hybridMultilevel"/>
    <w:lvl w:ilvl="0">
      <w:lvlJc w:val="left"/>
      <w:lvlText w:val="(%1)"/>
      <w:numFmt w:val="upperLetter"/>
      <w:start w:val="12"/>
    </w:lvl>
  </w:abstractNum>
  <w:abstractNum w:abstractNumId="62">
    <w:nsid w:val="98A3148"/>
    <w:multiLevelType w:val="hybridMultilevel"/>
    <w:lvl w:ilvl="0">
      <w:lvlJc w:val="left"/>
      <w:lvlText w:val="(%1)"/>
      <w:numFmt w:val="lowerRoman"/>
      <w:start w:val="1"/>
    </w:lvl>
  </w:abstractNum>
  <w:abstractNum w:abstractNumId="63">
    <w:nsid w:val="799D0247"/>
    <w:multiLevelType w:val="hybridMultilevel"/>
    <w:lvl w:ilvl="0">
      <w:lvlJc w:val="left"/>
      <w:lvlText w:val="(%1)"/>
      <w:numFmt w:val="upperLetter"/>
      <w:start w:val="1"/>
    </w:lvl>
  </w:abstractNum>
  <w:abstractNum w:abstractNumId="64">
    <w:nsid w:val="6B94764"/>
    <w:multiLevelType w:val="hybridMultilevel"/>
    <w:lvl w:ilvl="0">
      <w:lvlJc w:val="left"/>
      <w:lvlText w:val="%1"/>
      <w:numFmt w:val="upperLetter"/>
      <w:start w:val="1"/>
    </w:lvl>
    <w:lvl w:ilvl="1">
      <w:lvlJc w:val="left"/>
      <w:lvlText w:val="(%2)"/>
      <w:numFmt w:val="decimal"/>
      <w:start w:val="1"/>
    </w:lvl>
  </w:abstractNum>
  <w:abstractNum w:abstractNumId="65">
    <w:nsid w:val="42C296BD"/>
    <w:multiLevelType w:val="hybridMultilevel"/>
    <w:lvl w:ilvl="0">
      <w:lvlJc w:val="left"/>
      <w:lvlText w:val="(%1)"/>
      <w:numFmt w:val="upperLetter"/>
      <w:start w:val="3"/>
    </w:lvl>
    <w:lvl w:ilvl="1">
      <w:lvlJc w:val="left"/>
      <w:lvlText w:val="%2"/>
      <w:numFmt w:val="decimal"/>
      <w:start w:val="1"/>
    </w:lvl>
  </w:abstractNum>
  <w:abstractNum w:abstractNumId="66">
    <w:nsid w:val="168E121F"/>
    <w:multiLevelType w:val="hybridMultilevel"/>
    <w:lvl w:ilvl="0">
      <w:lvlJc w:val="left"/>
      <w:lvlText w:val="%1"/>
      <w:numFmt w:val="upperLetter"/>
      <w:start w:val="1"/>
    </w:lvl>
    <w:lvl w:ilvl="1">
      <w:lvlJc w:val="left"/>
      <w:lvlText w:val="(%2)"/>
      <w:numFmt w:val="decimal"/>
      <w:start w:val="1"/>
    </w:lvl>
  </w:abstractNum>
  <w:abstractNum w:abstractNumId="67">
    <w:nsid w:val="1EBA5D23"/>
    <w:multiLevelType w:val="hybridMultilevel"/>
    <w:lvl w:ilvl="0">
      <w:lvlJc w:val="left"/>
      <w:lvlText w:val="(%1)"/>
      <w:numFmt w:val="upperLetter"/>
      <w:start w:val="6"/>
    </w:lvl>
    <w:lvl w:ilvl="1">
      <w:lvlJc w:val="left"/>
      <w:lvlText w:val="%2"/>
      <w:numFmt w:val="decimal"/>
      <w:start w:val="1"/>
    </w:lvl>
  </w:abstractNum>
  <w:abstractNum w:abstractNumId="68">
    <w:nsid w:val="661E3F1E"/>
    <w:multiLevelType w:val="hybridMultilevel"/>
    <w:lvl w:ilvl="0">
      <w:lvlJc w:val="left"/>
      <w:lvlText w:val="(%1)"/>
      <w:numFmt w:val="upperLetter"/>
      <w:start w:val="1"/>
    </w:lvl>
    <w:lvl w:ilvl="1">
      <w:lvlJc w:val="left"/>
      <w:lvlText w:val="(%2)"/>
      <w:numFmt w:val="decimal"/>
      <w:start w:val="1"/>
    </w:lvl>
  </w:abstractNum>
  <w:abstractNum w:abstractNumId="69">
    <w:nsid w:val="5DC79EA8"/>
    <w:multiLevelType w:val="hybridMultilevel"/>
    <w:lvl w:ilvl="0">
      <w:lvlJc w:val="left"/>
      <w:lvlText w:val="(%1)"/>
      <w:numFmt w:val="upperLetter"/>
      <w:start w:val="5"/>
    </w:lvl>
  </w:abstractNum>
  <w:abstractNum w:abstractNumId="70">
    <w:nsid w:val="540A471C"/>
    <w:multiLevelType w:val="hybridMultilevel"/>
    <w:lvl w:ilvl="0">
      <w:lvlJc w:val="left"/>
      <w:lvlText w:val="(%1)"/>
      <w:numFmt w:val="upperLetter"/>
      <w:start w:val="1"/>
    </w:lvl>
    <w:lvl w:ilvl="1">
      <w:lvlJc w:val="left"/>
      <w:lvlText w:val="(%2)"/>
      <w:numFmt w:val="decimal"/>
      <w:start w:val="1"/>
    </w:lvl>
  </w:abstractNum>
  <w:abstractNum w:abstractNumId="71">
    <w:nsid w:val="7BD3EE7B"/>
    <w:multiLevelType w:val="hybridMultilevel"/>
    <w:lvl w:ilvl="0">
      <w:lvlJc w:val="left"/>
      <w:lvlText w:val="%1"/>
      <w:numFmt w:val="upperLetter"/>
      <w:start w:val="1"/>
    </w:lvl>
    <w:lvl w:ilvl="1">
      <w:lvlJc w:val="left"/>
      <w:lvlText w:val="(%2)"/>
      <w:numFmt w:val="decimal"/>
      <w:start w:val="6"/>
    </w:lvl>
  </w:abstractNum>
  <w:abstractNum w:abstractNumId="72">
    <w:nsid w:val="51D9C564"/>
    <w:multiLevelType w:val="hybridMultilevel"/>
    <w:lvl w:ilvl="0">
      <w:lvlJc w:val="left"/>
      <w:lvlText w:val="(%1)"/>
      <w:numFmt w:val="upperLetter"/>
      <w:start w:val="4"/>
    </w:lvl>
    <w:lvl w:ilvl="1">
      <w:lvlJc w:val="left"/>
      <w:lvlText w:val="%2"/>
      <w:numFmt w:val="decimal"/>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2020-05-05T15:19:18Z</dcterms:created>
  <dcterms:modified xsi:type="dcterms:W3CDTF">2020-05-05T15:19:18Z</dcterms:modified>
</cp:coreProperties>
</file>