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140"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Prospectus Supplement</w:t>
      </w:r>
    </w:p>
    <w:p>
      <w:pPr>
        <w:spacing w:after="0" w:line="6"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To the Prospectus dated April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45720</wp:posOffset>
            </wp:positionV>
            <wp:extent cx="218694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$75,000,000</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5.50% Notes due 2024</w:t>
      </w:r>
    </w:p>
    <w:p>
      <w:pPr>
        <w:spacing w:after="0" w:line="72" w:lineRule="exact"/>
        <w:rPr>
          <w:sz w:val="24"/>
          <w:szCs w:val="24"/>
          <w:color w:val="auto"/>
        </w:rPr>
      </w:pPr>
    </w:p>
    <w:p>
      <w:pPr>
        <w:ind w:left="200" w:right="60" w:firstLine="441"/>
        <w:spacing w:after="0" w:line="234" w:lineRule="auto"/>
        <w:rPr>
          <w:sz w:val="20"/>
          <w:szCs w:val="20"/>
          <w:color w:val="auto"/>
        </w:rPr>
      </w:pPr>
      <w:r>
        <w:rPr>
          <w:rFonts w:ascii="Arial" w:cs="Arial" w:eastAsia="Arial" w:hAnsi="Arial"/>
          <w:sz w:val="15"/>
          <w:szCs w:val="15"/>
          <w:color w:val="auto"/>
        </w:rPr>
        <w:t>We are offering for sale $75,000,000 in aggregate principal amount of 5.50% notes due 2024, which, collectively with any notes purchased pursuant to the underwriters’ overallotment option described below, we refer to as the Notes. The Notes will mature on October 15, 2024. We will pay interest on the Notes on January 15, April 15, July 15 and October 15 of each year, beginning on January 15, 2020. We may redeem the Notes in whole or in part at any time or from time to time on or after October 15, 2021 at the redemption price discussed under the caption “Specific Terms of the Notes and the Offering—Optional redemption” in this prospectus supplement. The Notes will be issued in minimum denominations of $25 and integral multiples of $25 in excess thereof.</w:t>
      </w:r>
    </w:p>
    <w:p>
      <w:pPr>
        <w:spacing w:after="0" w:line="37" w:lineRule="exact"/>
        <w:rPr>
          <w:sz w:val="24"/>
          <w:szCs w:val="24"/>
          <w:color w:val="auto"/>
        </w:rPr>
      </w:pPr>
    </w:p>
    <w:p>
      <w:pPr>
        <w:ind w:left="200" w:right="20" w:firstLine="441"/>
        <w:spacing w:after="0" w:line="236" w:lineRule="auto"/>
        <w:rPr>
          <w:sz w:val="20"/>
          <w:szCs w:val="20"/>
          <w:color w:val="auto"/>
        </w:rPr>
      </w:pPr>
      <w:r>
        <w:rPr>
          <w:rFonts w:ascii="Arial" w:cs="Arial" w:eastAsia="Arial" w:hAnsi="Arial"/>
          <w:sz w:val="15"/>
          <w:szCs w:val="15"/>
          <w:color w:val="auto"/>
        </w:rPr>
        <w:t xml:space="preserve">The Notes will be our direct unsecured obligations and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future unsecured unsubordinated indebtedness issued by PennantPark Investment Corporation. We intend to list the Notes on the Nasdaq Global Select Market and we expect trading in the Notes on the Nasdaq Global Select Market to begin within 30 days of the original issue date under the trading symbol “PNNTG.” The Notes are expected to trade “flat.” This means that purchasers will not pay, and sellers will not receive, any accrued and unpaid interest on the Notes that is not included in the trading price. Currently, there is no public market for the Notes.</w:t>
      </w:r>
    </w:p>
    <w:p>
      <w:pPr>
        <w:spacing w:after="0" w:line="51" w:lineRule="exact"/>
        <w:rPr>
          <w:sz w:val="24"/>
          <w:szCs w:val="24"/>
          <w:color w:val="auto"/>
        </w:rPr>
      </w:pPr>
    </w:p>
    <w:p>
      <w:pPr>
        <w:ind w:left="200" w:right="40" w:firstLine="441"/>
        <w:spacing w:after="0" w:line="234" w:lineRule="auto"/>
        <w:rPr>
          <w:sz w:val="20"/>
          <w:szCs w:val="20"/>
          <w:color w:val="auto"/>
        </w:rPr>
      </w:pPr>
      <w:r>
        <w:rPr>
          <w:rFonts w:ascii="Arial" w:cs="Arial" w:eastAsia="Arial" w:hAnsi="Arial"/>
          <w:sz w:val="15"/>
          <w:szCs w:val="15"/>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primarily in U.S. middle-market private companies in the form of first lien secured debt, second lien secured debt and subordinated debt and equity investments. We are externally managed by PennantPark Investment Advisers, LLC. PennantPark Investment Administration, LLC provides the administrative services necessary for us to operate.</w:t>
      </w:r>
    </w:p>
    <w:p>
      <w:pPr>
        <w:spacing w:after="0" w:line="37" w:lineRule="exact"/>
        <w:rPr>
          <w:sz w:val="24"/>
          <w:szCs w:val="24"/>
          <w:color w:val="auto"/>
        </w:rPr>
      </w:pPr>
    </w:p>
    <w:p>
      <w:pPr>
        <w:ind w:left="200" w:right="20" w:firstLine="441"/>
        <w:spacing w:after="0" w:line="248" w:lineRule="auto"/>
        <w:rPr>
          <w:sz w:val="20"/>
          <w:szCs w:val="20"/>
          <w:color w:val="auto"/>
        </w:rPr>
      </w:pPr>
      <w:r>
        <w:rPr>
          <w:rFonts w:ascii="Arial" w:cs="Arial" w:eastAsia="Arial" w:hAnsi="Arial"/>
          <w:sz w:val="14"/>
          <w:szCs w:val="14"/>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29" w:lineRule="exact"/>
        <w:rPr>
          <w:sz w:val="24"/>
          <w:szCs w:val="24"/>
          <w:color w:val="auto"/>
        </w:rPr>
      </w:pPr>
    </w:p>
    <w:p>
      <w:pPr>
        <w:ind w:left="200" w:right="120" w:firstLine="441"/>
        <w:spacing w:after="0" w:line="269"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leverage. Before buying any of our Notes, you should read the discussion of the material risks of investing in us in “</w:t>
      </w:r>
      <w:hyperlink w:anchor="page1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S-11 of this prospectus supplement and page 9 of the accompanying prospectus, in our most recent Annual Report on Form 10-K, and in any of our other filings with the SEC incorporated by reference herein.</w:t>
      </w:r>
    </w:p>
    <w:p>
      <w:pPr>
        <w:spacing w:after="0" w:line="26" w:lineRule="exact"/>
        <w:rPr>
          <w:sz w:val="24"/>
          <w:szCs w:val="24"/>
          <w:color w:val="auto"/>
        </w:rPr>
      </w:pPr>
    </w:p>
    <w:p>
      <w:pPr>
        <w:ind w:left="200" w:right="580" w:firstLine="441"/>
        <w:spacing w:after="0" w:line="29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200" w:right="20" w:firstLine="441"/>
        <w:spacing w:after="0" w:line="260" w:lineRule="auto"/>
        <w:rPr>
          <w:sz w:val="20"/>
          <w:szCs w:val="20"/>
          <w:color w:val="auto"/>
        </w:rPr>
      </w:pPr>
      <w:r>
        <w:rPr>
          <w:rFonts w:ascii="Arial" w:cs="Arial" w:eastAsia="Arial" w:hAnsi="Arial"/>
          <w:sz w:val="14"/>
          <w:szCs w:val="14"/>
          <w:b w:val="1"/>
          <w:bCs w:val="1"/>
          <w:color w:val="auto"/>
        </w:rPr>
        <w:t>The underwriters have agreed to purchase the Notes from us at 97.00% of the aggregate principal amount of the Notes (resulting in $72,750,000 in aggregate proceeds to us, before deducting expenses payable by us). 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99695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4" w:lineRule="exact"/>
        <w:rPr>
          <w:sz w:val="24"/>
          <w:szCs w:val="24"/>
          <w:color w:val="auto"/>
        </w:rPr>
      </w:pPr>
    </w:p>
    <w:p>
      <w:pPr>
        <w:ind w:left="200" w:right="40" w:firstLine="441"/>
        <w:spacing w:after="0" w:line="243" w:lineRule="auto"/>
        <w:rPr>
          <w:sz w:val="20"/>
          <w:szCs w:val="20"/>
          <w:color w:val="auto"/>
        </w:rPr>
      </w:pPr>
      <w:r>
        <w:rPr>
          <w:rFonts w:ascii="Arial" w:cs="Arial" w:eastAsia="Arial" w:hAnsi="Arial"/>
          <w:sz w:val="15"/>
          <w:szCs w:val="15"/>
          <w:b w:val="1"/>
          <w:bCs w:val="1"/>
          <w:color w:val="auto"/>
        </w:rPr>
        <w:t>The underwriters may also purchase up to an additional $11,250,000 aggregate principal amount of Notes from us, within 30 days from the date of this prospectus supplement to cover overallotments, if any. If the underwriters exercise this option in full, the total aggregate proceeds to us, before deducting expenses payable by us will be $83,662,500.</w:t>
      </w:r>
    </w:p>
    <w:p>
      <w:pPr>
        <w:spacing w:after="0" w:line="30" w:lineRule="exact"/>
        <w:rPr>
          <w:sz w:val="24"/>
          <w:szCs w:val="24"/>
          <w:color w:val="auto"/>
        </w:rPr>
      </w:pPr>
    </w:p>
    <w:p>
      <w:pPr>
        <w:ind w:left="200" w:right="440" w:firstLine="441"/>
        <w:spacing w:after="0" w:line="261" w:lineRule="auto"/>
        <w:rPr>
          <w:sz w:val="20"/>
          <w:szCs w:val="20"/>
          <w:color w:val="auto"/>
        </w:rPr>
      </w:pPr>
      <w:r>
        <w:rPr>
          <w:rFonts w:ascii="Arial" w:cs="Arial" w:eastAsia="Arial" w:hAnsi="Arial"/>
          <w:sz w:val="15"/>
          <w:szCs w:val="15"/>
          <w:b w:val="1"/>
          <w:bCs w:val="1"/>
          <w:color w:val="auto"/>
        </w:rPr>
        <w:t>THE NOTES ARE NOT DEPOSITS OR OTHER OBLIGATIONS OF A BANK AND ARE NOT INSURED BY THE FEDERAL DEPOSIT INSURANCE CORPORATION OR ANY OTHER GOVERNMENT AGENCY.</w:t>
      </w:r>
    </w:p>
    <w:p>
      <w:pPr>
        <w:spacing w:after="0" w:line="20" w:lineRule="exact"/>
        <w:rPr>
          <w:sz w:val="24"/>
          <w:szCs w:val="24"/>
          <w:color w:val="auto"/>
        </w:rPr>
      </w:pPr>
    </w:p>
    <w:p>
      <w:pPr>
        <w:ind w:left="640"/>
        <w:spacing w:after="0"/>
        <w:rPr>
          <w:sz w:val="20"/>
          <w:szCs w:val="20"/>
          <w:color w:val="auto"/>
        </w:rPr>
      </w:pPr>
      <w:r>
        <w:rPr>
          <w:rFonts w:ascii="Arial" w:cs="Arial" w:eastAsia="Arial" w:hAnsi="Arial"/>
          <w:sz w:val="15"/>
          <w:szCs w:val="15"/>
          <w:color w:val="auto"/>
        </w:rPr>
        <w:t>Delivery of the Notes in book-entry form through The Depository Trust Company, or DTC, will be made on or about September 27, 2019.</w:t>
      </w:r>
    </w:p>
    <w:p>
      <w:pPr>
        <w:spacing w:after="0" w:line="71" w:lineRule="exact"/>
        <w:rPr>
          <w:sz w:val="24"/>
          <w:szCs w:val="24"/>
          <w:color w:val="auto"/>
        </w:rPr>
      </w:pPr>
    </w:p>
    <w:p>
      <w:pPr>
        <w:ind w:left="4720"/>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11220"/>
          </w:cols>
          <w:pgMar w:left="240" w:top="230" w:right="439" w:bottom="1440" w:gutter="0" w:footer="0" w:header="0"/>
        </w:sectPr>
      </w:pPr>
    </w:p>
    <w:p>
      <w:pPr>
        <w:spacing w:after="0" w:line="66"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Morgan Stanley</w:t>
      </w:r>
    </w:p>
    <w:p>
      <w:pPr>
        <w:spacing w:after="0" w:line="50" w:lineRule="exact"/>
        <w:rPr>
          <w:sz w:val="24"/>
          <w:szCs w:val="24"/>
          <w:color w:val="auto"/>
        </w:rPr>
      </w:pPr>
    </w:p>
    <w:p>
      <w:pPr>
        <w:sectPr>
          <w:pgSz w:w="11900" w:h="16838" w:orient="portrait"/>
          <w:cols w:equalWidth="0" w:num="2">
            <w:col w:w="7660" w:space="720"/>
            <w:col w:w="2840"/>
          </w:cols>
          <w:pgMar w:left="240" w:top="230" w:right="439" w:bottom="1440" w:gutter="0" w:footer="0" w:header="0"/>
          <w:type w:val="continuous"/>
        </w:sectPr>
      </w:pPr>
    </w:p>
    <w:p>
      <w:pPr>
        <w:ind w:left="2900"/>
        <w:spacing w:after="0"/>
        <w:rPr>
          <w:sz w:val="20"/>
          <w:szCs w:val="20"/>
          <w:color w:val="auto"/>
        </w:rPr>
      </w:pPr>
      <w:r>
        <w:rPr>
          <w:rFonts w:ascii="Arial" w:cs="Arial" w:eastAsia="Arial" w:hAnsi="Arial"/>
          <w:sz w:val="11"/>
          <w:szCs w:val="11"/>
          <w:b w:val="1"/>
          <w:bCs w:val="1"/>
          <w:i w:val="1"/>
          <w:iCs w:val="1"/>
          <w:color w:val="auto"/>
        </w:rPr>
        <w:t>A Stifel Company</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i w:val="1"/>
          <w:iCs w:val="1"/>
          <w:color w:val="auto"/>
        </w:rPr>
        <w:t>Co-Managers</w:t>
      </w:r>
    </w:p>
    <w:p>
      <w:pPr>
        <w:sectPr>
          <w:pgSz w:w="11900" w:h="16838" w:orient="portrait"/>
          <w:cols w:equalWidth="0" w:num="1">
            <w:col w:w="11220"/>
          </w:cols>
          <w:pgMar w:left="240" w:top="230" w:right="439" w:bottom="1440" w:gutter="0" w:footer="0" w:header="0"/>
          <w:type w:val="continuous"/>
        </w:sectPr>
      </w:pPr>
    </w:p>
    <w:p>
      <w:pPr>
        <w:spacing w:after="0" w:line="93"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BB&amp;T Capital Markets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Ladenburg Thalmann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Maxim Group LLC</w:t>
      </w:r>
    </w:p>
    <w:p>
      <w:pPr>
        <w:spacing w:after="0" w:line="98" w:lineRule="exact"/>
        <w:rPr>
          <w:sz w:val="24"/>
          <w:szCs w:val="24"/>
          <w:color w:val="auto"/>
        </w:rPr>
      </w:pPr>
    </w:p>
    <w:p>
      <w:pPr>
        <w:sectPr>
          <w:pgSz w:w="11900" w:h="16838" w:orient="portrait"/>
          <w:cols w:equalWidth="0" w:num="4">
            <w:col w:w="3080" w:space="720"/>
            <w:col w:w="2440" w:space="720"/>
            <w:col w:w="2180" w:space="720"/>
            <w:col w:w="136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3"/>
          <w:szCs w:val="13"/>
          <w:color w:val="auto"/>
        </w:rPr>
        <w:t>The date of this prospectus supplement is September 24,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the accompanying prospectus, any free writing prospectus, and the documents incorporated by reference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the accompanying prospectus, or any free writing prospectus. If anyone provides you with different or additional information, you should not rely on it. We are offering to sell, and seeking offers to buy, securities only in jurisdictions where offers are permitted.</w:t>
      </w:r>
    </w:p>
    <w:p>
      <w:pPr>
        <w:spacing w:after="0" w:line="19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will control. The information contained in this prospectus supplement, the accompanying prospectus, and any free writing prospectus is accurate only as of the date of this prospectus supplement, the accompanying prospectus, or any free writing prospectus, as applicable. Our business, financial condition, results of operations and prospects may have changed since then. We will update these documents to reflect material changes only as required by law.</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96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SPECIFIC TERMS OF THE NOTES AND THE OFFERING</w:t>
              </w:r>
            </w:hyperlink>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SUPPLEMENTAL PROSPECTUS SUMMARY</w:t>
              </w:r>
            </w:hyperlink>
          </w:p>
        </w:tc>
        <w:tc>
          <w:tcPr>
            <w:tcW w:w="51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FORWARD-LOOKING STATEMENTS</w:t>
              </w:r>
            </w:hyperlink>
          </w:p>
        </w:tc>
        <w:tc>
          <w:tcPr>
            <w:tcW w:w="580" w:type="dxa"/>
            <w:vAlign w:val="bottom"/>
            <w:tcBorders>
              <w:top w:val="single" w:sz="8" w:color="0000EE"/>
            </w:tcBorders>
            <w:gridSpan w:val="2"/>
          </w:tcPr>
          <w:p>
            <w:pPr>
              <w:spacing w:after="0"/>
              <w:rPr>
                <w:sz w:val="17"/>
                <w:szCs w:val="17"/>
                <w:color w:val="auto"/>
              </w:rPr>
            </w:pPr>
          </w:p>
        </w:tc>
        <w:tc>
          <w:tcPr>
            <w:tcW w:w="62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RISK FACTORS</w:t>
              </w:r>
            </w:hyperlink>
          </w:p>
        </w:tc>
        <w:tc>
          <w:tcPr>
            <w:tcW w:w="8620" w:type="dxa"/>
            <w:vAlign w:val="bottom"/>
            <w:gridSpan w:val="22"/>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8">
              <w:r>
                <w:rPr>
                  <w:rFonts w:ascii="Arial" w:cs="Arial" w:eastAsia="Arial" w:hAnsi="Arial"/>
                  <w:sz w:val="18"/>
                  <w:szCs w:val="18"/>
                  <w:b w:val="1"/>
                  <w:bCs w:val="1"/>
                  <w:color w:val="0000EE"/>
                  <w:w w:val="95"/>
                </w:rPr>
                <w:t>USE OF PROCEEDS</w:t>
              </w:r>
            </w:hyperlink>
          </w:p>
        </w:tc>
        <w:tc>
          <w:tcPr>
            <w:tcW w:w="8280" w:type="dxa"/>
            <w:vAlign w:val="bottom"/>
            <w:gridSpan w:val="1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CAPITALIZATION</w:t>
              </w:r>
            </w:hyperlink>
          </w:p>
        </w:tc>
        <w:tc>
          <w:tcPr>
            <w:tcW w:w="8380" w:type="dxa"/>
            <w:vAlign w:val="bottom"/>
            <w:gridSpan w:val="17"/>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SENIOR SECURITIES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CERTAIN U.S. FEDERAL INCOME TAX CONSIDERATIONS</w:t>
              </w:r>
            </w:hyperlink>
          </w:p>
        </w:tc>
        <w:tc>
          <w:tcPr>
            <w:tcW w:w="4980" w:type="dxa"/>
            <w:vAlign w:val="bottom"/>
            <w:gridSpan w:val="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8480" w:type="dxa"/>
            <w:vAlign w:val="bottom"/>
            <w:gridSpan w:val="19"/>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MATTERS</w:t>
              </w:r>
            </w:hyperlink>
          </w:p>
        </w:tc>
        <w:tc>
          <w:tcPr>
            <w:tcW w:w="8400" w:type="dxa"/>
            <w:vAlign w:val="bottom"/>
            <w:gridSpan w:val="18"/>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INDEPENDENT REGISTERED PUBLIC ACCOUNTING FIRM/INDEPENDENT AUDITOR</w:t>
              </w:r>
            </w:hyperlink>
          </w:p>
        </w:tc>
        <w:tc>
          <w:tcPr>
            <w:tcW w:w="2620" w:type="dxa"/>
            <w:vAlign w:val="bottom"/>
            <w:gridSpan w:val="2"/>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INCORPORATION BY REFERENCE</w:t>
              </w:r>
            </w:hyperlink>
          </w:p>
        </w:tc>
        <w:tc>
          <w:tcPr>
            <w:tcW w:w="6940" w:type="dxa"/>
            <w:vAlign w:val="bottom"/>
            <w:gridSpan w:val="10"/>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AVAILABLE INFORMATION</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453"/>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4"/>
          </w:tcPr>
          <w:p>
            <w:pPr>
              <w:ind w:left="40"/>
              <w:spacing w:after="0"/>
              <w:rPr>
                <w:sz w:val="20"/>
                <w:szCs w:val="20"/>
                <w:color w:val="auto"/>
              </w:rPr>
            </w:pPr>
            <w:r>
              <w:rPr>
                <w:rFonts w:ascii="Arial" w:cs="Arial" w:eastAsia="Arial" w:hAnsi="Arial"/>
                <w:sz w:val="18"/>
                <w:szCs w:val="18"/>
                <w:b w:val="1"/>
                <w:bCs w:val="1"/>
                <w:color w:val="auto"/>
              </w:rPr>
              <w:t>PROSPECTUS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0" w:type="dxa"/>
            <w:vAlign w:val="bottom"/>
            <w:gridSpan w:val="11"/>
            <w:vMerge w:val="restart"/>
          </w:tcPr>
          <w:p>
            <w:pP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PROSPECTUS SUMMARY</w:t>
              </w:r>
            </w:hyperlink>
          </w:p>
        </w:tc>
        <w:tc>
          <w:tcPr>
            <w:tcW w:w="7760" w:type="dxa"/>
            <w:vAlign w:val="bottom"/>
            <w:gridSpan w:val="13"/>
            <w:vMerge w:val="restart"/>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1"/>
            <w:vMerge w:val="continue"/>
          </w:tcPr>
          <w:p>
            <w:pPr>
              <w:spacing w:after="0"/>
              <w:rPr>
                <w:sz w:val="13"/>
                <w:szCs w:val="13"/>
                <w:color w:val="auto"/>
              </w:rPr>
            </w:pPr>
          </w:p>
        </w:tc>
        <w:tc>
          <w:tcPr>
            <w:tcW w:w="7760" w:type="dxa"/>
            <w:vAlign w:val="bottom"/>
            <w:gridSpan w:val="13"/>
            <w:vMerge w:val="continue"/>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960" w:type="dxa"/>
            <w:vAlign w:val="bottom"/>
            <w:gridSpan w:val="2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FEES AND EXPENSES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71">
              <w:r>
                <w:rPr>
                  <w:rFonts w:ascii="Arial" w:cs="Arial" w:eastAsia="Arial" w:hAnsi="Arial"/>
                  <w:sz w:val="18"/>
                  <w:szCs w:val="18"/>
                  <w:b w:val="1"/>
                  <w:bCs w:val="1"/>
                  <w:color w:val="0000EE"/>
                  <w:w w:val="99"/>
                </w:rPr>
                <w:t>FORWARD-LOOKING STATEMENTS</w:t>
              </w:r>
            </w:hyperlink>
          </w:p>
        </w:tc>
        <w:tc>
          <w:tcPr>
            <w:tcW w:w="6840" w:type="dxa"/>
            <w:vAlign w:val="bottom"/>
            <w:gridSpan w:val="9"/>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73">
              <w:r>
                <w:rPr>
                  <w:rFonts w:ascii="Arial" w:cs="Arial" w:eastAsia="Arial" w:hAnsi="Arial"/>
                  <w:sz w:val="18"/>
                  <w:szCs w:val="18"/>
                  <w:b w:val="1"/>
                  <w:bCs w:val="1"/>
                  <w:color w:val="0000EE"/>
                  <w:w w:val="95"/>
                </w:rPr>
                <w:t>USE OF PROCEEDS</w:t>
              </w:r>
            </w:hyperlink>
          </w:p>
        </w:tc>
        <w:tc>
          <w:tcPr>
            <w:tcW w:w="8280" w:type="dxa"/>
            <w:vAlign w:val="bottom"/>
            <w:gridSpan w:val="1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SELECTED FINANCIAL DATA</w:t>
              </w:r>
            </w:hyperlink>
          </w:p>
        </w:tc>
        <w:tc>
          <w:tcPr>
            <w:tcW w:w="7400" w:type="dxa"/>
            <w:vAlign w:val="bottom"/>
            <w:gridSpan w:val="11"/>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30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SENIOR SECURITIES</w:t>
              </w:r>
            </w:hyperlink>
          </w:p>
        </w:tc>
        <w:tc>
          <w:tcPr>
            <w:tcW w:w="66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PRICE RANGE OF COMMON STOCK</w:t>
              </w:r>
            </w:hyperlink>
          </w:p>
        </w:tc>
        <w:tc>
          <w:tcPr>
            <w:tcW w:w="6800" w:type="dxa"/>
            <w:vAlign w:val="bottom"/>
            <w:gridSpan w:val="8"/>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8"/>
              </w:rPr>
            </w:pPr>
            <w:hyperlink w:anchor="page96">
              <w:r>
                <w:rPr>
                  <w:rFonts w:ascii="Arial" w:cs="Arial" w:eastAsia="Arial" w:hAnsi="Arial"/>
                  <w:sz w:val="18"/>
                  <w:szCs w:val="18"/>
                  <w:b w:val="1"/>
                  <w:bCs w:val="1"/>
                  <w:color w:val="0000EE"/>
                  <w:w w:val="98"/>
                </w:rPr>
                <w:t>SALES OF COMMON STOCK BELOW NET ASSET VALUE</w:t>
              </w:r>
            </w:hyperlink>
          </w:p>
        </w:tc>
        <w:tc>
          <w:tcPr>
            <w:tcW w:w="5080" w:type="dxa"/>
            <w:vAlign w:val="bottom"/>
            <w:gridSpan w:val="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DISTRIBUTIONS</w:t>
              </w:r>
            </w:hyperlink>
          </w:p>
        </w:tc>
        <w:tc>
          <w:tcPr>
            <w:tcW w:w="8520" w:type="dxa"/>
            <w:vAlign w:val="bottom"/>
            <w:gridSpan w:val="20"/>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02">
              <w:r>
                <w:rPr>
                  <w:rFonts w:ascii="Arial" w:cs="Arial" w:eastAsia="Arial" w:hAnsi="Arial"/>
                  <w:sz w:val="18"/>
                  <w:szCs w:val="18"/>
                  <w:b w:val="1"/>
                  <w:bCs w:val="1"/>
                  <w:color w:val="0000EE"/>
                  <w:w w:val="93"/>
                </w:rPr>
                <w:t>BUSINESS</w:t>
              </w:r>
            </w:hyperlink>
          </w:p>
        </w:tc>
        <w:tc>
          <w:tcPr>
            <w:tcW w:w="9080" w:type="dxa"/>
            <w:vAlign w:val="bottom"/>
            <w:gridSpan w:val="2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INVESTMENT OBJECTIVES AND POLICIES</w:t>
              </w:r>
            </w:hyperlink>
          </w:p>
        </w:tc>
        <w:tc>
          <w:tcPr>
            <w:tcW w:w="6220" w:type="dxa"/>
            <w:vAlign w:val="bottom"/>
            <w:gridSpan w:val="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PORTFOLIO COMPANIES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MANAGEMENT</w:t>
              </w:r>
            </w:hyperlink>
          </w:p>
        </w:tc>
        <w:tc>
          <w:tcPr>
            <w:tcW w:w="7760" w:type="dxa"/>
            <w:vAlign w:val="bottom"/>
            <w:gridSpan w:val="1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CONTROL PERSONS AND PRINCIPAL STOCKHOLDERS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40" w:type="dxa"/>
            <w:vAlign w:val="bottom"/>
            <w:gridSpan w:val="12"/>
            <w:vMerge w:val="restart"/>
          </w:tcPr>
          <w:p>
            <w:pPr>
              <w:spacing w:after="0"/>
              <w:rPr>
                <w:rFonts w:ascii="Arial" w:cs="Arial" w:eastAsia="Arial" w:hAnsi="Arial"/>
                <w:sz w:val="18"/>
                <w:szCs w:val="18"/>
                <w:b w:val="1"/>
                <w:bCs w:val="1"/>
                <w:color w:val="0000EE"/>
                <w:w w:val="99"/>
              </w:rPr>
            </w:pPr>
            <w:hyperlink w:anchor="page127">
              <w:r>
                <w:rPr>
                  <w:rFonts w:ascii="Arial" w:cs="Arial" w:eastAsia="Arial" w:hAnsi="Arial"/>
                  <w:sz w:val="18"/>
                  <w:szCs w:val="18"/>
                  <w:b w:val="1"/>
                  <w:bCs w:val="1"/>
                  <w:color w:val="0000EE"/>
                  <w:w w:val="99"/>
                </w:rPr>
                <w:t>CERTAIN RELATIONSHIPS AND TRANSACTIONS</w:t>
              </w:r>
            </w:hyperlink>
          </w:p>
        </w:tc>
        <w:tc>
          <w:tcPr>
            <w:tcW w:w="6340" w:type="dxa"/>
            <w:vAlign w:val="bottom"/>
            <w:gridSpan w:val="8"/>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4240" w:type="dxa"/>
            <w:vAlign w:val="bottom"/>
            <w:tcBorders>
              <w:bottom w:val="single" w:sz="8" w:color="0000EE"/>
            </w:tcBorders>
            <w:gridSpan w:val="12"/>
            <w:vMerge w:val="continue"/>
          </w:tcPr>
          <w:p>
            <w:pPr>
              <w:spacing w:after="0"/>
              <w:rPr>
                <w:sz w:val="13"/>
                <w:szCs w:val="13"/>
                <w:color w:val="auto"/>
              </w:rPr>
            </w:pPr>
          </w:p>
        </w:tc>
        <w:tc>
          <w:tcPr>
            <w:tcW w:w="634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10580" w:type="dxa"/>
            <w:vAlign w:val="bottom"/>
            <w:gridSpan w:val="20"/>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DETERMINATION OF NET ASSET VALUE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DIVIDEND REINVESTMENT PLAN</w:t>
              </w:r>
            </w:hyperlink>
          </w:p>
        </w:tc>
        <w:tc>
          <w:tcPr>
            <w:tcW w:w="580" w:type="dxa"/>
            <w:vAlign w:val="bottom"/>
            <w:tcBorders>
              <w:top w:val="single" w:sz="8" w:color="0000EE"/>
            </w:tcBorders>
            <w:gridSpan w:val="3"/>
          </w:tcPr>
          <w:p>
            <w:pPr>
              <w:spacing w:after="0"/>
              <w:rPr>
                <w:sz w:val="17"/>
                <w:szCs w:val="17"/>
                <w:color w:val="auto"/>
              </w:rPr>
            </w:pPr>
          </w:p>
        </w:tc>
        <w:tc>
          <w:tcPr>
            <w:tcW w:w="704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DESCRIPTION OF OUR CAPITAL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144">
              <w:r>
                <w:rPr>
                  <w:rFonts w:ascii="Arial" w:cs="Arial" w:eastAsia="Arial" w:hAnsi="Arial"/>
                  <w:sz w:val="18"/>
                  <w:szCs w:val="18"/>
                  <w:b w:val="1"/>
                  <w:bCs w:val="1"/>
                  <w:color w:val="0000EE"/>
                  <w:w w:val="99"/>
                </w:rPr>
                <w:t>DESCRIPTION OF OUR PREFERRED STOCK</w:t>
              </w:r>
            </w:hyperlink>
          </w:p>
        </w:tc>
        <w:tc>
          <w:tcPr>
            <w:tcW w:w="6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DESCRIPTION OF OUR WARRANTS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147">
              <w:r>
                <w:rPr>
                  <w:rFonts w:ascii="Arial" w:cs="Arial" w:eastAsia="Arial" w:hAnsi="Arial"/>
                  <w:sz w:val="18"/>
                  <w:szCs w:val="18"/>
                  <w:b w:val="1"/>
                  <w:bCs w:val="1"/>
                  <w:color w:val="0000EE"/>
                  <w:w w:val="99"/>
                </w:rPr>
                <w:t>DESCRIPTION OF OUR SUBSCRIPTION RIGHTS</w:t>
              </w:r>
            </w:hyperlink>
          </w:p>
        </w:tc>
        <w:tc>
          <w:tcPr>
            <w:tcW w:w="64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DESCRIPTION OF OUR DEBT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DESCRIPTION OF OUR UNITS</w:t>
              </w:r>
            </w:hyperlink>
          </w:p>
        </w:tc>
        <w:tc>
          <w:tcPr>
            <w:tcW w:w="69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REGULATION</w:t>
              </w:r>
            </w:hyperlink>
          </w:p>
        </w:tc>
        <w:tc>
          <w:tcPr>
            <w:tcW w:w="80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BROKERAGE ALLOCATIONS AND OTHER PRACTICES</w:t>
              </w:r>
            </w:hyperlink>
          </w:p>
        </w:tc>
        <w:tc>
          <w:tcPr>
            <w:tcW w:w="58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MATERIAL U.S. FEDERAL INCOME TAX CONSIDERATIONS</w:t>
              </w:r>
            </w:hyperlink>
          </w:p>
        </w:tc>
        <w:tc>
          <w:tcPr>
            <w:tcW w:w="54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INCORPORATION OF CERTAIN INFORMATION BY REFERENCE</w:t>
              </w:r>
            </w:hyperlink>
          </w:p>
        </w:tc>
        <w:tc>
          <w:tcPr>
            <w:tcW w:w="50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181">
              <w:r>
                <w:rPr>
                  <w:rFonts w:ascii="Arial" w:cs="Arial" w:eastAsia="Arial" w:hAnsi="Arial"/>
                  <w:sz w:val="18"/>
                  <w:szCs w:val="18"/>
                  <w:b w:val="1"/>
                  <w:bCs w:val="1"/>
                  <w:color w:val="0000EE"/>
                  <w:w w:val="99"/>
                </w:rPr>
                <w:t>SUB-ADMINISTRATOR, CUSTODIAN, TRANSFER AGENT AND TRUSTEE</w:t>
              </w:r>
            </w:hyperlink>
          </w:p>
        </w:tc>
        <w:tc>
          <w:tcPr>
            <w:tcW w:w="43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LEGAL MATTERS</w:t>
              </w:r>
            </w:hyperlink>
          </w:p>
        </w:tc>
        <w:tc>
          <w:tcPr>
            <w:tcW w:w="902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INDEPENDENT REGISTERED PUBLIC ACCOUNTING FIRM/INDEPENDENT AUDITOR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rPr>
            </w:pPr>
            <w:hyperlink w:anchor="page182">
              <w:r>
                <w:rPr>
                  <w:rFonts w:ascii="Arial" w:cs="Arial" w:eastAsia="Arial" w:hAnsi="Arial"/>
                  <w:sz w:val="18"/>
                  <w:szCs w:val="18"/>
                  <w:b w:val="1"/>
                  <w:bCs w:val="1"/>
                  <w:color w:val="0000EE"/>
                </w:rPr>
                <w:t>INDEX TO CONSOLIDATED FINANCIAL STATEMENTS</w:t>
              </w:r>
            </w:hyperlink>
          </w:p>
        </w:tc>
        <w:tc>
          <w:tcPr>
            <w:tcW w:w="2620" w:type="dxa"/>
            <w:vAlign w:val="bottom"/>
            <w:tcBorders>
              <w:top w:val="single" w:sz="8" w:color="0000EE"/>
            </w:tcBorders>
            <w:gridSpan w:val="5"/>
          </w:tcPr>
          <w:p>
            <w:pPr>
              <w:spacing w:after="0"/>
              <w:rPr>
                <w:sz w:val="17"/>
                <w:szCs w:val="17"/>
                <w:color w:val="auto"/>
              </w:rPr>
            </w:pPr>
          </w:p>
        </w:tc>
        <w:tc>
          <w:tcPr>
            <w:tcW w:w="3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253">
              <w:r>
                <w:rPr>
                  <w:rFonts w:ascii="Arial" w:cs="Arial" w:eastAsia="Arial" w:hAnsi="Arial"/>
                  <w:sz w:val="18"/>
                  <w:szCs w:val="18"/>
                  <w:b w:val="1"/>
                  <w:bCs w:val="1"/>
                  <w:color w:val="0000EE"/>
                </w:rPr>
                <w:t>SUPERIOR DIGITAL DISPLAYS HOLDINGS, INC. AND SUBSIDIARIES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80" w:right="240" w:firstLine="426"/>
        <w:spacing w:after="0" w:line="297"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6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Issuer</w:t>
            </w:r>
          </w:p>
        </w:tc>
        <w:tc>
          <w:tcPr>
            <w:tcW w:w="7100" w:type="dxa"/>
            <w:vAlign w:val="bottom"/>
          </w:tcPr>
          <w:p>
            <w:pPr>
              <w:ind w:left="280"/>
              <w:spacing w:after="0"/>
              <w:rPr>
                <w:sz w:val="20"/>
                <w:szCs w:val="20"/>
                <w:color w:val="auto"/>
              </w:rPr>
            </w:pPr>
            <w:r>
              <w:rPr>
                <w:rFonts w:ascii="Arial" w:cs="Arial" w:eastAsia="Arial" w:hAnsi="Arial"/>
                <w:sz w:val="18"/>
                <w:szCs w:val="18"/>
                <w:color w:val="auto"/>
              </w:rPr>
              <w:t>PennantPark Investment Corporation</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7100" w:type="dxa"/>
            <w:vAlign w:val="bottom"/>
          </w:tcPr>
          <w:p>
            <w:pPr>
              <w:ind w:left="280"/>
              <w:spacing w:after="0"/>
              <w:rPr>
                <w:sz w:val="20"/>
                <w:szCs w:val="20"/>
                <w:color w:val="auto"/>
              </w:rPr>
            </w:pPr>
            <w:r>
              <w:rPr>
                <w:rFonts w:ascii="Arial" w:cs="Arial" w:eastAsia="Arial" w:hAnsi="Arial"/>
                <w:sz w:val="18"/>
                <w:szCs w:val="18"/>
                <w:color w:val="auto"/>
              </w:rPr>
              <w:t>5.50% Notes due 2024</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w w:val="99"/>
              </w:rPr>
              <w:t>Initial aggregate principal amount being offered</w:t>
            </w:r>
          </w:p>
        </w:tc>
        <w:tc>
          <w:tcPr>
            <w:tcW w:w="7100" w:type="dxa"/>
            <w:vAlign w:val="bottom"/>
          </w:tcPr>
          <w:p>
            <w:pPr>
              <w:ind w:left="280"/>
              <w:spacing w:after="0"/>
              <w:rPr>
                <w:sz w:val="20"/>
                <w:szCs w:val="20"/>
                <w:color w:val="auto"/>
              </w:rPr>
            </w:pPr>
            <w:r>
              <w:rPr>
                <w:rFonts w:ascii="Arial" w:cs="Arial" w:eastAsia="Arial" w:hAnsi="Arial"/>
                <w:sz w:val="18"/>
                <w:szCs w:val="18"/>
                <w:color w:val="auto"/>
              </w:rPr>
              <w:t>$75,000,000</w:t>
            </w: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Overallotment option</w:t>
            </w:r>
          </w:p>
        </w:tc>
        <w:tc>
          <w:tcPr>
            <w:tcW w:w="7100" w:type="dxa"/>
            <w:vAlign w:val="bottom"/>
          </w:tcPr>
          <w:p>
            <w:pPr>
              <w:ind w:left="280"/>
              <w:spacing w:after="0"/>
              <w:rPr>
                <w:sz w:val="20"/>
                <w:szCs w:val="20"/>
                <w:color w:val="auto"/>
              </w:rPr>
            </w:pPr>
            <w:r>
              <w:rPr>
                <w:rFonts w:ascii="Arial" w:cs="Arial" w:eastAsia="Arial" w:hAnsi="Arial"/>
                <w:sz w:val="18"/>
                <w:szCs w:val="18"/>
                <w:color w:val="auto"/>
                <w:w w:val="95"/>
              </w:rPr>
              <w:t>The underwriters may also purchase from us up to an additional $11.25 million aggregate</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5"/>
              </w:rPr>
              <w:t>principal amount of Notes to cover overallotments, if any, within 30 days of the date of this</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prospectus supplement.</w:t>
            </w: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Issue price</w:t>
            </w:r>
          </w:p>
        </w:tc>
        <w:tc>
          <w:tcPr>
            <w:tcW w:w="7100" w:type="dxa"/>
            <w:vAlign w:val="bottom"/>
          </w:tcPr>
          <w:p>
            <w:pPr>
              <w:ind w:left="280"/>
              <w:spacing w:after="0"/>
              <w:rPr>
                <w:sz w:val="20"/>
                <w:szCs w:val="20"/>
                <w:color w:val="auto"/>
              </w:rPr>
            </w:pPr>
            <w:r>
              <w:rPr>
                <w:rFonts w:ascii="Arial" w:cs="Arial" w:eastAsia="Arial" w:hAnsi="Arial"/>
                <w:sz w:val="18"/>
                <w:szCs w:val="18"/>
                <w:color w:val="auto"/>
                <w:w w:val="97"/>
              </w:rPr>
              <w:t>$25.00, subject to variable price reoffer. The underwriters propose to offer the Notes for</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sale, from time to time, in one or more negotiated transactions, at prices that may be</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4"/>
              </w:rPr>
              <w:t>different than par. These sales may occur at market prices prevailing at the time of sale, at</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8"/>
              </w:rPr>
              <w:t>prices related to such prevailing market prices or at prices negotiated by the joint book-</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running managers or with approval from the joint book-running managers.</w:t>
            </w: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Principal payable at maturity</w:t>
            </w:r>
          </w:p>
        </w:tc>
        <w:tc>
          <w:tcPr>
            <w:tcW w:w="7100" w:type="dxa"/>
            <w:vAlign w:val="bottom"/>
          </w:tcPr>
          <w:p>
            <w:pPr>
              <w:ind w:left="280"/>
              <w:spacing w:after="0"/>
              <w:rPr>
                <w:sz w:val="20"/>
                <w:szCs w:val="20"/>
                <w:color w:val="auto"/>
              </w:rPr>
            </w:pPr>
            <w:r>
              <w:rPr>
                <w:rFonts w:ascii="Arial" w:cs="Arial" w:eastAsia="Arial" w:hAnsi="Arial"/>
                <w:sz w:val="18"/>
                <w:szCs w:val="18"/>
                <w:color w:val="auto"/>
                <w:w w:val="94"/>
              </w:rPr>
              <w:t>100% of the aggregate principal amount; the principal amount of each Note will be payable</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5"/>
              </w:rPr>
              <w:t>on its stated maturity date at the office of the Paying Agent, Registrar and Transfer Agent</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for the Notes or at such other office in New York City as we may designate.</w:t>
            </w:r>
          </w:p>
        </w:tc>
      </w:tr>
      <w:tr>
        <w:trPr>
          <w:trHeight w:val="338"/>
        </w:trPr>
        <w:tc>
          <w:tcPr>
            <w:tcW w:w="3940" w:type="dxa"/>
            <w:vAlign w:val="bottom"/>
          </w:tcPr>
          <w:p>
            <w:pPr>
              <w:ind w:left="180"/>
              <w:spacing w:after="0"/>
              <w:rPr>
                <w:sz w:val="20"/>
                <w:szCs w:val="20"/>
                <w:color w:val="auto"/>
              </w:rPr>
            </w:pPr>
            <w:r>
              <w:rPr>
                <w:rFonts w:ascii="Arial" w:cs="Arial" w:eastAsia="Arial" w:hAnsi="Arial"/>
                <w:sz w:val="18"/>
                <w:szCs w:val="18"/>
                <w:color w:val="auto"/>
              </w:rPr>
              <w:t>Type of Note</w:t>
            </w:r>
          </w:p>
        </w:tc>
        <w:tc>
          <w:tcPr>
            <w:tcW w:w="7100" w:type="dxa"/>
            <w:vAlign w:val="bottom"/>
          </w:tcPr>
          <w:p>
            <w:pPr>
              <w:ind w:left="280"/>
              <w:spacing w:after="0"/>
              <w:rPr>
                <w:sz w:val="20"/>
                <w:szCs w:val="20"/>
                <w:color w:val="auto"/>
              </w:rPr>
            </w:pPr>
            <w:r>
              <w:rPr>
                <w:rFonts w:ascii="Arial" w:cs="Arial" w:eastAsia="Arial" w:hAnsi="Arial"/>
                <w:sz w:val="18"/>
                <w:szCs w:val="18"/>
                <w:color w:val="auto"/>
              </w:rPr>
              <w:t>Fixed rate note</w:t>
            </w: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Listing</w:t>
            </w:r>
          </w:p>
        </w:tc>
        <w:tc>
          <w:tcPr>
            <w:tcW w:w="7100" w:type="dxa"/>
            <w:vAlign w:val="bottom"/>
          </w:tcPr>
          <w:p>
            <w:pPr>
              <w:ind w:left="280"/>
              <w:spacing w:after="0"/>
              <w:rPr>
                <w:sz w:val="20"/>
                <w:szCs w:val="20"/>
                <w:color w:val="auto"/>
              </w:rPr>
            </w:pPr>
            <w:r>
              <w:rPr>
                <w:rFonts w:ascii="Arial" w:cs="Arial" w:eastAsia="Arial" w:hAnsi="Arial"/>
                <w:sz w:val="18"/>
                <w:szCs w:val="18"/>
                <w:color w:val="auto"/>
              </w:rPr>
              <w:t>We intend to list the Notes on the Nasdaq Global Select Market within 30 days of the</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original issue date under the trading symbol “PNNTG.”</w:t>
            </w:r>
          </w:p>
        </w:tc>
      </w:tr>
      <w:tr>
        <w:trPr>
          <w:trHeight w:val="338"/>
        </w:trPr>
        <w:tc>
          <w:tcPr>
            <w:tcW w:w="39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100" w:type="dxa"/>
            <w:vAlign w:val="bottom"/>
          </w:tcPr>
          <w:p>
            <w:pPr>
              <w:ind w:left="280"/>
              <w:spacing w:after="0"/>
              <w:rPr>
                <w:sz w:val="20"/>
                <w:szCs w:val="20"/>
                <w:color w:val="auto"/>
              </w:rPr>
            </w:pPr>
            <w:r>
              <w:rPr>
                <w:rFonts w:ascii="Arial" w:cs="Arial" w:eastAsia="Arial" w:hAnsi="Arial"/>
                <w:sz w:val="18"/>
                <w:szCs w:val="18"/>
                <w:color w:val="auto"/>
              </w:rPr>
              <w:t>5.50% per year</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Day count basis</w:t>
            </w:r>
          </w:p>
        </w:tc>
        <w:tc>
          <w:tcPr>
            <w:tcW w:w="7100" w:type="dxa"/>
            <w:vAlign w:val="bottom"/>
          </w:tcPr>
          <w:p>
            <w:pPr>
              <w:ind w:left="280"/>
              <w:spacing w:after="0"/>
              <w:rPr>
                <w:sz w:val="20"/>
                <w:szCs w:val="20"/>
                <w:color w:val="auto"/>
              </w:rPr>
            </w:pPr>
            <w:r>
              <w:rPr>
                <w:rFonts w:ascii="Arial" w:cs="Arial" w:eastAsia="Arial" w:hAnsi="Arial"/>
                <w:sz w:val="18"/>
                <w:szCs w:val="18"/>
                <w:color w:val="auto"/>
              </w:rPr>
              <w:t>360-day year of twelve 30-day months</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100" w:type="dxa"/>
            <w:vAlign w:val="bottom"/>
          </w:tcPr>
          <w:p>
            <w:pPr>
              <w:ind w:left="280"/>
              <w:spacing w:after="0"/>
              <w:rPr>
                <w:sz w:val="20"/>
                <w:szCs w:val="20"/>
                <w:color w:val="auto"/>
              </w:rPr>
            </w:pPr>
            <w:r>
              <w:rPr>
                <w:rFonts w:ascii="Arial" w:cs="Arial" w:eastAsia="Arial" w:hAnsi="Arial"/>
                <w:sz w:val="18"/>
                <w:szCs w:val="18"/>
                <w:color w:val="auto"/>
              </w:rPr>
              <w:t>September 27, 2019</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Stated maturity date</w:t>
            </w:r>
          </w:p>
        </w:tc>
        <w:tc>
          <w:tcPr>
            <w:tcW w:w="7100" w:type="dxa"/>
            <w:vAlign w:val="bottom"/>
          </w:tcPr>
          <w:p>
            <w:pPr>
              <w:ind w:left="280"/>
              <w:spacing w:after="0"/>
              <w:rPr>
                <w:sz w:val="20"/>
                <w:szCs w:val="20"/>
                <w:color w:val="auto"/>
              </w:rPr>
            </w:pPr>
            <w:r>
              <w:rPr>
                <w:rFonts w:ascii="Arial" w:cs="Arial" w:eastAsia="Arial" w:hAnsi="Arial"/>
                <w:sz w:val="18"/>
                <w:szCs w:val="18"/>
                <w:color w:val="auto"/>
              </w:rPr>
              <w:t>October 15, 2024</w:t>
            </w: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Date interest starts accruing</w:t>
            </w:r>
          </w:p>
        </w:tc>
        <w:tc>
          <w:tcPr>
            <w:tcW w:w="7100" w:type="dxa"/>
            <w:vAlign w:val="bottom"/>
          </w:tcPr>
          <w:p>
            <w:pPr>
              <w:ind w:left="280"/>
              <w:spacing w:after="0"/>
              <w:rPr>
                <w:sz w:val="20"/>
                <w:szCs w:val="20"/>
                <w:color w:val="auto"/>
              </w:rPr>
            </w:pPr>
            <w:r>
              <w:rPr>
                <w:rFonts w:ascii="Arial" w:cs="Arial" w:eastAsia="Arial" w:hAnsi="Arial"/>
                <w:sz w:val="18"/>
                <w:szCs w:val="18"/>
                <w:color w:val="auto"/>
              </w:rPr>
              <w:t>September 27, 2019</w:t>
            </w: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100" w:type="dxa"/>
            <w:vAlign w:val="bottom"/>
          </w:tcPr>
          <w:p>
            <w:pPr>
              <w:ind w:left="280"/>
              <w:spacing w:after="0"/>
              <w:rPr>
                <w:sz w:val="20"/>
                <w:szCs w:val="20"/>
                <w:color w:val="auto"/>
              </w:rPr>
            </w:pPr>
            <w:r>
              <w:rPr>
                <w:rFonts w:ascii="Arial" w:cs="Arial" w:eastAsia="Arial" w:hAnsi="Arial"/>
                <w:sz w:val="18"/>
                <w:szCs w:val="18"/>
                <w:color w:val="auto"/>
                <w:w w:val="95"/>
              </w:rPr>
              <w:t>Every January 15, April 15, July 15 and October 15, commencing January 15, 2020. If an</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4"/>
              </w:rPr>
              <w:t>interest payment date is a non-business day, the applicable interest payment will be made</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4"/>
              </w:rPr>
              <w:t>on the next business day, and no additional interest will accrue as a result of such delayed</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payment.</w:t>
            </w: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Interest periods</w:t>
            </w:r>
          </w:p>
        </w:tc>
        <w:tc>
          <w:tcPr>
            <w:tcW w:w="7100" w:type="dxa"/>
            <w:vAlign w:val="bottom"/>
          </w:tcPr>
          <w:p>
            <w:pPr>
              <w:ind w:left="280"/>
              <w:spacing w:after="0"/>
              <w:rPr>
                <w:sz w:val="20"/>
                <w:szCs w:val="20"/>
                <w:color w:val="auto"/>
              </w:rPr>
            </w:pPr>
            <w:r>
              <w:rPr>
                <w:rFonts w:ascii="Arial" w:cs="Arial" w:eastAsia="Arial" w:hAnsi="Arial"/>
                <w:sz w:val="18"/>
                <w:szCs w:val="18"/>
                <w:color w:val="auto"/>
                <w:w w:val="95"/>
              </w:rPr>
              <w:t>The initial interest period will be the period from and including September 27, 2019 to, but</w:t>
            </w:r>
          </w:p>
        </w:tc>
      </w:tr>
      <w:tr>
        <w:trPr>
          <w:trHeight w:val="216"/>
        </w:trPr>
        <w:tc>
          <w:tcPr>
            <w:tcW w:w="394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30"/>
        </w:trPr>
        <w:tc>
          <w:tcPr>
            <w:tcW w:w="3940" w:type="dxa"/>
            <w:vAlign w:val="bottom"/>
          </w:tcPr>
          <w:p>
            <w:pPr>
              <w:spacing w:after="0"/>
              <w:rPr>
                <w:sz w:val="20"/>
                <w:szCs w:val="20"/>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periods from and</w:t>
            </w:r>
          </w:p>
        </w:tc>
      </w:tr>
      <w:tr>
        <w:trPr>
          <w:trHeight w:val="240"/>
        </w:trPr>
        <w:tc>
          <w:tcPr>
            <w:tcW w:w="394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spacing w:after="0"/>
              <w:rPr>
                <w:sz w:val="20"/>
                <w:szCs w:val="20"/>
                <w:color w:val="auto"/>
              </w:rPr>
            </w:pPr>
          </w:p>
        </w:tc>
      </w:tr>
      <w:tr>
        <w:trPr>
          <w:trHeight w:val="604"/>
        </w:trPr>
        <w:tc>
          <w:tcPr>
            <w:tcW w:w="3940" w:type="dxa"/>
            <w:vAlign w:val="bottom"/>
          </w:tcPr>
          <w:p>
            <w:pPr>
              <w:spacing w:after="0"/>
              <w:rPr>
                <w:sz w:val="24"/>
                <w:szCs w:val="24"/>
                <w:color w:val="auto"/>
              </w:rPr>
            </w:pPr>
          </w:p>
        </w:tc>
        <w:tc>
          <w:tcPr>
            <w:tcW w:w="7100" w:type="dxa"/>
            <w:vAlign w:val="bottom"/>
          </w:tcPr>
          <w:p>
            <w:pPr>
              <w:ind w:left="144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8200" w:type="dxa"/>
            <w:vAlign w:val="bottom"/>
            <w:gridSpan w:val="2"/>
          </w:tcPr>
          <w:p>
            <w:pPr>
              <w:ind w:left="8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45"/>
        </w:trPr>
        <w:tc>
          <w:tcPr>
            <w:tcW w:w="2420" w:type="dxa"/>
            <w:vAlign w:val="bottom"/>
          </w:tcPr>
          <w:p>
            <w:pPr>
              <w:spacing w:after="0"/>
              <w:rPr>
                <w:sz w:val="24"/>
                <w:szCs w:val="24"/>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1"/>
              </w:rPr>
              <w:t>including an interest payment date to, but excluding, the next interest payment date or the</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stated maturity date, as the case may be.</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w w:val="92"/>
              </w:rPr>
              <w:t>Regular record dates for interest</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3"/>
              </w:rPr>
              <w:t>Every January 3, April 3, July 3 and October 3, commencing January 3, 2020; if a record</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1"/>
              </w:rPr>
              <w:t>date for interest is a non-business day, then that record date will be the next business day.</w:t>
            </w:r>
          </w:p>
        </w:tc>
      </w:tr>
      <w:tr>
        <w:trPr>
          <w:trHeight w:val="338"/>
        </w:trPr>
        <w:tc>
          <w:tcPr>
            <w:tcW w:w="2420" w:type="dxa"/>
            <w:vAlign w:val="bottom"/>
          </w:tcPr>
          <w:p>
            <w:pPr>
              <w:spacing w:after="0"/>
              <w:rPr>
                <w:sz w:val="20"/>
                <w:szCs w:val="20"/>
                <w:color w:val="auto"/>
              </w:rPr>
            </w:pPr>
            <w:r>
              <w:rPr>
                <w:rFonts w:ascii="Arial" w:cs="Arial" w:eastAsia="Arial" w:hAnsi="Arial"/>
                <w:sz w:val="18"/>
                <w:szCs w:val="18"/>
                <w:color w:val="auto"/>
              </w:rPr>
              <w:t>Specified currency</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U.S. Dollars</w:t>
            </w:r>
          </w:p>
        </w:tc>
      </w:tr>
      <w:tr>
        <w:trPr>
          <w:trHeight w:val="351"/>
        </w:trPr>
        <w:tc>
          <w:tcPr>
            <w:tcW w:w="2420" w:type="dxa"/>
            <w:vAlign w:val="bottom"/>
          </w:tcPr>
          <w:p>
            <w:pPr>
              <w:spacing w:after="0"/>
              <w:rPr>
                <w:sz w:val="20"/>
                <w:szCs w:val="20"/>
                <w:color w:val="auto"/>
              </w:rPr>
            </w:pPr>
            <w:r>
              <w:rPr>
                <w:rFonts w:ascii="Arial" w:cs="Arial" w:eastAsia="Arial" w:hAnsi="Arial"/>
                <w:sz w:val="18"/>
                <w:szCs w:val="18"/>
                <w:color w:val="auto"/>
              </w:rPr>
              <w:t>Place of payment</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 City of New York</w:t>
            </w:r>
          </w:p>
        </w:tc>
      </w:tr>
      <w:tr>
        <w:trPr>
          <w:trHeight w:val="351"/>
        </w:trPr>
        <w:tc>
          <w:tcPr>
            <w:tcW w:w="2420" w:type="dxa"/>
            <w:vAlign w:val="bottom"/>
          </w:tcPr>
          <w:p>
            <w:pPr>
              <w:spacing w:after="0"/>
              <w:rPr>
                <w:sz w:val="20"/>
                <w:szCs w:val="20"/>
                <w:color w:val="auto"/>
              </w:rPr>
            </w:pPr>
            <w:r>
              <w:rPr>
                <w:rFonts w:ascii="Arial" w:cs="Arial" w:eastAsia="Arial" w:hAnsi="Arial"/>
                <w:sz w:val="18"/>
                <w:szCs w:val="18"/>
                <w:color w:val="auto"/>
              </w:rPr>
              <w:t>Ranking of Notes</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351"/>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i w:val="1"/>
                <w:iCs w:val="1"/>
                <w:color w:val="auto"/>
                <w:w w:val="96"/>
              </w:rPr>
              <w:t xml:space="preserve">pari passu </w:t>
            </w:r>
            <w:r>
              <w:rPr>
                <w:rFonts w:ascii="Arial" w:cs="Arial" w:eastAsia="Arial" w:hAnsi="Arial"/>
                <w:sz w:val="18"/>
                <w:szCs w:val="18"/>
                <w:color w:val="auto"/>
                <w:w w:val="96"/>
              </w:rPr>
              <w:t>in right of payment with future unsecured unsubordinated indebtedness;</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0"/>
              </w:rPr>
              <w:t>senior to any of our future indebtedness that expressly states it is subordinated in right of</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payment to the Notes;</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6"/>
              </w:rPr>
              <w:t>effectively subordinated in right of payment to all of our existing and future secured</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indebtedness (including indebtedness that is initially unsecured, but to which we</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7"/>
              </w:rPr>
              <w:t>subsequently grant security), to the extent of the value of the assets securing such</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indebtedness, including without limitation, the approximately $382.6 million (including</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a $12.0 million temporary draw) of borrowings outstanding under the SunTrust Credit</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1"/>
              </w:rPr>
              <w:t>Facility, to the extent of the value of the assets securing the SunTrust Credit Facility, as</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of June 30, 2019; and</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1"/>
              </w:rPr>
              <w:t>structurally subordinated to all existing and future indebtedness and other obligations of</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any of our subsidiaries, financing vehicles or similar facilities, including our SBIC</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5"/>
              </w:rPr>
              <w:t>Funds’ SBA debentures of $150.0 million of borrowings outstanding and Funding I’s</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7"/>
              </w:rPr>
              <w:t>$178.0 million of borrowings outstanding under the BNP Credit Facility, each as of</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June 30, 2019.</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Denominations</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4"/>
              </w:rPr>
              <w:t>We will issue the Notes in denominations of $25 and integral multiples of $25 in excess</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thereof.</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Business day</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6"/>
              </w:rPr>
              <w:t>Each Monday, Tuesday, Wednesday, Thursday and Friday that is not a day on which</w:t>
            </w:r>
          </w:p>
        </w:tc>
      </w:tr>
      <w:tr>
        <w:trPr>
          <w:trHeight w:val="216"/>
        </w:trPr>
        <w:tc>
          <w:tcPr>
            <w:tcW w:w="2420" w:type="dxa"/>
            <w:vAlign w:val="bottom"/>
          </w:tcPr>
          <w:p>
            <w:pPr>
              <w:spacing w:after="0"/>
              <w:rPr>
                <w:sz w:val="18"/>
                <w:szCs w:val="18"/>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banking institutions in The City of New York are authorized or required by law or</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executive order to close.</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Optional redemption</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5"/>
              </w:rPr>
              <w:t>The Notes may be redeemed in whole or in part at any time or from time to time at our</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3"/>
              </w:rPr>
              <w:t>option on or after October 15, 2021, upon not less than 30 days’ nor more than 60 days’</w:t>
            </w:r>
          </w:p>
        </w:tc>
      </w:tr>
    </w:tbl>
    <w:p>
      <w:pPr>
        <w:ind w:left="4420"/>
        <w:spacing w:after="0" w:line="254" w:lineRule="auto"/>
        <w:rPr>
          <w:sz w:val="20"/>
          <w:szCs w:val="20"/>
          <w:color w:val="auto"/>
        </w:rPr>
      </w:pPr>
      <w:r>
        <w:rPr>
          <w:rFonts w:ascii="Arial" w:cs="Arial" w:eastAsia="Arial" w:hAnsi="Arial"/>
          <w:sz w:val="18"/>
          <w:szCs w:val="18"/>
          <w:color w:val="auto"/>
        </w:rPr>
        <w:t>written notice by mail prior to the date fixed for redemption thereof, at a redemption price of 100% of the outstanding principal amount thereof plus accrued and unpaid interest payments otherwise payable for the then-current quarterly interest period accrued to but not including the date fixed for redemption.</w:t>
      </w:r>
    </w:p>
    <w:p>
      <w:pPr>
        <w:spacing w:after="0" w:line="95" w:lineRule="exact"/>
        <w:rPr>
          <w:sz w:val="20"/>
          <w:szCs w:val="20"/>
          <w:color w:val="auto"/>
        </w:rPr>
      </w:pPr>
    </w:p>
    <w:p>
      <w:pPr>
        <w:ind w:left="4420" w:right="100"/>
        <w:spacing w:after="0" w:line="277" w:lineRule="auto"/>
        <w:rPr>
          <w:sz w:val="20"/>
          <w:szCs w:val="20"/>
          <w:color w:val="auto"/>
        </w:rPr>
      </w:pPr>
      <w:r>
        <w:rPr>
          <w:rFonts w:ascii="Arial" w:cs="Arial" w:eastAsia="Arial" w:hAnsi="Arial"/>
          <w:sz w:val="18"/>
          <w:szCs w:val="18"/>
          <w:color w:val="auto"/>
        </w:rPr>
        <w:t>You may be prevented from exchanging or transferring the Notes when they are subject to redemption. In case any Notes are to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1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 (continued)</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9"/>
              </w:rPr>
              <w:t>redeemed in part only, the redemption notice will provide that, upon surrender of such</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4"/>
              </w:rPr>
              <w:t>Note, you will receive, without a charge, a new Note or Notes of authorized denominations</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representing the principal amount of your remaining unredeemed Notes.</w:t>
            </w:r>
          </w:p>
        </w:tc>
      </w:tr>
      <w:tr>
        <w:trPr>
          <w:trHeight w:val="323"/>
        </w:trPr>
        <w:tc>
          <w:tcPr>
            <w:tcW w:w="4100" w:type="dxa"/>
            <w:vAlign w:val="bottom"/>
          </w:tcPr>
          <w:p>
            <w:pPr>
              <w:spacing w:after="0"/>
              <w:rPr>
                <w:sz w:val="24"/>
                <w:szCs w:val="24"/>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6"/>
              </w:rPr>
              <w:t>Any exercise of our option to redeem the Notes will be done in compliance with the 1940</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Act and the related rules, regulations and interpretations, to the extent applicable.</w:t>
            </w:r>
          </w:p>
        </w:tc>
      </w:tr>
      <w:tr>
        <w:trPr>
          <w:trHeight w:val="323"/>
        </w:trPr>
        <w:tc>
          <w:tcPr>
            <w:tcW w:w="4100" w:type="dxa"/>
            <w:vAlign w:val="bottom"/>
          </w:tcPr>
          <w:p>
            <w:pPr>
              <w:spacing w:after="0"/>
              <w:rPr>
                <w:sz w:val="24"/>
                <w:szCs w:val="24"/>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If we redeem only some of the Notes, the Trustee or the Depositary Trust Company, or</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7"/>
              </w:rPr>
              <w:t>DTC, as applicable, will determine the method for selection of the particular Notes to be</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redeemed, in accordance with the 1940 Act, to the extent applicable. Unless we default in</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4"/>
              </w:rPr>
              <w:t>payment of the redemption price, on and after the date of redemption interest will cease to</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accrue on the Notes called for redemption.</w:t>
            </w:r>
          </w:p>
        </w:tc>
      </w:tr>
      <w:tr>
        <w:trPr>
          <w:trHeight w:val="338"/>
        </w:trPr>
        <w:tc>
          <w:tcPr>
            <w:tcW w:w="410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will not be subject to any sinking fund.</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Repayment at option of Holders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Holders will not have the option to have the Notes repaid prior to the stated maturity date.</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Defeasance</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are subject to defeasance by us.</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are subject to covenant defeasance by us.</w:t>
            </w:r>
          </w:p>
        </w:tc>
      </w:tr>
      <w:tr>
        <w:trPr>
          <w:trHeight w:val="337"/>
        </w:trPr>
        <w:tc>
          <w:tcPr>
            <w:tcW w:w="4100" w:type="dxa"/>
            <w:vAlign w:val="bottom"/>
          </w:tcPr>
          <w:p>
            <w:pPr>
              <w:ind w:left="180"/>
              <w:spacing w:after="0"/>
              <w:rPr>
                <w:sz w:val="20"/>
                <w:szCs w:val="20"/>
                <w:color w:val="auto"/>
              </w:rPr>
            </w:pPr>
            <w:r>
              <w:rPr>
                <w:rFonts w:ascii="Arial" w:cs="Arial" w:eastAsia="Arial" w:hAnsi="Arial"/>
                <w:sz w:val="18"/>
                <w:szCs w:val="18"/>
                <w:color w:val="auto"/>
              </w:rPr>
              <w:t>Form of Notes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interests in the Notes through either DTC, if they are a participant, or indirectly through</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organizations that are participants in DTC.</w:t>
            </w:r>
          </w:p>
        </w:tc>
      </w:tr>
      <w:tr>
        <w:trPr>
          <w:trHeight w:val="338"/>
        </w:trPr>
        <w:tc>
          <w:tcPr>
            <w:tcW w:w="4100" w:type="dxa"/>
            <w:vAlign w:val="bottom"/>
          </w:tcPr>
          <w:p>
            <w:pPr>
              <w:ind w:left="180"/>
              <w:spacing w:after="0"/>
              <w:rPr>
                <w:sz w:val="20"/>
                <w:szCs w:val="20"/>
                <w:color w:val="auto"/>
              </w:rPr>
            </w:pPr>
            <w:r>
              <w:rPr>
                <w:rFonts w:ascii="Arial" w:cs="Arial" w:eastAsia="Arial" w:hAnsi="Arial"/>
                <w:sz w:val="18"/>
                <w:szCs w:val="18"/>
                <w:color w:val="auto"/>
                <w:w w:val="92"/>
              </w:rPr>
              <w:t>Trustee, Paying Agent, Registrar and Transfer Agent</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American Stock Transfer &amp; Trust Company, LLC</w:t>
            </w:r>
          </w:p>
        </w:tc>
      </w:tr>
      <w:tr>
        <w:trPr>
          <w:trHeight w:val="337"/>
        </w:trPr>
        <w:tc>
          <w:tcPr>
            <w:tcW w:w="4100" w:type="dxa"/>
            <w:vAlign w:val="bottom"/>
          </w:tcPr>
          <w:p>
            <w:pPr>
              <w:ind w:left="180"/>
              <w:spacing w:after="0"/>
              <w:rPr>
                <w:sz w:val="20"/>
                <w:szCs w:val="20"/>
                <w:color w:val="auto"/>
              </w:rPr>
            </w:pPr>
            <w:r>
              <w:rPr>
                <w:rFonts w:ascii="Arial" w:cs="Arial" w:eastAsia="Arial" w:hAnsi="Arial"/>
                <w:sz w:val="18"/>
                <w:szCs w:val="18"/>
                <w:color w:val="auto"/>
              </w:rPr>
              <w:t>Other covenants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410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680" w:type="dxa"/>
            <w:vAlign w:val="bottom"/>
          </w:tcPr>
          <w:p>
            <w:pPr>
              <w:ind w:left="60"/>
              <w:spacing w:after="0"/>
              <w:rPr>
                <w:sz w:val="20"/>
                <w:szCs w:val="20"/>
                <w:color w:val="auto"/>
              </w:rPr>
            </w:pPr>
            <w:r>
              <w:rPr>
                <w:rFonts w:ascii="Arial" w:cs="Arial" w:eastAsia="Arial" w:hAnsi="Arial"/>
                <w:sz w:val="18"/>
                <w:szCs w:val="18"/>
                <w:color w:val="auto"/>
                <w:w w:val="95"/>
              </w:rPr>
              <w:t>We agree that for the period of time during which the Notes are outstanding, we will not</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w w:val="98"/>
              </w:rPr>
              <w:t>violate Section 18(a)(1)(A) of the 1940 Act as modified by Section 61(a)(1) and (2) of</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the 1940 Act or any successor provisions, as such obligations may be amended or</w:t>
            </w:r>
          </w:p>
        </w:tc>
      </w:tr>
      <w:tr>
        <w:trPr>
          <w:trHeight w:val="230"/>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superseded, giving effect to any exemptive relief granted to us by the SEC.</w:t>
            </w:r>
          </w:p>
        </w:tc>
      </w:tr>
      <w:tr>
        <w:trPr>
          <w:trHeight w:val="323"/>
        </w:trPr>
        <w:tc>
          <w:tcPr>
            <w:tcW w:w="410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680" w:type="dxa"/>
            <w:vAlign w:val="bottom"/>
          </w:tcPr>
          <w:p>
            <w:pPr>
              <w:ind w:left="60"/>
              <w:spacing w:after="0"/>
              <w:rPr>
                <w:sz w:val="20"/>
                <w:szCs w:val="20"/>
                <w:color w:val="auto"/>
              </w:rPr>
            </w:pPr>
            <w:r>
              <w:rPr>
                <w:rFonts w:ascii="Arial" w:cs="Arial" w:eastAsia="Arial" w:hAnsi="Arial"/>
                <w:sz w:val="18"/>
                <w:szCs w:val="18"/>
                <w:color w:val="auto"/>
                <w:w w:val="96"/>
              </w:rPr>
              <w:t>If, at any time, we are not subject to the reporting requirements of Sections 13 or 15(d)</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w w:val="97"/>
              </w:rPr>
              <w:t>of the Securities Exchange Act of 1934, as amended, or the Exchange Act, to file any</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periodic reports with the SEC, we agree to publish on our website and to furnish to</w:t>
            </w:r>
          </w:p>
        </w:tc>
      </w:tr>
      <w:tr>
        <w:trPr>
          <w:trHeight w:val="230"/>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holders of the Notes and the Trustee, for the period of time during which</w:t>
            </w:r>
          </w:p>
        </w:tc>
      </w:tr>
      <w:tr>
        <w:trPr>
          <w:trHeight w:val="240"/>
        </w:trPr>
        <w:tc>
          <w:tcPr>
            <w:tcW w:w="4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tcPr>
          <w:p>
            <w:pPr>
              <w:ind w:left="10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8740" w:type="dxa"/>
            <w:vAlign w:val="bottom"/>
            <w:gridSpan w:val="2"/>
          </w:tcPr>
          <w:p>
            <w:pPr>
              <w:ind w:left="62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45"/>
        </w:trPr>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1"/>
              </w:rPr>
              <w:t>the Notes are outstanding, our audited annual consolidated financial statements, within</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1"/>
              </w:rPr>
              <w:t>90 days of our fiscal year end, and unaudited interim consolidated financial statements,</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4"/>
              </w:rPr>
              <w:t>within 45 days of our fiscal quarter end (other than our fourth fiscal quarter). All such</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9"/>
              </w:rPr>
              <w:t>financial statements will be prepared, in all material respects, in accordance with</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applicable United States generally accepted accounting principles, or GAAP.</w:t>
            </w:r>
          </w:p>
        </w:tc>
      </w:tr>
      <w:tr>
        <w:trPr>
          <w:trHeight w:val="338"/>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rPr>
              <w:t>The lien covenant included in the form of indenture will not apply to the Notes.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2"/>
              </w:rPr>
              <w:t>We agree to use our best efforts to (i) effect, within 30 days of issuance and delivery of</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1"/>
              </w:rPr>
              <w:t>the Notes, the listing of the Notes on the Nasdaq Global Select Market and (ii) maintain</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the listing of the Notes on the Nasdaq Global Select Market.</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4"/>
              </w:rPr>
              <w:t>Notes shall be eligible for the Direct Registration System service offered by DTC and</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may be represented in the form of uncertificated or certificated notes, provided,</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however, that any holder of certificated Notes and, upon request, every holder of</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2"/>
              </w:rPr>
              <w:t>uncertificated Notes shall be entitled to have a certificate for Notes signed by, or in the</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name of, the Company.</w:t>
            </w:r>
          </w:p>
        </w:tc>
      </w:tr>
      <w:tr>
        <w:trPr>
          <w:trHeight w:val="323"/>
        </w:trPr>
        <w:tc>
          <w:tcPr>
            <w:tcW w:w="1880" w:type="dxa"/>
            <w:vAlign w:val="bottom"/>
          </w:tcPr>
          <w:p>
            <w:pPr>
              <w:spacing w:after="0"/>
              <w:rPr>
                <w:sz w:val="20"/>
                <w:szCs w:val="20"/>
                <w:color w:val="auto"/>
              </w:rPr>
            </w:pPr>
            <w:r>
              <w:rPr>
                <w:rFonts w:ascii="Arial" w:cs="Arial" w:eastAsia="Arial" w:hAnsi="Arial"/>
                <w:sz w:val="18"/>
                <w:szCs w:val="18"/>
                <w:color w:val="auto"/>
              </w:rPr>
              <w:t>Events of Default</w:t>
            </w: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7"/>
              </w:rPr>
              <w:t>You will have rights if an Event of Default occurs with respect to the Notes and is not</w:t>
            </w:r>
          </w:p>
        </w:tc>
      </w:tr>
      <w:tr>
        <w:trPr>
          <w:trHeight w:val="230"/>
        </w:trPr>
        <w:tc>
          <w:tcPr>
            <w:tcW w:w="1880" w:type="dxa"/>
            <w:vAlign w:val="bottom"/>
          </w:tcPr>
          <w:p>
            <w:pPr>
              <w:spacing w:after="0"/>
              <w:rPr>
                <w:sz w:val="20"/>
                <w:szCs w:val="20"/>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rPr>
              <w:t>cured.</w:t>
            </w:r>
          </w:p>
        </w:tc>
      </w:tr>
      <w:tr>
        <w:trPr>
          <w:trHeight w:val="338"/>
        </w:trPr>
        <w:tc>
          <w:tcPr>
            <w:tcW w:w="1880" w:type="dxa"/>
            <w:vAlign w:val="bottom"/>
          </w:tcPr>
          <w:p>
            <w:pPr>
              <w:spacing w:after="0"/>
              <w:rPr>
                <w:sz w:val="24"/>
                <w:szCs w:val="24"/>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rPr>
              <w:t>The term “Event of Default” in respect of the Notes means any of the following:</w:t>
            </w:r>
          </w:p>
        </w:tc>
      </w:tr>
      <w:tr>
        <w:trPr>
          <w:trHeight w:val="338"/>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9"/>
              </w:rPr>
              <w:t>We do not pay the principal of, or premium on, any Note when due and payable.</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3"/>
              </w:rPr>
              <w:t>We do not pay interest on any Note when due, and such default is not cured within 30</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days.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3"/>
              </w:rPr>
              <w:t>We remain in breach of any other covenant with respect to the Notes for 60 days after</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2"/>
              </w:rPr>
              <w:t>we receive a written notice of default stating we are in breach. The notice must be sent</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5"/>
              </w:rPr>
              <w:t>by either the Trustee or holders of at least 25% of the principal amount of the Notes.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rPr>
              <w:t>We file for bankruptcy or certain other events of bankruptcy, insolvency or</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88"/>
              </w:rPr>
              <w:t>reorganization occur and in the case of certain orders or decrees entered against us under</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any bankruptcy law, such order or decree remains unstayed for a period of 123 days.</w:t>
            </w:r>
          </w:p>
        </w:tc>
      </w:tr>
      <w:tr>
        <w:trPr>
          <w:trHeight w:val="323"/>
        </w:trPr>
        <w:tc>
          <w:tcPr>
            <w:tcW w:w="1880" w:type="dxa"/>
            <w:vAlign w:val="bottom"/>
          </w:tcPr>
          <w:p>
            <w:pPr>
              <w:spacing w:after="0"/>
              <w:rPr>
                <w:sz w:val="20"/>
                <w:szCs w:val="20"/>
                <w:color w:val="auto"/>
              </w:rPr>
            </w:pPr>
            <w:r>
              <w:rPr>
                <w:rFonts w:ascii="Arial" w:cs="Arial" w:eastAsia="Arial" w:hAnsi="Arial"/>
                <w:sz w:val="18"/>
                <w:szCs w:val="18"/>
                <w:color w:val="auto"/>
              </w:rPr>
              <w:t>Further Issuances</w:t>
            </w: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7"/>
              </w:rPr>
              <w:t>We have the ability to issue additional debt securities under the indenture with terms</w:t>
            </w:r>
          </w:p>
        </w:tc>
      </w:tr>
      <w:tr>
        <w:trPr>
          <w:trHeight w:val="230"/>
        </w:trPr>
        <w:tc>
          <w:tcPr>
            <w:tcW w:w="1880" w:type="dxa"/>
            <w:vAlign w:val="bottom"/>
          </w:tcPr>
          <w:p>
            <w:pPr>
              <w:spacing w:after="0"/>
              <w:rPr>
                <w:sz w:val="20"/>
                <w:szCs w:val="20"/>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3"/>
              </w:rPr>
              <w:t>different from the Notes and, without consent of the holders thereof, to reopen the Notes</w:t>
            </w:r>
          </w:p>
        </w:tc>
      </w:tr>
    </w:tbl>
    <w:p>
      <w:pPr>
        <w:jc w:val="both"/>
        <w:ind w:left="4420" w:right="380"/>
        <w:spacing w:after="0" w:line="255" w:lineRule="auto"/>
        <w:rPr>
          <w:sz w:val="20"/>
          <w:szCs w:val="20"/>
          <w:color w:val="auto"/>
        </w:rPr>
      </w:pPr>
      <w:r>
        <w:rPr>
          <w:rFonts w:ascii="Arial" w:cs="Arial" w:eastAsia="Arial" w:hAnsi="Arial"/>
          <w:sz w:val="18"/>
          <w:szCs w:val="18"/>
          <w:color w:val="auto"/>
        </w:rPr>
        <w:t>and issue additional Notes. If we issue additional debt securities, these additional debt securities could have a lien or other security interest greater than that accorded to the holders of the Notes, which are unsecured.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768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3768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 (continued)</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Pr>
          <w:p>
            <w:pPr>
              <w:ind w:left="4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4"/>
              </w:rPr>
              <w:t>DTC to be settled in immediately available funds. None of the Company, the Trustee or the</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8"/>
              </w:rPr>
              <w:t>Paying Agent will have any responsibility for the performance by DTC or its participants</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or indirect participants of their respective obligations under the rules and procedures</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governing their operations.</w:t>
            </w:r>
          </w:p>
        </w:tc>
      </w:tr>
      <w:tr>
        <w:trPr>
          <w:trHeight w:val="323"/>
        </w:trPr>
        <w:tc>
          <w:tcPr>
            <w:tcW w:w="382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220" w:type="dxa"/>
            <w:vAlign w:val="bottom"/>
          </w:tcPr>
          <w:p>
            <w:pPr>
              <w:ind w:left="400"/>
              <w:spacing w:after="0"/>
              <w:rPr>
                <w:sz w:val="20"/>
                <w:szCs w:val="20"/>
                <w:color w:val="auto"/>
              </w:rPr>
            </w:pPr>
            <w:r>
              <w:rPr>
                <w:rFonts w:ascii="Arial" w:cs="Arial" w:eastAsia="Arial" w:hAnsi="Arial"/>
                <w:sz w:val="18"/>
                <w:szCs w:val="18"/>
                <w:color w:val="auto"/>
                <w:w w:val="94"/>
              </w:rPr>
              <w:t>We estimate that net proceeds we will receive from the sale of the $75.0 million aggregate</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principal amount of the Notes in this offering will be approximately $72.3 million (or</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5"/>
              </w:rPr>
              <w:t>approximately $83.2 million if the underwriters fully exercise their overallotments), in each</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5"/>
              </w:rPr>
              <w:t>case based on the underwriters purchasing the Notes from us at 97.00% of the aggregate</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principal amount after deducting the underwriting discounts and commissions of</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approximately $2.3 million (or approximately $2.6 million if the underwriters fully</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9"/>
              </w:rPr>
              <w:t>exercise their overallotment option) payable by us and estimated offering expenses of</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approximately $500,000 payable by us.</w:t>
            </w:r>
          </w:p>
        </w:tc>
      </w:tr>
      <w:tr>
        <w:trPr>
          <w:trHeight w:val="323"/>
        </w:trPr>
        <w:tc>
          <w:tcPr>
            <w:tcW w:w="3820" w:type="dxa"/>
            <w:vAlign w:val="bottom"/>
          </w:tcPr>
          <w:p>
            <w:pPr>
              <w:spacing w:after="0"/>
              <w:rPr>
                <w:sz w:val="24"/>
                <w:szCs w:val="24"/>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We expect to use the net proceeds from selling securities pursuant to this prospectus</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supplement to reduce outstanding obligations under our Credit Facilities and/or SBA</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5"/>
              </w:rPr>
              <w:t>debentures, to invest in new or existing portfolio companies or for other general corporate</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or strategic purposes.</w:t>
            </w:r>
          </w:p>
        </w:tc>
      </w:tr>
      <w:tr>
        <w:trPr>
          <w:trHeight w:val="445"/>
        </w:trPr>
        <w:tc>
          <w:tcPr>
            <w:tcW w:w="38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220" w:type="dxa"/>
            <w:vAlign w:val="bottom"/>
          </w:tcPr>
          <w:p>
            <w:pPr>
              <w:ind w:left="400"/>
              <w:spacing w:after="0"/>
              <w:rPr>
                <w:sz w:val="20"/>
                <w:szCs w:val="20"/>
                <w:color w:val="auto"/>
              </w:rPr>
            </w:pPr>
            <w:r>
              <w:rPr>
                <w:rFonts w:ascii="Arial" w:cs="Arial" w:eastAsia="Arial" w:hAnsi="Arial"/>
                <w:sz w:val="18"/>
                <w:szCs w:val="18"/>
                <w:color w:val="auto"/>
              </w:rPr>
              <w:t>See “Risk Factors” in this prospectus supplement and beginning on page 9 of the</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7"/>
              </w:rPr>
              <w:t>accompanying prospectus for a discussion of risks you should carefully consider before</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deciding to invest in the Notes.</w:t>
            </w:r>
          </w:p>
        </w:tc>
      </w:tr>
      <w:tr>
        <w:trPr>
          <w:trHeight w:val="240"/>
        </w:trPr>
        <w:tc>
          <w:tcPr>
            <w:tcW w:w="38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7220" w:type="dxa"/>
            <w:vAlign w:val="bottom"/>
          </w:tcPr>
          <w:p>
            <w:pPr>
              <w:ind w:left="156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both us, SBIC II and Funding I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66"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prior to liquidation,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SBIC Funds and other consolidated subsidiaries.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8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1" w:lineRule="exact"/>
        <w:rPr>
          <w:sz w:val="20"/>
          <w:szCs w:val="20"/>
          <w:color w:val="auto"/>
        </w:rPr>
      </w:pPr>
    </w:p>
    <w:p>
      <w:pPr>
        <w:ind w:left="380" w:right="200" w:firstLine="426"/>
        <w:spacing w:after="0" w:line="255" w:lineRule="auto"/>
        <w:rPr>
          <w:sz w:val="20"/>
          <w:szCs w:val="20"/>
          <w:color w:val="auto"/>
        </w:rPr>
      </w:pPr>
      <w:r>
        <w:rPr>
          <w:rFonts w:ascii="Arial" w:cs="Arial" w:eastAsia="Arial" w:hAnsi="Arial"/>
          <w:sz w:val="18"/>
          <w:szCs w:val="18"/>
          <w:color w:val="auto"/>
        </w:rPr>
        <w:t>We believe U.S.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97" w:lineRule="auto"/>
        <w:rPr>
          <w:sz w:val="20"/>
          <w:szCs w:val="20"/>
          <w:color w:val="auto"/>
        </w:rPr>
      </w:pPr>
      <w:r>
        <w:rPr>
          <w:rFonts w:ascii="Arial" w:cs="Arial" w:eastAsia="Arial" w:hAnsi="Arial"/>
          <w:sz w:val="16"/>
          <w:szCs w:val="16"/>
          <w:color w:val="auto"/>
        </w:rPr>
        <w:t>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58"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Credit Facilities, please see “Management’s Discussion and Analysis of Financial Condition and Results of Operations—Liquidity and Capital Resources” in the accompanying prospectus and our most recent Quarterly Report on Form 10-Q.</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Our wholly owned subsidiary, SBIC II,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 During the quarter ended June 30, 2019, we liquidated SBIC I.</w:t>
      </w:r>
    </w:p>
    <w:p>
      <w:pPr>
        <w:spacing w:after="0" w:line="187" w:lineRule="exact"/>
        <w:rPr>
          <w:sz w:val="20"/>
          <w:szCs w:val="20"/>
          <w:color w:val="auto"/>
        </w:rPr>
      </w:pPr>
    </w:p>
    <w:p>
      <w:pPr>
        <w:ind w:left="380" w:right="180" w:firstLine="426"/>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40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4540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Investment Adviser’s inception in 2007, it has invested $10 billion in 521 companies with approximately 185 different financial sponsors through its managed funds.</w:t>
      </w:r>
    </w:p>
    <w:p>
      <w:pPr>
        <w:spacing w:after="0" w:line="170" w:lineRule="exact"/>
        <w:rPr>
          <w:sz w:val="20"/>
          <w:szCs w:val="20"/>
          <w:color w:val="auto"/>
        </w:rPr>
      </w:pPr>
    </w:p>
    <w:p>
      <w:pPr>
        <w:ind w:left="380" w:right="24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auto"/>
        </w:rPr>
        <w:t>On September 4, 2019, we entered into an amendment to the SunTrust Credit Facility. The amendment, among other things: (i) increased the aggregate amount of the commitments under the SunTrust Credit Facility from $445 million to $475 million, (ii) extended the term of the revolving period to September 4, 2023 and the final maturity date to September 4, 2024 for $420 million out of the total $475 million of existing commitments (with the revolving period with respect to the remaining $55 million of commitments continuing to expire on May 25, 2021); (iii) amended the covenants in the SunTrust Credit Facility to, in combination with our other existing debt sources, enable us to utilize the flexibility and incremental leverage provided by the SBCAA in the future; and (iv) made certain other changes to the SunTrust Credit Facility, including with respect to the concentration limits and to add new financial covenants. The interest rate of LIBOR plus 225 basis points remained unchanged.</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supplement and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the accompanying prospectus, and any free writing prospectus involve risks and uncertainties, including statements as to:</w:t>
      </w:r>
    </w:p>
    <w:p>
      <w:pPr>
        <w:spacing w:after="0" w:line="84" w:lineRule="exact"/>
        <w:rPr>
          <w:sz w:val="20"/>
          <w:szCs w:val="20"/>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under “Risk Factors” in this prospectus supplement and the accompanying prospectus, in the documents incorporated by reference, and elsewhere in this prospectus supplement and the accompany prospectus.</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and quarterly reports on Form 10-K/Q and current reports on Form 8-K.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w:t>
      </w:r>
    </w:p>
    <w:p>
      <w:pPr>
        <w:spacing w:after="0" w:line="46" w:lineRule="exact"/>
        <w:rPr>
          <w:sz w:val="20"/>
          <w:szCs w:val="20"/>
          <w:color w:val="auto"/>
        </w:rPr>
      </w:pPr>
    </w:p>
    <w:p>
      <w:pPr>
        <w:ind w:left="200" w:right="180" w:firstLine="4"/>
        <w:spacing w:after="0" w:line="255" w:lineRule="auto"/>
        <w:tabs>
          <w:tab w:leader="none" w:pos="4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NOTES</w:t>
      </w:r>
    </w:p>
    <w:p>
      <w:pPr>
        <w:spacing w:after="0" w:line="117"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2019, we had approximately $382.6 million (including a $12.0 million temporary draw) of borrowings outstanding under the SunTrust Credit Facility. The SunTrust Credit Facility is secured by substantially all of the assets in our portfolio (other than assets held by SBIC II and Funding I), and the indebtedness under the SunTrust Credit Facility is therefore effectively senior in right of payment to the Notes to the extent of the value of such assets.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Our secured indebtedness with respect to the BNP Credit Facility is held through Funding I. The assets of SBIC II and Funding I are not directly available to satisfy the claims of our creditors, including holders of the Notes.</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June 30, 2019, our SBIC Funds had $150.0 million of SBA debentures outstanding and Funding I had</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$178.0 million of borrowings outstanding under the BNP Credit Facility. All of such indebtedness would be structurally senior to the Notes. In addition, our subsidiaries may incur substantial additional indebtedness in the future, all of which would be structurally senior to the Notes.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180" w:right="100" w:hanging="436"/>
        <w:spacing w:after="0" w:line="270"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87" w:lineRule="exact"/>
        <w:rPr>
          <w:rFonts w:ascii="Arial" w:cs="Arial" w:eastAsia="Arial" w:hAnsi="Arial"/>
          <w:sz w:val="17"/>
          <w:szCs w:val="17"/>
          <w:color w:val="auto"/>
        </w:rPr>
      </w:pPr>
    </w:p>
    <w:p>
      <w:pPr>
        <w:ind w:left="1180" w:right="36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“Risk Factors—Risks Relating to Our Business and Structure” including “Risk Factors—Risks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Relating to Our Business and Structure—We could be subject to reduced availability and/or mandatory prepayments under our Credit Facilities and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76" w:lineRule="exact"/>
        <w:rPr>
          <w:sz w:val="20"/>
          <w:szCs w:val="20"/>
          <w:color w:val="auto"/>
        </w:rPr>
      </w:pPr>
    </w:p>
    <w:p>
      <w:pPr>
        <w:ind w:left="200" w:right="66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180" w:right="880" w:hanging="436"/>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180" w:right="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Notes will be redeemable in whole or in part upon certain conditions at any time, or from time to time, at our option on or after October 15, 2021.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51"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An active trading market for the Notes may not develop or be maintained, which could limit the market price of the Notes or your ability to sell them.</w:t>
      </w:r>
    </w:p>
    <w:p>
      <w:pPr>
        <w:spacing w:after="0" w:line="5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Notes are a new issue of debt securities for which currently there is no trading market. Although we expect to list the Notes on the Nasdaq Global Select Market within 30 days of the original issue date, and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terms of the Notes require us to maintain such listing,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3"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Payments made under the Notes to a foreign financial institution or non-financial foreign entity (including such an institution or entity acting as an intermediary) may be subject to a U.S. withholding tax of 30% under Sections 1471 through 1474 of the Code (provisions commonly referred to as “FATCA”). This tax may apply to certain payments of interest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estimate that net proceeds we will receive from the sale of the $75.0 million aggregate principal amount of the Notes in this offering will be approximately $72.3 million (or approximately $83.2 million if the underwriters fully exercise their overallotments), in each case based on the underwriters purchasing the Notes from us at 97.00% of the aggregate principal amount, after deducting the underwriting discounts and commissions of approximately $2.3 million (or approximately $2.6 million if the underwriters fully exercise their overallotment option) payable by us and estimated offering expenses of approximately $500,000 payable by us.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Facilities and/or SBA debentures, to invest in new or existing portfolio companies or for other general corporate or strategic purposes. Affiliates of certain of the underwriters serve as lenders under our Credit Facilities and thereby may receive proceeds from this offering that are used to reduce our outstanding obligations under our Credit Facilities.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2019, we had approximately $382.6 million (including a $12.0 million temporary draw) in outstanding borrowings under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$445.0 million SunTrust Credit Facility. Borrowings under the SunTrust Credit Facility bear interest at an annual rate equal to LIBOR plus 225 basis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points. At June 30, 2019, the weighted average interest rate of the SunTrust Credit Facility was 4.7%, exclusive of the fee on undrawn commitments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0.4%. On September 4, 2019, we entered into an amendment to the SunTrust Credit Facility. The amendment, among other things: (i) increased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aggregate amount of the commitments under the SunTrust Credit Facility from $445 million to $475 million, (ii) extended the term of the revolving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period to September 4, 2023 and the final maturity date to September 4, 2024 for $420 million out of the total $475 million of existing commitments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(with the revolving period with respect to the remaining $55 million of commitments continuing to expire on May 25, 2021); (iii) amended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covenants in the SunTrust Credit Facility to, in combination with our other existing debt sources, enable us to utilize the flexibility and incremental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leverage provided by the SBCAA in the future; and (iv) made certain other changes to the SunTrust Credit Facility, including with respect to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concentration limits and to add new financial covenants. The interest rate of LIBOR plus 225 basis points remained unchanged.</w:t>
      </w:r>
    </w:p>
    <w:p>
      <w:pPr>
        <w:spacing w:after="0" w:line="21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As of June 30, 2019, we had $178.0 million in outstanding borrowings under the $250.0 million BNP Credit Facility. Borrowings under the BNP Credit Facility bear interest at an annual rate equal to LIBOR plus 260 basis points. At June 30, 2019, the weighted average interest rate of the BNP Credit Facility was 5.0%. The BNP Credit Facility is a five-year revolving credit facility with a stated maturity date of February 22, 2024.</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June 30, 2019, our SBIC Funds had $150.0 million in debt commitments, all of which were drawn. The interest rate of SBA debentures is fixed at the time of issuance, often referred to as pooling, at a market-driven spread over 10-year U.S. Treasury Notes. At June 30, 2019, the SBA debentures’ had a weighted average interest rate of 3.1%, exclusive of the 3.43% of upfront fees. The SBA debentures mature between March 2026 and March 2028.</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in the accompanying prospectus and our most recent Quarterly Report on Form 10-Q for more information.</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Facilities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following table sets forth our cash and capitalization on June 30, 2019 (1) on an actual basis and (2) on an as-adjusted basis to reflect the effects of the sale of $75.0 million aggregate principal amount of Notes in this offering (assuming no exercise of the underwriters’ overallotment option) based on the underwriters purchasing the Notes from us at 97.00% of the aggregate principal amount, after deducting the underwriting discounts and commissions of $2.25 million payable by us and estimated offering expenses of approximately $500,000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the accompanying prospectus and our most recent quarterly report on Form 10-Q for more information.</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the offering</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(cost—$21,754,580 and $94,004,580, respectively)</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21,744,836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93,994,836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1,304,174,274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9"/>
              </w:rPr>
              <w:t>1,379,174,274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BNP Credit Facility payable (cost—$178,000,000)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Borrowings under the SunTrust Credit Facility payable (cost—$382,636,000)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372,060,191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372,060,191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(par—$150,000,000)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146,001,990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146,001,990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Notes (par—$75,000,000)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per share; 100,000,000 shares authorized, 67,045,105 shares issued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789,259,509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789,259,509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Accumulated distributable net loss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(203,617,030)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(203,617,030)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585,709,524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585,709,524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1,280,881,705</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w w:val="99"/>
              </w:rPr>
              <w:t>1,355,881,705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net proceeds from this offering are invested in cash and cash equivalents. You should read this table together with “Use of Proceeds” set forth in this prospectus supplement and in the accompanying prospectus for more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June 30, 2019 (unaudited) and September 30, 2018, 2017, 2016, 2015, 2014, 2013, 2012, 2011, 2010, and 2009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 the accompanying prospectus and our most recent quarterly report on Form 10-Q.</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Asset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0"/>
              </w:rPr>
              <w:t>Coverage</w:t>
            </w:r>
          </w:p>
        </w:tc>
        <w:tc>
          <w:tcPr>
            <w:tcW w:w="156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2780" w:type="dxa"/>
            <w:vAlign w:val="bottom"/>
            <w:gridSpan w:val="3"/>
          </w:tcPr>
          <w:p>
            <w:pPr>
              <w:ind w:left="186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8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(2),(3)</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Facilities, 2019 Notes and 2025 Notes</w:t>
            </w: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2019 (as of June 30, 2019, unaudited)</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560,636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329,393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458,114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216,750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240,900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exclude our SBIC Funds’ SBA debentures from our total amount outstanding and asset coverage per unit computation pursuant to an exemptive relief letter provided by the SEC in June 2011.</w:t>
      </w:r>
    </w:p>
    <w:p>
      <w:pPr>
        <w:jc w:val="both"/>
        <w:ind w:left="640" w:right="14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6.25% notes due 2025, or the 2025 Notes, trading on the New York Stock Exchange under the symbol “PNTA” since issuance, which were issued in increments of $25 per unit. On June 29, 2017, the 2025 Notes were redeemed in full and no amounts were outstanding as of June 30,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amount includes SBIC I’s SBA debentures in the total amount outstanding and our asset coverage per unit computation.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interpreted differently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6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discussion, the term “U.S. holder” means a beneficial owner of a Note that is, for United States federal income tax purposes,</w:t>
      </w:r>
    </w:p>
    <w:p>
      <w:pPr>
        <w:spacing w:after="0" w:line="46" w:lineRule="exact"/>
        <w:rPr>
          <w:sz w:val="20"/>
          <w:szCs w:val="20"/>
          <w:color w:val="auto"/>
        </w:rPr>
      </w:pPr>
    </w:p>
    <w:p>
      <w:pPr>
        <w:ind w:left="200" w:firstLine="4"/>
        <w:spacing w:after="0" w:line="267" w:lineRule="auto"/>
        <w:tabs>
          <w:tab w:leader="none" w:pos="4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8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u w:val="single" w:color="auto"/>
          <w:color w:val="auto"/>
        </w:rPr>
        <w:t>Taxation of U.S.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accruals of interest on a Note generally will be taxable to a U.S. holder as ordinary interest income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over the term of the instrument, irrespective of the holder’s regular method of tax accounting. We expect that the Notes will not be issued with original issue discount for U.S. federal income tax purposes.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7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5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i w:val="1"/>
          <w:iCs w:val="1"/>
          <w:u w:val="single" w:color="auto"/>
          <w:color w:val="auto"/>
        </w:rPr>
        <w:t>Taxation of Non-U.S. Holders</w:t>
      </w:r>
      <w:r>
        <w:rPr>
          <w:rFonts w:ascii="Arial" w:cs="Arial" w:eastAsia="Arial" w:hAnsi="Arial"/>
          <w:sz w:val="17"/>
          <w:szCs w:val="17"/>
          <w:color w:val="auto"/>
        </w:rPr>
        <w:t>. A non-U.S. holder generally will not be subject to United States federal income or withholding taxes on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5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not a U.S. person or you otherwise establish an exemption, and the applicable withholding agent does not have actual knowledge or reason to know that you are a U.S. person.</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w:t>
      </w:r>
      <w:r>
        <w:rPr>
          <w:rFonts w:ascii="Arial" w:cs="Arial" w:eastAsia="Arial" w:hAnsi="Arial"/>
          <w:sz w:val="18"/>
          <w:szCs w:val="18"/>
          <w:i w:val="1"/>
          <w:iCs w:val="1"/>
          <w:color w:val="auto"/>
        </w:rPr>
        <w:t xml:space="preserve"> </w:t>
      </w:r>
      <w:r>
        <w:rPr>
          <w:rFonts w:ascii="Arial" w:cs="Arial" w:eastAsia="Arial" w:hAnsi="Arial"/>
          <w:sz w:val="18"/>
          <w:szCs w:val="18"/>
          <w:color w:val="auto"/>
        </w:rPr>
        <w:t>“FATCA”)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the U.S. Treasury Department has recently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3"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auto"/>
        </w:rPr>
        <w:t>Each prospective purchaser should consult its own tax advisor regarding FATCA and how it may affect such investor in its particular circumstances.</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intend to offer the Notes through the underwriters named in the table below. Keefe, Bruyette &amp; Woods, Inc. and Morgan Stanley &amp; Co.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aggregate principal amount of Notes set forth opposite the underwriter’s name.</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58"/>
        </w:trPr>
        <w:tc>
          <w:tcPr>
            <w:tcW w:w="6000" w:type="dxa"/>
            <w:vAlign w:val="bottom"/>
            <w:gridSpan w:val="3"/>
            <w:vMerge w:val="continue"/>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Keefe, Bruyette &amp; Woods, Inc.</w:t>
            </w: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27,120,000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Morgan Stanley &amp; Co. LLC</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27,120,000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BB&amp;T Capital Markets, a division of BB&amp;T Securities LLC</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Janney Montgomery Scott LLC</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Ladenburg Thalmann &amp; Co. Inc.</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Maxim Group LLC</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underwriting agreement provides that the obligations of the underwriters severally, and not jointly,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other than those Notes covered by the overallotment option described below, if they purchase any of the Notes. The underwriters reserve the right to withdraw, cancel or modify offers to the public and to reject orders in whole or in part.</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underwriters have agreed to purchase the Notes from us at 97.00% of the aggregate principal amount of the Notes, which will result in aggregate proceeds to us of $72,750,000, assuming no exercise of the underwriters’ overallotment option, and before deducting expenses payable by us, and $83,662,500, assuming full exercise of the underwriters’ overallotment option.</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spacing w:after="0" w:line="18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underwriters have an option to buy up to an additional $11,250,000 aggregate principal amount of the Notes from us to cover sales of Notes by the underwriters which exceed the amount of Notes specified in the table above. The underwriters have 30 days from the date of this prospectus supplement to exercise this overallotment option. If any Notes are purchased with this overallotment option, the underwriters will purchase Notes in approximately the same proportion as shown in the table above. If any additional Notes are purchased, the underwriters will offer the additional Notes on the same terms as those on which all Notes are being offered.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have agreed not to, and to cause our subsidiaries not to, directly or indirectly, sell, offer to sell, contract or agree to sell, hypothecate, pledge, grant any option to purchase or otherwise dispose of or agree to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for a period of 30 days after the date of the underwriting agreement, without first obtaining the written consent of the representatives. This consent may be given at any time without public notice.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Notes are a new issue of securities with no established trading market. We intend to list the Notes on the Nasdaq Global Select Market. We expect trading in the Notes on the Nasdaq Global Select Market to begin within 30 days after the original issue date. Currently there is no public market for the Notes.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been advised by certain underwriters that they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the underwriters may purchase and sell Notes in the open market. These transactions may include overallotment syndicate covering transactions and stabilizing transactions. Overallotment involves sales by the underwriters of Notes in excess of the number of securities required to be purchased by the underwriters in the offering, which creates a syndicate short position. “Covered” short sales are sales of securities made in an amount up to the number of securities represented by the underwriters’ overallotment option. Transactions to close out the covered syndicate short involve either purchases of such securities in the open market after the distribution has been completed or the exercise of the overallotment option. In determining the source of securities to close out the covered syndicate short position, the underwriters may consider the price of securities available for purchase in the open market as compared to the price at which they may purchase securities through the overallotment option. The underwriters may also make “naked” short sales, or sales in excess of the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fixing or maintaining the price of the securities.</w:t>
      </w:r>
    </w:p>
    <w:p>
      <w:pPr>
        <w:spacing w:after="0" w:line="18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securities originally sold by that underwriter or syndicate member in order to cover syndicate short positions or make stabilizing purchases.</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Any of these activities may have the effect of raising or maintaining the market price of the securities or preventing or retarding a decline in the market price of the securities. As a result, the price of the securities may be higher than the price that might otherwise exist in the open market. The underwriters may conduct these transactions on Nasdaq or otherwise. Neither we nor any of the underwriters makes any representation or prediction as to the direction or magnitude of any effect that the transactions described above may have on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40"/>
        <w:spacing w:after="0" w:line="277" w:lineRule="auto"/>
        <w:rPr>
          <w:sz w:val="20"/>
          <w:szCs w:val="20"/>
          <w:color w:val="auto"/>
        </w:rPr>
      </w:pPr>
      <w:r>
        <w:rPr>
          <w:rFonts w:ascii="Arial" w:cs="Arial" w:eastAsia="Arial" w:hAnsi="Arial"/>
          <w:sz w:val="18"/>
          <w:szCs w:val="18"/>
          <w:color w:val="auto"/>
        </w:rPr>
        <w:t>price of our securities. In addition, neither we nor any of the underwriters makes any representation that the underwriters will engage in these transactions. If the underwriters commence any of these transactions, they may discontinue them at any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Settlement Cycle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expect that delivery of the Notes offered hereby will be made against payment therefor on or about September 27, 2019, which will be the third business day following the date of the pricing of the Notes offered hereby (such settlement being herein referred to as “T+3”). Under Rule 15c6-1 promulgated under the Exchange Act, trades in the secondary market generally are required to settle in two business days, unless the parties to any such trade expressly agree otherwise. Accordingly, purchasers who wish to trade the Notes offered hereby prior to the date of delivery hereunder will be required, by virtue of the fact that the Notes offered hereby initially will settle in T+3 business days, to specify an alternate settlement arrangement at the time of any such trade to prevent a failed settlement.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the Company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the Company.</w:t>
      </w:r>
    </w:p>
    <w:p>
      <w:pPr>
        <w:spacing w:after="0" w:line="18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the Company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Notes, the underwriters or their affiliates may develop analyses or opinions related to the Company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the Company to our stockholders.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Facilities and may serve as lenders under any future credit facilities. Some of the underwriters and their affiliates were underwriters in connection with our initial public offerings and follow-on public offerings for which they received customary fees. Affiliates of the underwriters may receive part of the proceeds of the offering by reason of the repayment of certain amounts outstanding under our Credit Facilities.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principal business addresses of the representatives are: Keefe, Bruyette &amp; Woods, Inc., 787 Seventh Avenue, New York, NY 10019; and Morgan Stanley &amp; Co. LLC, 1585 Broadway, New York, NY 10036.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w:t>
      </w:r>
    </w:p>
    <w:p>
      <w:pPr>
        <w:spacing w:after="0" w:line="15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Each of the underwriters may arrange to sell the Notes offered hereby in certain jurisdictions outside the United States, either directly or through affiliates, where it is permitted to do so.</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Ropes &amp; Gray LLP.</w:t>
      </w:r>
    </w:p>
    <w:p>
      <w:pPr>
        <w:spacing w:after="0" w:line="33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consolidated financial statements of Superior Digital Displays Holdings, Inc. and Subsidiaries as of and for the year ended September 30, 2018 included in the accompanying prospectus have been so included in reliance on the report of EisnerAmper LLP, Independent Auditor.</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180" w:right="1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March 31, 2019 and June 30, 2019, filed with the SEC on </w:t>
      </w:r>
      <w:hyperlink r:id="rId48">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and </w:t>
      </w:r>
      <w:hyperlink r:id="rId49">
        <w:r>
          <w:rPr>
            <w:rFonts w:ascii="Arial" w:cs="Arial" w:eastAsia="Arial" w:hAnsi="Arial"/>
            <w:sz w:val="18"/>
            <w:szCs w:val="18"/>
            <w:u w:val="single" w:color="auto"/>
            <w:color w:val="0000EE"/>
          </w:rPr>
          <w:t>August 7, 2019</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Current Report on Form 8-K (other than information furnished rather than filed) filed with the SEC on </w:t>
      </w:r>
      <w:hyperlink r:id="rId50">
        <w:r>
          <w:rPr>
            <w:rFonts w:ascii="Arial" w:cs="Arial" w:eastAsia="Arial" w:hAnsi="Arial"/>
            <w:sz w:val="18"/>
            <w:szCs w:val="18"/>
            <w:u w:val="single" w:color="auto"/>
            <w:color w:val="0000EE"/>
          </w:rPr>
          <w:t>September 9,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105410</wp:posOffset>
            </wp:positionV>
            <wp:extent cx="1766570"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766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left="200" w:right="30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200" w:right="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41">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9 and “</w:t>
      </w:r>
      <w:hyperlink w:anchor="page96">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64 of this prospectus for more information.</w:t>
      </w:r>
    </w:p>
    <w:p>
      <w:pPr>
        <w:spacing w:after="0" w:line="28" w:lineRule="exact"/>
        <w:rPr>
          <w:sz w:val="20"/>
          <w:szCs w:val="20"/>
          <w:color w:val="auto"/>
        </w:rPr>
      </w:pPr>
    </w:p>
    <w:p>
      <w:pPr>
        <w:ind w:left="200" w:right="360" w:firstLine="55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April 11, 2019 was $7.04 per share, and our net asset value on December 31, 2018 was $9.05 per share.</w:t>
      </w:r>
    </w:p>
    <w:p>
      <w:pPr>
        <w:spacing w:after="0" w:line="51"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on our website is not incorporated by reference into this prospectus. The SEC also maintains a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5" w:lineRule="exact"/>
        <w:rPr>
          <w:sz w:val="20"/>
          <w:szCs w:val="20"/>
          <w:color w:val="auto"/>
        </w:rPr>
      </w:pPr>
    </w:p>
    <w:p>
      <w:pPr>
        <w:ind w:left="200" w:right="8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4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ind w:left="200" w:right="480" w:firstLine="44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dated April 29, 2019</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6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40" w:type="dxa"/>
            <w:vAlign w:val="bottom"/>
            <w:gridSpan w:val="11"/>
            <w:vMerge w:val="restart"/>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PROSPECTUS SUMMARY</w:t>
              </w:r>
            </w:hyperlink>
          </w:p>
        </w:tc>
        <w:tc>
          <w:tcPr>
            <w:tcW w:w="8540" w:type="dxa"/>
            <w:vAlign w:val="bottom"/>
            <w:gridSpan w:val="24"/>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11"/>
            <w:vMerge w:val="continue"/>
          </w:tcPr>
          <w:p>
            <w:pPr>
              <w:spacing w:after="0"/>
              <w:rPr>
                <w:sz w:val="14"/>
                <w:szCs w:val="14"/>
                <w:color w:val="auto"/>
              </w:rPr>
            </w:pPr>
          </w:p>
        </w:tc>
        <w:tc>
          <w:tcPr>
            <w:tcW w:w="8540" w:type="dxa"/>
            <w:vAlign w:val="bottom"/>
            <w:gridSpan w:val="24"/>
            <w:vMerge w:val="continue"/>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FEES AND EXPENSES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8840" w:type="dxa"/>
            <w:vAlign w:val="bottom"/>
            <w:gridSpan w:val="2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772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SENIOR SECURITIES</w:t>
              </w:r>
            </w:hyperlink>
          </w:p>
        </w:tc>
        <w:tc>
          <w:tcPr>
            <w:tcW w:w="7020" w:type="dxa"/>
            <w:vAlign w:val="bottom"/>
            <w:tcBorders>
              <w:top w:val="single" w:sz="8" w:color="0000EE"/>
            </w:tcBorders>
            <w:gridSpan w:val="25"/>
          </w:tcPr>
          <w:p>
            <w:pPr>
              <w:spacing w:after="0"/>
              <w:rPr>
                <w:sz w:val="17"/>
                <w:szCs w:val="17"/>
                <w:color w:val="auto"/>
              </w:rPr>
            </w:pPr>
          </w:p>
        </w:tc>
        <w:tc>
          <w:tcPr>
            <w:tcW w:w="18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PRICE RANGE OF COMMON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DISTRIBUTIONS</w:t>
              </w:r>
            </w:hyperlink>
          </w:p>
        </w:tc>
        <w:tc>
          <w:tcPr>
            <w:tcW w:w="3180" w:type="dxa"/>
            <w:vAlign w:val="bottom"/>
            <w:tcBorders>
              <w:top w:val="single" w:sz="8" w:color="0000EE"/>
            </w:tcBorders>
            <w:gridSpan w:val="23"/>
          </w:tcPr>
          <w:p>
            <w:pPr>
              <w:spacing w:after="0"/>
              <w:rPr>
                <w:sz w:val="17"/>
                <w:szCs w:val="17"/>
                <w:color w:val="auto"/>
              </w:rPr>
            </w:pPr>
          </w:p>
        </w:tc>
        <w:tc>
          <w:tcPr>
            <w:tcW w:w="6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BUSINESS</w:t>
              </w:r>
            </w:hyperlink>
          </w:p>
        </w:tc>
        <w:tc>
          <w:tcPr>
            <w:tcW w:w="9740" w:type="dxa"/>
            <w:vAlign w:val="bottom"/>
            <w:gridSpan w:val="3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PORTFOLIO COMPANIES</w:t>
              </w:r>
            </w:hyperlink>
          </w:p>
        </w:tc>
        <w:tc>
          <w:tcPr>
            <w:tcW w:w="714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8580" w:type="dxa"/>
            <w:vAlign w:val="bottom"/>
            <w:gridSpan w:val="2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CONTROL PERSONS AND PRINCIPAL STOCKHOLDERS</w:t>
              </w:r>
            </w:hyperlink>
          </w:p>
        </w:tc>
        <w:tc>
          <w:tcPr>
            <w:tcW w:w="61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DETERMINATION OF NET ASSET VALUE</w:t>
              </w:r>
            </w:hyperlink>
          </w:p>
        </w:tc>
        <w:tc>
          <w:tcPr>
            <w:tcW w:w="66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DIVIDEND REINVESTMENT PLAN</w:t>
              </w:r>
            </w:hyperlink>
          </w:p>
        </w:tc>
        <w:tc>
          <w:tcPr>
            <w:tcW w:w="520" w:type="dxa"/>
            <w:vAlign w:val="bottom"/>
            <w:tcBorders>
              <w:top w:val="single" w:sz="8" w:color="0000EE"/>
            </w:tcBorders>
            <w:gridSpan w:val="5"/>
          </w:tcPr>
          <w:p>
            <w:pPr>
              <w:spacing w:after="0"/>
              <w:rPr>
                <w:sz w:val="17"/>
                <w:szCs w:val="17"/>
                <w:color w:val="auto"/>
              </w:rPr>
            </w:pPr>
          </w:p>
        </w:tc>
        <w:tc>
          <w:tcPr>
            <w:tcW w:w="73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DESCRIPTION OF OUR CAPITAL STOCK</w:t>
              </w:r>
            </w:hyperlink>
          </w:p>
        </w:tc>
        <w:tc>
          <w:tcPr>
            <w:tcW w:w="736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OUR PREFERRED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DESCRIPTION OF OUR WARRANTS</w:t>
              </w:r>
            </w:hyperlink>
          </w:p>
        </w:tc>
        <w:tc>
          <w:tcPr>
            <w:tcW w:w="640" w:type="dxa"/>
            <w:vAlign w:val="bottom"/>
            <w:tcBorders>
              <w:top w:val="single" w:sz="8" w:color="0000EE"/>
            </w:tcBorders>
            <w:gridSpan w:val="7"/>
          </w:tcPr>
          <w:p>
            <w:pPr>
              <w:spacing w:after="0"/>
              <w:rPr>
                <w:sz w:val="17"/>
                <w:szCs w:val="17"/>
                <w:color w:val="auto"/>
              </w:rPr>
            </w:pPr>
          </w:p>
        </w:tc>
        <w:tc>
          <w:tcPr>
            <w:tcW w:w="71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DESCRIPTION OF OUR SUBSCRIPTION RIGHTS</w:t>
              </w:r>
            </w:hyperlink>
          </w:p>
        </w:tc>
        <w:tc>
          <w:tcPr>
            <w:tcW w:w="67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OUR DEBT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OUR UNITS</w:t>
              </w:r>
            </w:hyperlink>
          </w:p>
        </w:tc>
        <w:tc>
          <w:tcPr>
            <w:tcW w:w="72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64">
              <w:r>
                <w:rPr>
                  <w:rFonts w:ascii="Arial" w:cs="Arial" w:eastAsia="Arial" w:hAnsi="Arial"/>
                  <w:sz w:val="18"/>
                  <w:szCs w:val="18"/>
                  <w:color w:val="0000EE"/>
                  <w:w w:val="93"/>
                </w:rPr>
                <w:t>REGULATION</w:t>
              </w:r>
            </w:hyperlink>
          </w:p>
        </w:tc>
        <w:tc>
          <w:tcPr>
            <w:tcW w:w="1260" w:type="dxa"/>
            <w:vAlign w:val="bottom"/>
            <w:tcBorders>
              <w:top w:val="single" w:sz="8" w:color="0000EE"/>
            </w:tcBorders>
            <w:gridSpan w:val="11"/>
          </w:tcPr>
          <w:p>
            <w:pPr>
              <w:spacing w:after="0"/>
              <w:rPr>
                <w:sz w:val="17"/>
                <w:szCs w:val="17"/>
                <w:color w:val="auto"/>
              </w:rPr>
            </w:pPr>
          </w:p>
        </w:tc>
        <w:tc>
          <w:tcPr>
            <w:tcW w:w="820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70">
              <w:r>
                <w:rPr>
                  <w:rFonts w:ascii="Arial" w:cs="Arial" w:eastAsia="Arial" w:hAnsi="Arial"/>
                  <w:sz w:val="18"/>
                  <w:szCs w:val="18"/>
                  <w:color w:val="0000EE"/>
                  <w:w w:val="93"/>
                </w:rPr>
                <w:t>BROKERAGE ALLOCATIONS AND OTHER PRACTICES</w:t>
              </w:r>
            </w:hyperlink>
          </w:p>
        </w:tc>
        <w:tc>
          <w:tcPr>
            <w:tcW w:w="62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71">
              <w:r>
                <w:rPr>
                  <w:rFonts w:ascii="Arial" w:cs="Arial" w:eastAsia="Arial" w:hAnsi="Arial"/>
                  <w:sz w:val="18"/>
                  <w:szCs w:val="18"/>
                  <w:color w:val="0000EE"/>
                  <w:w w:val="94"/>
                </w:rPr>
                <w:t>MATERIAL U.S. FEDERAL INCOME TAX CONSIDERATIONS</w:t>
              </w:r>
            </w:hyperlink>
          </w:p>
        </w:tc>
        <w:tc>
          <w:tcPr>
            <w:tcW w:w="58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INCORPORATION OF CERTAIN INFORMATION BY REFERENCE</w:t>
              </w:r>
            </w:hyperlink>
          </w:p>
        </w:tc>
        <w:tc>
          <w:tcPr>
            <w:tcW w:w="55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81">
              <w:r>
                <w:rPr>
                  <w:rFonts w:ascii="Arial" w:cs="Arial" w:eastAsia="Arial" w:hAnsi="Arial"/>
                  <w:sz w:val="18"/>
                  <w:szCs w:val="18"/>
                  <w:color w:val="0000EE"/>
                  <w:w w:val="94"/>
                </w:rPr>
                <w:t>SUB-ADMINISTRATOR, CUSTODIAN, TRANSFER AGENT AND TRUSTEE</w:t>
              </w:r>
            </w:hyperlink>
          </w:p>
        </w:tc>
        <w:tc>
          <w:tcPr>
            <w:tcW w:w="47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INDEPENDENT REGISTERED PUBLIC ACCOUNTING FIRM/INDEPENDENT AUDITOR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INDEX TO CONSOLIDATED FINANCIAL STATEMENTS</w:t>
              </w:r>
            </w:hyperlink>
          </w:p>
        </w:tc>
        <w:tc>
          <w:tcPr>
            <w:tcW w:w="38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4340" w:type="dxa"/>
            <w:vAlign w:val="bottom"/>
            <w:gridSpan w:val="25"/>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w:anchor="page253">
              <w:r>
                <w:rPr>
                  <w:rFonts w:ascii="Arial" w:cs="Arial" w:eastAsia="Arial" w:hAnsi="Arial"/>
                  <w:sz w:val="18"/>
                  <w:szCs w:val="18"/>
                  <w:color w:val="0000EE"/>
                  <w:w w:val="94"/>
                </w:rPr>
                <w:t>SUPERIOR DIGITAL DISPLAYS HOLDINGS, INC. AND SUBSIDIARIES CONSOLIDATED FINANCIAL STATEMENTS</w:t>
              </w:r>
            </w:hyperlink>
          </w:p>
        </w:tc>
        <w:tc>
          <w:tcPr>
            <w:tcW w:w="15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307"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notes due 2025; “2019 Notes” refers to our 4.50% notes due 2019; “our Notes” refers, collectively, to our 2025 Notes and our 2019 Notes;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1" w:lineRule="exact"/>
        <w:rPr>
          <w:sz w:val="20"/>
          <w:szCs w:val="20"/>
          <w:color w:val="auto"/>
        </w:rPr>
      </w:pPr>
    </w:p>
    <w:p>
      <w:pPr>
        <w:ind w:left="38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Our wholly owned subsidiaries, SBIC LP and SBIC II, were organized in Delaware as limited partnerships in May 2010 and July 2012, respectively. SBIC LP and SBIC II received licenses from the SBA to operate as SBICs under Section 301(c) of the Small Business Investment Act of 1958, as amended, or the 1958 Act, in 2010 and 2013, respectively.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67" w:lineRule="exact"/>
        <w:rPr>
          <w:sz w:val="20"/>
          <w:szCs w:val="20"/>
          <w:color w:val="auto"/>
        </w:rPr>
      </w:pPr>
    </w:p>
    <w:p>
      <w:pPr>
        <w:ind w:left="380" w:right="240" w:firstLine="426"/>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110% and 150% of our net assets. We cannot assure investors that our leverage will remain within that range. The amount of leverage that we employ will depend on our assessment of the market and other factors at the time of any proposed borrowing.</w:t>
      </w:r>
    </w:p>
    <w:p>
      <w:pPr>
        <w:spacing w:after="0" w:line="193"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On November 13, 2018 and February 5, 2019, our board of directors and stockholders, respectively, approved the application of the modified asset coverage requirements set forth in Section 61(a)(2) of the 1940 Act, as amended by the Consolidated Appropriations Act of 2018 (which includes the Small Business Credit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59" w:lineRule="auto"/>
        <w:rPr>
          <w:sz w:val="20"/>
          <w:szCs w:val="20"/>
          <w:color w:val="auto"/>
        </w:rPr>
      </w:pPr>
      <w:r>
        <w:rPr>
          <w:rFonts w:ascii="Arial" w:cs="Arial" w:eastAsia="Arial" w:hAnsi="Arial"/>
          <w:sz w:val="18"/>
          <w:szCs w:val="18"/>
          <w:color w:val="auto"/>
        </w:rPr>
        <w:t>Availability Act, or SBCAA). As a result, the asset coverage requirements applicable to us for senior securities reduced from 200% (i.e., $1 of debt outstanding for each $1 of equity) to 150% (i.e., $2 of debt outstanding for each $1 of equity) effective as of February 5, 2019, subject to compliance with certain disclosure requirements. See “Management’s Discussion and Analysis of Financial Condition and Results of Operations— Liquidity and Capital Resources”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Transactions—Administration Agreement” for more information.</w:t>
      </w:r>
    </w:p>
    <w:p>
      <w:pPr>
        <w:spacing w:after="0" w:line="178"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87"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140" w:firstLine="53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80" w:right="46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54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002145" cy="3854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On February 22, 2019, PennantPark Investment Funding I, LLC (the “</w:t>
      </w:r>
      <w:r>
        <w:rPr>
          <w:rFonts w:ascii="Arial" w:cs="Arial" w:eastAsia="Arial" w:hAnsi="Arial"/>
          <w:sz w:val="16"/>
          <w:szCs w:val="16"/>
          <w:u w:val="single" w:color="auto"/>
          <w:color w:val="auto"/>
        </w:rPr>
        <w:t>Borrower</w:t>
      </w:r>
      <w:r>
        <w:rPr>
          <w:rFonts w:ascii="Arial" w:cs="Arial" w:eastAsia="Arial" w:hAnsi="Arial"/>
          <w:sz w:val="16"/>
          <w:szCs w:val="16"/>
          <w:color w:val="auto"/>
        </w:rPr>
        <w:t>”), a wholly-owned subsidiary of the Company, entered into a credit facility (the “</w:t>
      </w:r>
      <w:r>
        <w:rPr>
          <w:rFonts w:ascii="Arial" w:cs="Arial" w:eastAsia="Arial" w:hAnsi="Arial"/>
          <w:sz w:val="16"/>
          <w:szCs w:val="16"/>
          <w:u w:val="single" w:color="auto"/>
          <w:color w:val="auto"/>
        </w:rPr>
        <w:t>BNP Credit Facility</w:t>
      </w:r>
      <w:r>
        <w:rPr>
          <w:rFonts w:ascii="Arial" w:cs="Arial" w:eastAsia="Arial" w:hAnsi="Arial"/>
          <w:sz w:val="16"/>
          <w:szCs w:val="16"/>
          <w:color w:val="auto"/>
        </w:rPr>
        <w:t>”, together with the Credit Facility, the “Credit Facilities”). In connection with the BNP Credit Facility, the Borrower entered into, among other agreements, (i) the revolving credit and security agreement (the “</w:t>
      </w:r>
      <w:r>
        <w:rPr>
          <w:rFonts w:ascii="Arial" w:cs="Arial" w:eastAsia="Arial" w:hAnsi="Arial"/>
          <w:sz w:val="16"/>
          <w:szCs w:val="16"/>
          <w:u w:val="single" w:color="auto"/>
          <w:color w:val="auto"/>
        </w:rPr>
        <w:t>BNP Credit Agreement</w:t>
      </w:r>
      <w:r>
        <w:rPr>
          <w:rFonts w:ascii="Arial" w:cs="Arial" w:eastAsia="Arial" w:hAnsi="Arial"/>
          <w:sz w:val="16"/>
          <w:szCs w:val="16"/>
          <w:color w:val="auto"/>
        </w:rPr>
        <w:t>”) with the lenders from time to time parties thereto, BNP Paribas, as administrative agent, the Company, as equityholder, PennantPark Investment Advisers, LLC, as servicer (in such capacity, the “</w:t>
      </w:r>
      <w:r>
        <w:rPr>
          <w:rFonts w:ascii="Arial" w:cs="Arial" w:eastAsia="Arial" w:hAnsi="Arial"/>
          <w:sz w:val="16"/>
          <w:szCs w:val="16"/>
          <w:u w:val="single" w:color="auto"/>
          <w:color w:val="auto"/>
        </w:rPr>
        <w:t>Servicer</w:t>
      </w:r>
      <w:r>
        <w:rPr>
          <w:rFonts w:ascii="Arial" w:cs="Arial" w:eastAsia="Arial" w:hAnsi="Arial"/>
          <w:sz w:val="16"/>
          <w:szCs w:val="16"/>
          <w:color w:val="auto"/>
        </w:rPr>
        <w:t>”), and The Bank of New York Mellon Trust Company,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(ii) the account control agreement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by and among the Borrower, the Bank, as secured party (in such capacity, the “</w:t>
      </w:r>
      <w:r>
        <w:rPr>
          <w:rFonts w:ascii="Arial" w:cs="Arial" w:eastAsia="Arial" w:hAnsi="Arial"/>
          <w:sz w:val="16"/>
          <w:szCs w:val="16"/>
          <w:u w:val="single" w:color="auto"/>
          <w:color w:val="auto"/>
        </w:rPr>
        <w:t>Secured Party</w:t>
      </w:r>
      <w:r>
        <w:rPr>
          <w:rFonts w:ascii="Arial" w:cs="Arial" w:eastAsia="Arial" w:hAnsi="Arial"/>
          <w:sz w:val="16"/>
          <w:szCs w:val="16"/>
          <w:color w:val="auto"/>
        </w:rPr>
        <w:t>”), the Servicer, and the Bank, as securities intermediary, (iii) the custodian agreement (the “</w:t>
      </w:r>
      <w:r>
        <w:rPr>
          <w:rFonts w:ascii="Arial" w:cs="Arial" w:eastAsia="Arial" w:hAnsi="Arial"/>
          <w:sz w:val="16"/>
          <w:szCs w:val="16"/>
          <w:u w:val="single" w:color="auto"/>
          <w:color w:val="auto"/>
        </w:rPr>
        <w:t>Custodian Agreement</w:t>
      </w:r>
      <w:r>
        <w:rPr>
          <w:rFonts w:ascii="Arial" w:cs="Arial" w:eastAsia="Arial" w:hAnsi="Arial"/>
          <w:sz w:val="16"/>
          <w:szCs w:val="16"/>
          <w:color w:val="auto"/>
        </w:rPr>
        <w:t>”), by and among the Borrower, the Bank, as custodian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the Collateral Agent, and (iv) the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by and between the Borrower and the Company, as seller.</w:t>
      </w:r>
    </w:p>
    <w:p>
      <w:pPr>
        <w:spacing w:after="0" w:line="167"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80" w:firstLine="55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0.92%</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320" w:type="dxa"/>
            <w:vAlign w:val="bottom"/>
            <w:gridSpan w:val="2"/>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9.35%</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right="840" w:hanging="436"/>
        <w:spacing w:after="0" w:line="25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2018.</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on December 31, 2018. See “Certain Relationships and Transactions—Investment Management Agreement” for more information.</w:t>
      </w:r>
    </w:p>
    <w:p>
      <w:pPr>
        <w:ind w:left="640" w:right="8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2018.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260"/>
        <w:spacing w:after="0" w:line="261"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85" w:lineRule="auto"/>
        <w:rPr>
          <w:sz w:val="20"/>
          <w:szCs w:val="20"/>
          <w:color w:val="auto"/>
        </w:rPr>
      </w:pPr>
      <w:r>
        <w:rPr>
          <w:rFonts w:ascii="Arial" w:cs="Arial" w:eastAsia="Arial" w:hAnsi="Arial"/>
          <w:sz w:val="16"/>
          <w:szCs w:val="16"/>
          <w:color w:val="auto"/>
        </w:rPr>
        <w:t>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2" w:lineRule="exact"/>
        <w:rPr>
          <w:sz w:val="20"/>
          <w:szCs w:val="20"/>
          <w:color w:val="auto"/>
        </w:rPr>
      </w:pPr>
    </w:p>
    <w:p>
      <w:pPr>
        <w:ind w:left="640" w:right="20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20" w:hanging="436"/>
        <w:spacing w:after="0" w:line="29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46 of this prospectus.</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7.65%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1 Year</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3 Years</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$ 108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$ 116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412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21"/>
                <w:szCs w:val="21"/>
                <w:color w:val="auto"/>
              </w:rPr>
            </w:pPr>
          </w:p>
        </w:tc>
      </w:tr>
    </w:tbl>
    <w:p>
      <w:pPr>
        <w:spacing w:after="0" w:line="20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40" w:firstLine="551"/>
        <w:spacing w:after="0" w:line="293"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Facilities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8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Facilities and SBA debentures.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addition to the asset coverage ratio requirements, our Credit Facilities contain various covenants which, if not complied with, could accelerate repayment under the Credit Facilities. This could have a material adverse effect on our business, financial condition and results of operations. Our borrowings under our Credit Facilities are collateralized by the assets in our investment portfolio, excluding those portfolio investments held by our SBIC Funds. The agreements governing the Credit Facilities require us to comply with certain financial and operational covenants. These covenants include:</w:t>
      </w:r>
    </w:p>
    <w:p>
      <w:pPr>
        <w:spacing w:after="0" w:line="94"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Facilities not exceed a certain percentage of the value of our portfolio.</w:t>
      </w:r>
    </w:p>
    <w:p>
      <w:pPr>
        <w:spacing w:after="0" w:line="24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to the Credit Facilities,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Facilities and could trigger mandatory prepayment obligations under the terms of the Credit Facilities.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Facilities,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such systems could cause delays or other problems in our activities. This, in turn, could have a material adverse effect on our business, financial condition and results of operations.</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w:t>
      </w:r>
    </w:p>
    <w:p>
      <w:pPr>
        <w:spacing w:after="0" w:line="296"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Annual Distribution Requirement if we recognize income before or without receiving cash representing such income.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If we comply with the applicable disclosure requirements, we will be able to incur additional indebtedness, which may increase the risk of investing in us. Under the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have been reduced from 1.50% to 1.00% on gross assets that exceed 200% of the Company’s total net assets as of the immediately preceding quarter-end.</w:t>
      </w:r>
    </w:p>
    <w:p>
      <w:pPr>
        <w:spacing w:after="0" w:line="28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3" w:lineRule="exact"/>
        <w:rPr>
          <w:sz w:val="20"/>
          <w:szCs w:val="20"/>
          <w:color w:val="auto"/>
        </w:rPr>
      </w:pPr>
    </w:p>
    <w:p>
      <w:pPr>
        <w:ind w:left="1180" w:right="20" w:hanging="436"/>
        <w:spacing w:after="0" w:line="293"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70" w:lineRule="exact"/>
        <w:rPr>
          <w:rFonts w:ascii="Arial" w:cs="Arial" w:eastAsia="Arial" w:hAnsi="Arial"/>
          <w:sz w:val="16"/>
          <w:szCs w:val="16"/>
          <w:color w:val="auto"/>
        </w:rPr>
      </w:pPr>
    </w:p>
    <w:p>
      <w:pPr>
        <w:ind w:left="1180" w:right="4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spacing w:after="0" w:line="285" w:lineRule="auto"/>
        <w:rPr>
          <w:sz w:val="20"/>
          <w:szCs w:val="20"/>
          <w:color w:val="auto"/>
        </w:rPr>
      </w:pPr>
      <w:r>
        <w:rPr>
          <w:rFonts w:ascii="Arial" w:cs="Arial" w:eastAsia="Arial" w:hAnsi="Arial"/>
          <w:sz w:val="16"/>
          <w:szCs w:val="16"/>
          <w:color w:val="auto"/>
        </w:rPr>
        <w:t>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78" w:lineRule="exact"/>
        <w:rPr>
          <w:sz w:val="20"/>
          <w:szCs w:val="20"/>
          <w:color w:val="auto"/>
        </w:rPr>
      </w:pPr>
    </w:p>
    <w:p>
      <w:pPr>
        <w:ind w:left="1180" w:hanging="436"/>
        <w:spacing w:after="0" w:line="285"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78" w:lineRule="exact"/>
        <w:rPr>
          <w:rFonts w:ascii="Arial" w:cs="Arial" w:eastAsia="Arial" w:hAnsi="Arial"/>
          <w:sz w:val="16"/>
          <w:szCs w:val="16"/>
          <w:color w:val="auto"/>
        </w:rPr>
      </w:pPr>
    </w:p>
    <w:p>
      <w:pPr>
        <w:ind w:left="1180" w:right="120" w:hanging="436"/>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 issue, as permitted under SBA regulations and through our wholly owned subsidiaries, SBIC LP, SBIC II and any future SBIC subsidiary, SBA debentures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20"/>
        <w:spacing w:after="0" w:line="264" w:lineRule="auto"/>
        <w:rPr>
          <w:sz w:val="20"/>
          <w:szCs w:val="20"/>
          <w:color w:val="auto"/>
        </w:rPr>
      </w:pPr>
      <w:r>
        <w:rPr>
          <w:rFonts w:ascii="Arial" w:cs="Arial" w:eastAsia="Arial" w:hAnsi="Arial"/>
          <w:sz w:val="18"/>
          <w:szCs w:val="18"/>
          <w:color w:val="auto"/>
        </w:rPr>
        <w:t>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current debt is governed by the terms of our Credit Facilities and the SBA debentures and future debt may be governed by an indenture or other instrument containing covenants restricting our operating flexibility.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December 31, 2018 and September 30, 2018, our asset coverage ratio, as computed in accordance with the 1940 Act, was 248% and 291%, respectively. Since our leverage, including SBA debentures outstanding, was 91% and 80% of our net assets as of December 31, 2018 and September 30, 2018, respectively, we would have to receive an annual return of at least 1.98% and 1.75%, respectively, to cover annual interest payments.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As of December 31, 2018, we had outstanding borrowings of $174.1 million under our Credit Facility, $250.0 million outstanding under our 2019 Notes and $150.0 million outstanding under the SBA debentures. Our consolidated debt outstanding was $574.1 million and had a weighted average annual interest rate at the time of 4.10%, exclusive of the fee on undrawn commitment on our Credit Facility and 3.43% of upfront fees on the SBA debentures. To cover the annual interest on our borrowings of $574.1 million outstanding as of December 31, 2018, at the weighted average annual rate of 4.10%, we would have to receive an annual yield of at least 1.98%.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78"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The following table is designed to illustrate the effect on the return to a holder of our common stock of the leverage created by our use of borrowing as of December 31, 2018 of 46% of total assets (including such borrowed funds), at the current interest rate at the time of 4.10%,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(23.7)%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960" w:type="dxa"/>
            <w:vAlign w:val="bottom"/>
          </w:tcPr>
          <w:p>
            <w:pPr>
              <w:ind w:left="240"/>
              <w:spacing w:after="0"/>
              <w:rPr>
                <w:sz w:val="20"/>
                <w:szCs w:val="20"/>
                <w:color w:val="auto"/>
              </w:rPr>
            </w:pPr>
            <w:r>
              <w:rPr>
                <w:rFonts w:ascii="Arial" w:cs="Arial" w:eastAsia="Arial" w:hAnsi="Arial"/>
                <w:sz w:val="18"/>
                <w:szCs w:val="18"/>
                <w:color w:val="auto"/>
              </w:rPr>
              <w:t>(3.8)%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640" w:right="120" w:hanging="436"/>
        <w:spacing w:after="0" w:line="273"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a result of the issuance of the SBA debentures and borrowings under our Credit Facilities, we are exposed to typical risks associated with leverage, including an increased risk of loss and an increase in expenses,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BDCs in light of the SBCAA as well as any corresponding changes to asset coverage ratios and, in certain cases, downgrade such ratings. Such a downgrade in our credit ratings may adversely affect our securities.</w:t>
      </w:r>
    </w:p>
    <w:p>
      <w:pPr>
        <w:spacing w:after="0" w:line="26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Our Credit Facility and the BNP Credit Facility mature in May 2022 and February 2024, respectively. Additionally, our SBA debentures mature between March 2026 and March 2028. We utilize proceeds from the Credit Facilities and our SBA debentures to make investments in our portfolio companies. The duration of many of our investments exceeds the duration of our indebtedness under our Credit Facilities and certain of our SBA debentures. This means that we will have to extend the maturity of our Credit Facilities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Facilities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7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Facilities,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Facilities.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5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issue subscription rights or warrants for our common stock, your interest in us may be diluted as a result of such rights or warrants offering.</w:t>
      </w:r>
    </w:p>
    <w:p>
      <w:pPr>
        <w:spacing w:after="0" w:line="15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Uncertainty about presidential administration initiatives could negatively impact our business, financial condition and results of operations.</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values of the Credit Facilities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Facilities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8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7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debt maturities. Our borrowings under our Credit Facilities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Facilities.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9"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invest primarily in first lien secured debt, second lien secured debt, subordinated debt and selected equity investments issued by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foreign middle-market companies.</w:t>
      </w:r>
    </w:p>
    <w:p>
      <w:pPr>
        <w:spacing w:after="0" w:line="116" w:lineRule="exact"/>
        <w:rPr>
          <w:sz w:val="20"/>
          <w:szCs w:val="20"/>
          <w:color w:val="auto"/>
        </w:rPr>
      </w:pPr>
    </w:p>
    <w:p>
      <w:pPr>
        <w:ind w:left="1180" w:right="60" w:hanging="544"/>
        <w:spacing w:after="0" w:line="25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97" w:lineRule="auto"/>
        <w:rPr>
          <w:sz w:val="20"/>
          <w:szCs w:val="20"/>
          <w:color w:val="auto"/>
        </w:rPr>
      </w:pPr>
      <w:r>
        <w:rPr>
          <w:rFonts w:ascii="Arial" w:cs="Arial" w:eastAsia="Arial" w:hAnsi="Arial"/>
          <w:sz w:val="16"/>
          <w:szCs w:val="16"/>
          <w:color w:val="auto"/>
        </w:rPr>
        <w:t>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64" w:lineRule="exact"/>
        <w:rPr>
          <w:sz w:val="20"/>
          <w:szCs w:val="20"/>
          <w:color w:val="auto"/>
        </w:rPr>
      </w:pPr>
    </w:p>
    <w:p>
      <w:pPr>
        <w:ind w:left="1180" w:right="20" w:hanging="544"/>
        <w:spacing w:after="0" w:line="291"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1180" w:hanging="544"/>
        <w:spacing w:after="0" w:line="272"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1180" w:right="40" w:hanging="544"/>
        <w:spacing w:after="0" w:line="270"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1180" w:right="14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1180" w:right="180" w:hanging="436"/>
        <w:spacing w:after="0" w:line="279" w:lineRule="auto"/>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76"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30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or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left="200" w:right="540"/>
        <w:spacing w:after="0" w:line="375" w:lineRule="auto"/>
        <w:rPr>
          <w:sz w:val="20"/>
          <w:szCs w:val="20"/>
          <w:color w:val="auto"/>
        </w:rPr>
      </w:pPr>
      <w:r>
        <w:rPr>
          <w:rFonts w:ascii="Arial" w:cs="Arial" w:eastAsia="Arial" w:hAnsi="Arial"/>
          <w:sz w:val="15"/>
          <w:szCs w:val="15"/>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rights we may have with respect to the collateral securing any junior priority loans we make to our portfolio companies may also be limited pursuant to the terms of one or more intercreditor agreements (including agreements governing “first out” and “last out” structures)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could result in our investing in more speculative securities than would otherwise be the case, which could result in higher investment losses, particularly during economic downturns.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Facilities’ multicurrency capability to minimize these risks, but we can offer no assurance that we will, in fact, hedge currency risk or, that if we do, such strategies will be effective.</w:t>
      </w:r>
    </w:p>
    <w:p>
      <w:pPr>
        <w:spacing w:after="0" w:line="30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9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$6.37 and $7.46 on December 31, 2018 and September 30, 2018, respectively. Our NAV per share was $9.05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6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right="7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Facilities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1180" w:right="14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28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77"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disclosures that we may make directly to you or through a supplemental prospectus or through reports that we in the future may file with the SEC, including reports on Form 10-K/Q and current reports on Form 8-K.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200" w:right="500" w:firstLine="4"/>
        <w:spacing w:after="0" w:line="323" w:lineRule="auto"/>
        <w:tabs>
          <w:tab w:leader="none" w:pos="4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24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obligations under our Credit Facility,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we had $270.9 million of unused borrowing capacity, subject to maintenance of the applicable total assets to debt ratio, as set forth in the 1940 Act, and $174.1 million in borrowings outstanding under our $445.0 million Credit Facility. Borrowings under our Credit Facility bear interest at an annual rate equal to the London Interbank Offered Rate, or LIBOR or “L,” plus 225 basis points per annum. At December 31, 2018, the weighted average interest rate on the Credit Facility was 4.39%, exclusive of the fee on undrawn commitments of 0.375%. The Credit Facility is a revolving facility with a stated maturity date of May 25, 2022 and is secured by substantially all of the assets in our investment portfolio, excluding assets of our SBIC Funds. Amounts repaid under our Credit Facility remain available for future borrowings.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of December 31, 2018, we had $250.0 million in aggregate principal amount of 2019 Notes outstanding. The 2019 Notes were prepaid at 100% of the principal amount, plus accrued and unpaid interest through the payment date of March 4, 2019, as well as a make-whole premium. Interest on the 2019 Notes was paid semi-annually on April 1 and October 1, at a rate of 4.50% per year.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of December 31, 2018, our SBIC Funds had $150.0 million in debt commitments, all of which were drawn. The interest rate of SBA debentures is fixed at the time of issuance, often referred to as pooling, at a market-driven spread over 10-year U.S. Treasury Notes. At December 31, 2018, the SBA debentures’ had a weighted average interest rate of 3.11%, exclusive of the 3.43% of upfront fees. The SBA debentures mature between March 2026 and March 2028. The SBA debentures are secured by all the investment portfolio assets of our SBIC Funds and have a priority claim over such assets relative to all other creditors.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225" w:lineRule="exact"/>
        <w:rPr>
          <w:sz w:val="20"/>
          <w:szCs w:val="20"/>
          <w:color w:val="auto"/>
        </w:rPr>
      </w:pPr>
    </w:p>
    <w:p>
      <w:pPr>
        <w:ind w:left="200" w:right="200" w:firstLine="441"/>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 Temporary Investments”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following selected consolidated financial data of the Company as of and for the years ended September 30, 2018, 2017, 2016, 2015, and 2014, is derived from the consolidated financial statements that have been audited by RSM US LLP, the Company’s independent registered public accounting firm. The Company’s consolidated financial statements for the three-month period ended December 31, 2018 and 2017, is derived from our unaudited financial statements. However, in the opinion of the Company, all adjustments, consisting of normal recurring adjustments, necessary for a fair presentation have been made. This financial data should be read in conjunction with the Company’s consolidated financial statements and the notes thereto included elsewhere in this prospectus and with “Management’s Discussion and Analysis of Financial Condition and Results of Operations” and Financial Condition which follows.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For the three months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restart"/>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(Dollar amounts in thousands, except per share data)</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w w:val="99"/>
              </w:rPr>
              <w:t>Consolidated Statement of Operations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   27,380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28,668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108,278</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124,534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142,071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161,629</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147,936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expenses</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14,805</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14,500</w:t>
            </w:r>
            <w:r>
              <w:rPr>
                <w:rFonts w:ascii="Arial" w:cs="Arial" w:eastAsia="Arial" w:hAnsi="Arial"/>
                <w:sz w:val="23"/>
                <w:szCs w:val="23"/>
                <w:color w:val="auto"/>
                <w:vertAlign w:val="superscript"/>
              </w:rPr>
              <w:t>(1)</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54,944</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68,096</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71,456</w:t>
            </w:r>
            <w:r>
              <w:rPr>
                <w:rFonts w:ascii="Arial" w:cs="Arial" w:eastAsia="Arial" w:hAnsi="Arial"/>
                <w:sz w:val="23"/>
                <w:szCs w:val="23"/>
                <w:color w:val="auto"/>
                <w:vertAlign w:val="superscript"/>
              </w:rPr>
              <w:t>(1)</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79,371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76,608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53,334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56,438</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70,615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82,258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71,329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Net realized and unrealized (loss) gain</w:t>
            </w:r>
          </w:p>
        </w:tc>
        <w:tc>
          <w:tcPr>
            <w:tcW w:w="1120" w:type="dxa"/>
            <w:vAlign w:val="bottom"/>
            <w:gridSpan w:val="2"/>
          </w:tcPr>
          <w:p>
            <w:pPr>
              <w:jc w:val="right"/>
              <w:ind w:right="168"/>
              <w:spacing w:after="0"/>
              <w:rPr>
                <w:sz w:val="20"/>
                <w:szCs w:val="20"/>
                <w:color w:val="auto"/>
              </w:rPr>
            </w:pPr>
            <w:r>
              <w:rPr>
                <w:rFonts w:ascii="Arial" w:cs="Arial" w:eastAsia="Arial" w:hAnsi="Arial"/>
                <w:sz w:val="16"/>
                <w:szCs w:val="16"/>
                <w:color w:val="auto"/>
              </w:rPr>
              <w:t>(5,796)</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(1,873)</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(5,621)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5,273</w:t>
            </w: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(51,878)</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(92,504)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39,655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6,778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47,713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61,712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(10,246)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110,983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9.05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9.82</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0.79</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0.99</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3"/>
                <w:szCs w:val="23"/>
                <w:color w:val="auto"/>
                <w:vertAlign w:val="superscript"/>
              </w:rPr>
              <w:t>(2)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(0.08)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line="216" w:lineRule="exact"/>
              <w:rPr>
                <w:sz w:val="20"/>
                <w:szCs w:val="20"/>
                <w:color w:val="auto"/>
              </w:rPr>
            </w:pPr>
            <w:r>
              <w:rPr>
                <w:rFonts w:ascii="Arial" w:cs="Arial" w:eastAsia="Arial" w:hAnsi="Arial"/>
                <w:sz w:val="15"/>
                <w:szCs w:val="15"/>
                <w:color w:val="auto"/>
              </w:rPr>
              <w:t>operations</w:t>
            </w:r>
            <w:r>
              <w:rPr>
                <w:rFonts w:ascii="Arial" w:cs="Arial" w:eastAsia="Arial" w:hAnsi="Arial"/>
                <w:sz w:val="25"/>
                <w:szCs w:val="25"/>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0.10</w:t>
            </w: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0.68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0.87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2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(0.14)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(2), (3)</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Consolidated Statement of Assets and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b w:val="1"/>
                <w:bCs w:val="1"/>
                <w:color w:val="auto"/>
              </w:rPr>
              <w:t>Liabilities data: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1,221,767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1,184,193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1,160,119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1,202,196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1,238,936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1,368,778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1,411,827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1,191,454</w:t>
            </w:r>
          </w:p>
        </w:tc>
        <w:tc>
          <w:tcPr>
            <w:tcW w:w="840" w:type="dxa"/>
            <w:vAlign w:val="bottom"/>
          </w:tcPr>
          <w:p>
            <w:pPr>
              <w:jc w:val="right"/>
              <w:spacing w:after="0"/>
              <w:rPr>
                <w:sz w:val="20"/>
                <w:szCs w:val="20"/>
                <w:color w:val="auto"/>
              </w:rPr>
            </w:pPr>
            <w:r>
              <w:rPr>
                <w:rFonts w:ascii="Arial" w:cs="Arial" w:eastAsia="Arial" w:hAnsi="Arial"/>
                <w:sz w:val="16"/>
                <w:szCs w:val="16"/>
                <w:color w:val="auto"/>
              </w:rPr>
              <w:t>1,100,621</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1,132,085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1,153,578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1,153,680</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1,299,048</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1,318,055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562,308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510,315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504,342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526,067</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559,589</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602,865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526,668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net asset value</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615,941</w:t>
            </w:r>
          </w:p>
        </w:tc>
        <w:tc>
          <w:tcPr>
            <w:tcW w:w="840" w:type="dxa"/>
            <w:vAlign w:val="bottom"/>
          </w:tcPr>
          <w:p>
            <w:pPr>
              <w:jc w:val="right"/>
              <w:spacing w:after="0"/>
              <w:rPr>
                <w:sz w:val="20"/>
                <w:szCs w:val="20"/>
                <w:color w:val="auto"/>
              </w:rPr>
            </w:pPr>
            <w:r>
              <w:rPr>
                <w:rFonts w:ascii="Arial" w:cs="Arial" w:eastAsia="Arial" w:hAnsi="Arial"/>
                <w:sz w:val="16"/>
                <w:szCs w:val="16"/>
                <w:color w:val="auto"/>
              </w:rPr>
              <w:t>646,313</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628,902</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646,808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643,367</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716,591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828,010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(5)</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(12.39)%</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(5.62)%</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9.70%</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10.80%</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36.64%</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(32.51)%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(6)</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(6)</w:t>
            </w:r>
          </w:p>
        </w:tc>
        <w:tc>
          <w:tcPr>
            <w:tcW w:w="1120" w:type="dxa"/>
            <w:vAlign w:val="bottom"/>
            <w:gridSpan w:val="2"/>
          </w:tcPr>
          <w:p>
            <w:pPr>
              <w:jc w:val="right"/>
              <w:ind w:right="88"/>
              <w:spacing w:after="0"/>
              <w:rPr>
                <w:sz w:val="20"/>
                <w:szCs w:val="20"/>
                <w:color w:val="auto"/>
              </w:rPr>
            </w:pPr>
            <w:r>
              <w:rPr>
                <w:rFonts w:ascii="Arial" w:cs="Arial" w:eastAsia="Arial" w:hAnsi="Arial"/>
                <w:sz w:val="16"/>
                <w:szCs w:val="16"/>
                <w:color w:val="auto"/>
              </w:rPr>
              <w:t>10.9%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11.2%</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11.5%</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11.9%</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12.1%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7632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640" w:right="200" w:hanging="436"/>
        <w:spacing w:after="0" w:line="258"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before base management fee and incentive fee waivers were for the three months ended December 31, 2017, $15,928 and for the years ended September 30, 2018, 2017, and 2016, $56,371, $73,743 and $77,996, respectively.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fair value, excluding our SBA debentures.</w:t>
      </w:r>
    </w:p>
    <w:p>
      <w:pPr>
        <w:spacing w:after="0" w:line="9"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 at period end.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(5,796)</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24,760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27,226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13,975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(1,873)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12,473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31,084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31,869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12,768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7,424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5620" w:right="4620" w:hanging="5416"/>
        <w:spacing w:after="0" w:line="413"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43</w:t>
      </w:r>
    </w:p>
    <w:p>
      <w:pPr>
        <w:sectPr>
          <w:pgSz w:w="11900" w:h="16838" w:orient="portrait"/>
          <w:cols w:equalWidth="0" w:num="1">
            <w:col w:w="10780"/>
          </w:cols>
          <w:pgMar w:left="240" w:top="459" w:right="8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2010 and 2012, respectively. SBIC LP and SBIC II received licenses from the SBA to operate as SBICs under Section 301(c) of the 1958 Act.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73"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supervises our day-to-day activities.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distributions,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4"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75" w:lineRule="exact"/>
        <w:rPr>
          <w:rFonts w:ascii="Arial" w:cs="Arial" w:eastAsia="Arial" w:hAnsi="Arial"/>
          <w:sz w:val="18"/>
          <w:szCs w:val="18"/>
          <w:color w:val="auto"/>
        </w:rPr>
      </w:pPr>
    </w:p>
    <w:p>
      <w:pPr>
        <w:jc w:val="both"/>
        <w:ind w:left="1180" w:right="60" w:hanging="436"/>
        <w:spacing w:after="0" w:line="279"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7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285"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ind w:left="96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0.93%</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2.20%</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0.50%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5.13%</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as of December 31, 2018.</w:t>
      </w:r>
    </w:p>
    <w:p>
      <w:pPr>
        <w:spacing w:after="0" w:line="23"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See “Certain Relationships and Transactions—Investment Management Agreement” for more information.</w:t>
      </w:r>
    </w:p>
    <w:p>
      <w:pPr>
        <w:ind w:left="640" w:right="40" w:hanging="436"/>
        <w:spacing w:after="0" w:line="286"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8" w:lineRule="auto"/>
        <w:rPr>
          <w:sz w:val="20"/>
          <w:szCs w:val="20"/>
          <w:color w:val="auto"/>
        </w:rPr>
      </w:pPr>
      <w:r>
        <w:rPr>
          <w:rFonts w:ascii="Arial" w:cs="Arial" w:eastAsia="Arial" w:hAnsi="Arial"/>
          <w:sz w:val="18"/>
          <w:szCs w:val="18"/>
          <w:color w:val="auto"/>
        </w:rPr>
        <w:t>For more detailed information about the incentive fee, please see “Certain Relationships and Transactions—Investment Management Agreement” for more information.</w:t>
      </w:r>
    </w:p>
    <w:p>
      <w:pPr>
        <w:spacing w:after="0" w:line="1" w:lineRule="exact"/>
        <w:rPr>
          <w:sz w:val="20"/>
          <w:szCs w:val="20"/>
          <w:color w:val="auto"/>
        </w:rPr>
      </w:pPr>
    </w:p>
    <w:p>
      <w:pPr>
        <w:ind w:left="640" w:hanging="436"/>
        <w:spacing w:after="0" w:line="281"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40"/>
        <w:spacing w:after="0" w:line="250"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 w:lineRule="exact"/>
        <w:rPr>
          <w:rFonts w:ascii="Arial" w:cs="Arial" w:eastAsia="Arial" w:hAnsi="Arial"/>
          <w:sz w:val="16"/>
          <w:szCs w:val="16"/>
          <w:color w:val="auto"/>
        </w:rPr>
      </w:pPr>
    </w:p>
    <w:p>
      <w:pPr>
        <w:ind w:left="640" w:right="260" w:hanging="436"/>
        <w:spacing w:after="0" w:line="281"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80" w:hanging="436"/>
        <w:spacing w:after="0" w:line="25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table above is intended to assist you in understanding the various costs and expenses that an investor in shares of our common stock will bear as a percentage of our average gross assets as of December 31, 2018.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of December 31, 2017, our portfolio totaled $1,100.6 million and consisted of $444.9 million of first lien secured debt, $375.6 million of second lien secured debt, $107.2 million of subordinated debt and $172.9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of preferred and common equity. Our debt portfolio consisted of 82% variable-rate investments (including 12% where LIBOR was below the floor) and 18% fixed-rate investments. As of December 31, 2017, we had no companies on non-accrual. Overall, the 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For the three months ended December 31, 2018, we invested $194.5 million in six new and 13 existing portfolio companies with a weighted</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average yield on debt investments of 9.5%. Sales and repayments of investments for the three months ended December 31, 2018 totaled $125.8 million.</w:t>
      </w:r>
    </w:p>
    <w:p>
      <w:pPr>
        <w:spacing w:after="0" w:line="23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24"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2017, we invested $508.3 million of investments in 18 new and 24 existing portfolio companies with a weighted average yield on debt investments of 10.5%. Sales and repayments of investments for the year ended September 30, 2018 totaled $544.0 million.</w:t>
      </w:r>
    </w:p>
    <w:p>
      <w:pPr>
        <w:spacing w:after="0" w:line="124"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For the year ended September 30, 2016, we invested $330.6 million of investments in four new and 25 existing portfolio companies with a weighted average yield on debt investments of 11.9%. Sales and repayments of investments for the year ended September 30, 2017 totaled $439.7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2020" w:right="960" w:hanging="931"/>
        <w:spacing w:after="0" w:line="277" w:lineRule="auto"/>
        <w:tabs>
          <w:tab w:leader="none" w:pos="2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020" w:right="960" w:hanging="931"/>
        <w:spacing w:after="0" w:line="312" w:lineRule="auto"/>
        <w:tabs>
          <w:tab w:leader="none" w:pos="2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020" w:right="1220" w:hanging="931"/>
        <w:spacing w:after="0" w:line="277" w:lineRule="auto"/>
        <w:tabs>
          <w:tab w:leader="none" w:pos="2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$0 relating to amendment costs on the Credit Facility costs during each of the three months ended December 31, 2018 and 2017 and $0, $3.9 million and $0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For the year ended September 30, 2018, the Credit Facility and 2019 Notes had a net change in unrealized depreciation of $3.9 million. For the years ended September 30, 2017 and 2016, our Credit Facility and the 2019 Notes and 2025 Notes had a net change in unrealized (appreciation) depreciation of $(7.6) million and $3.7 million, respectively. As of December 31, 2018, September 30, 2018 and 2017, net unrealized depreciation (appreciation) on our Credit Facility and the 2019 Notes totaled $7.6 million, $1.6 million and $(2.3) million, respectively. We use a nationally recognized independent valuation service to fair value our Credit Facility and our 2019 Notes in a manner consistent with the valuation process that the board of directors uses to value investments.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2019 Notes and, prior to their redemption, the 2025 Notes during the reporting period, including any reversal of previously recorded unrealized appreciation or depreciation, when gains or losses are realized.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240" w:hanging="172"/>
        <w:spacing w:after="0"/>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40" w:lineRule="exact"/>
        <w:rPr>
          <w:rFonts w:ascii="Arial" w:cs="Arial" w:eastAsia="Arial" w:hAnsi="Arial"/>
          <w:sz w:val="16"/>
          <w:szCs w:val="16"/>
          <w:color w:val="auto"/>
        </w:rPr>
      </w:pPr>
    </w:p>
    <w:p>
      <w:pPr>
        <w:ind w:left="640" w:right="480" w:firstLine="428"/>
        <w:spacing w:after="0" w:line="277" w:lineRule="auto"/>
        <w:tabs>
          <w:tab w:leader="none" w:pos="12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certain annual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three months ended December 31,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leverage, which resulted in an increased interest expense.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three months ended December 31, 2018 totaled $125.8 million and net realized gains totaled</w:t>
      </w:r>
    </w:p>
    <w:p>
      <w:pPr>
        <w:spacing w:after="0" w:line="35"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8"/>
          <w:szCs w:val="18"/>
          <w:color w:val="auto"/>
        </w:rPr>
        <w:t>$8.5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the Credit Facility and the 2019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December 31, 2018 and 2017, our Credit Facility and the 2019 Notes had a net change in unrealized depreciation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$6.1 million and $1.1 million, respectively. As of December 31, 2018 and September 30, 2018, the net unrealized depreciation on the Credit Facility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Notes totaled $7.6 million and $1.6 million, respectively. The net change in net unrealized depreciation compared to the same period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 year was primarily due to changes in the capital markets.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our results of operations for the fiscal years ended September 30, 2018,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2017 was $124.5 million and was attributable to $54.4 million from first lien secured debt, $50.4 million from second lien secured debt, $19.7 million from subordinated debt and preferred and common equity. The decrease in investment income over the prior year was primarily due to a reduction of our portfolio at cost.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Investment income for the year ended September 30, 2016 was $142.1 million and was attributable to $59.9 million from first lien secured debt, $60.5 million from second lien secured debt, $21.7 million from subordinated debt and preferred and common equity.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8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Net expenses for the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w:t>
      </w:r>
    </w:p>
    <w:p>
      <w:pPr>
        <w:ind w:left="200" w:right="360"/>
        <w:spacing w:after="0" w:line="261" w:lineRule="auto"/>
        <w:rPr>
          <w:sz w:val="20"/>
          <w:szCs w:val="20"/>
          <w:color w:val="auto"/>
        </w:rPr>
      </w:pPr>
      <w:r>
        <w:rPr>
          <w:rFonts w:ascii="Arial" w:cs="Arial" w:eastAsia="Arial" w:hAnsi="Arial"/>
          <w:sz w:val="18"/>
          <w:szCs w:val="18"/>
          <w:color w:val="auto"/>
        </w:rPr>
        <w:t>$6.3 million and provision for taxes totaled $1.7 million. The decrease in expenses over the prior year was primarily due to lower incentive fees and general and administrative expenses.</w:t>
      </w:r>
    </w:p>
    <w:p>
      <w:pPr>
        <w:spacing w:after="0" w:line="184"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Net expenses for the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Net investment income totaled $53.3 million or $0.75 per share, $56.4 million or $0.79 per share and $70.6 million or $0.99 per share for the years ended September 30, 2018, 2017 and 2016, respectively. The decrease in net investment income per share compared to the prior year was primarily due to a lower yielding portfolio partially offset by a decrease in debt related expenses and base management fees.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years ended September 30, 2018, 2017 and 2016 totaled $630.5 million, $544.0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$439.7 million, respectively, and net realized gains (losses) totaled $45.9 million, $(31.0) million and $(80.5) million, respectively. The change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realized gains/losses was primarily due to changes in the market conditions of our investments and the values at which they were realized.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the 2019 Notes and the 2025 Notes</w:t>
      </w:r>
    </w:p>
    <w:p>
      <w:pPr>
        <w:spacing w:after="0" w:line="117"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For the years ended September 30, 2018, 2017 and 2016, we reported net change in unrealized (depreciation) appreciation on investments of $(55.3) million, $43.9 million and $24.9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5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the year ended September 30, 2018, our Credit Facility and the 2019 Notes had a net change in unrealized depreciation of $3.9 million. For the years ended September 30, 2017 and 2016, our Credit Facility, 2019 Notes and 2025 Notes had a net change in unrealized (appreciation) depreciation of $(7.6) million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$3.7 million. As of September 30, 2018 and 2017, our net unrealized depreciation (appreciation) on our Credit Facility and the 2019 Notes totaled</w:t>
      </w:r>
    </w:p>
    <w:p>
      <w:pPr>
        <w:spacing w:after="0" w:line="35"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$1.6 million and $(2.3) million, respectively. The net change in unrealized depreciation for the year ended September 30, 2018 compared to the prior year was primarily due to changes in the capital markets.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Net change in net assets resulting from operations totaled $47.7 million or $0.68 per share, $61.7 million or $0.87 per share and $18.7 million or $0.26 per share for the years ended September 30, 2018, 2017 and 2016, respectively. The decrease in the net change in net assets from operations for year ended September 30, 2018 compared to the prior year was primarily due to a lower yielding portfolio and depreciation of our investments.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requirements applicable to us for senior securities have been reduced from 200% (i.e., $1 of debt outstanding for each $1 of equity) to 150% (i.e., $2 of debt outstanding for each $1 of equity), subject to compliance with certain disclosure requirements. As of December 31, 2018 and September 30, 2018, our asset coverage ratio, as computed in accordance with the 1940 Act, was 248% and 291%, respectively.</w:t>
      </w:r>
    </w:p>
    <w:p>
      <w:pPr>
        <w:spacing w:after="0" w:line="193"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December 31, 2018, we had a $445 million multi-currency Credit Facility with certain lenders and SunTrust Bank, acting as administrative agent, and JPMorgan Chase Bank, N.A., acting as syndication agent for the lenders. As of December 31, 2018, September 30, 2018 and 2017, we had $174.1 million, $80.5 million (including a $2.0 million temporary draw) and $79.4 million, respectively, in outstanding borrowings under the Credit Facility. The Credit Facility had a weighted average interest rate of 4.39%, 3.79% and 2.42%, respectively, exclusive of the fee on undrawn commitments of 0.375%, as of December 31, 2018, September 30, 2018 and 2017. The Credit Facility is a five-year revolving facility with a stated maturity date of May 25, 2022, a one-year term-out period following its fourth year and pricing set at 225 basis points over LIBOR. As of December 31, 2018, September 30, 2018 and 2017, we had $270.9 million, $364.5 million and $365.6 million of unused borrowing capacity under our Credit Facility, respectively, subject to the regulatory restrictions. The Credit Facility is secured by substantially all of our assets excluding assets held by our SBIC Funds. For a complete list of covenants contained in the Credit Facility, please refer to the Credit Facility agreement filed as Exhibit 10.1 on our Form 10-Q filed August 7, 2017 and incorporated by reference therein.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we were in compliance with the terms of our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58"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6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On May 9, 2018, we announced a share repurchase program which allows us to repurchase up to $30 million of our outstanding common stock in the open market at prices below our NAV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zero SBA debentures outstanding as of December 31, 2018. We have funded SBIC II with $75.0 million of equity capital and it had SBA debentures outstanding of $150.0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of December 31, 2018, September 30, 2018 and 2017, our SBIC Funds had $150.0 million, $300.0 million and $300.0 million in debt commitments, respectively, of which $150.0 million, $180.0 million and $199.0 million was drawn, respectively. As of December 31, 2018, September 30, 2018 and 2017, the unamortized fees on the SBA debentures were $4.2 million, $4.6 million and $4.6 million, respectively. The SBA debentures’ upfront fees of 3.43% consist of a commitment fee of 1.00% and an issuance discount of 2.43%, which are being amortized.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as of December 31, 2018 and September 30, 2018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Fixed All-in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58"/>
        </w:trPr>
        <w:tc>
          <w:tcPr>
            <w:tcW w:w="506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100" w:type="dxa"/>
            <w:vAlign w:val="bottom"/>
            <w:gridSpan w:val="3"/>
          </w:tcPr>
          <w:p>
            <w:pPr>
              <w:jc w:val="center"/>
              <w:ind w:left="13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0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 2026</w:t>
            </w:r>
          </w:p>
        </w:tc>
        <w:tc>
          <w:tcPr>
            <w:tcW w:w="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September 1, 2026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2027</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5"/>
              </w:rPr>
              <w:t>2.87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1420" w:type="dxa"/>
            <w:vAlign w:val="bottom"/>
          </w:tcPr>
          <w:p>
            <w:pPr>
              <w:jc w:val="right"/>
              <w:spacing w:after="0"/>
              <w:rPr>
                <w:sz w:val="20"/>
                <w:szCs w:val="20"/>
                <w:color w:val="auto"/>
              </w:rPr>
            </w:pPr>
            <w:r>
              <w:rPr>
                <w:rFonts w:ascii="Arial" w:cs="Arial" w:eastAsia="Arial" w:hAnsi="Arial"/>
                <w:sz w:val="18"/>
                <w:szCs w:val="18"/>
                <w:color w:val="auto"/>
              </w:rPr>
              <w:t>March 1, 2028</w:t>
            </w:r>
          </w:p>
        </w:tc>
        <w:tc>
          <w:tcPr>
            <w:tcW w:w="700" w:type="dxa"/>
            <w:vAlign w:val="bottom"/>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5"/>
              </w:rPr>
              <w:t>3.53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Fixed All-in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6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8"/>
        </w:trPr>
        <w:tc>
          <w:tcPr>
            <w:tcW w:w="506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100" w:type="dxa"/>
            <w:vAlign w:val="bottom"/>
            <w:gridSpan w:val="3"/>
          </w:tcPr>
          <w:p>
            <w:pPr>
              <w:jc w:val="center"/>
              <w:ind w:left="13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0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September 1, 2021</w:t>
            </w:r>
          </w:p>
        </w:tc>
        <w:tc>
          <w:tcPr>
            <w:tcW w:w="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20" w:type="dxa"/>
            <w:vAlign w:val="bottom"/>
          </w:tcPr>
          <w:p>
            <w:pPr>
              <w:jc w:val="right"/>
              <w:spacing w:after="0"/>
              <w:rPr>
                <w:sz w:val="20"/>
                <w:szCs w:val="20"/>
                <w:color w:val="auto"/>
              </w:rPr>
            </w:pPr>
            <w:r>
              <w:rPr>
                <w:rFonts w:ascii="Arial" w:cs="Arial" w:eastAsia="Arial" w:hAnsi="Arial"/>
                <w:sz w:val="18"/>
                <w:szCs w:val="18"/>
                <w:color w:val="auto"/>
              </w:rPr>
              <w:t>March 1, 2026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2.86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2026</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5"/>
              </w:rPr>
              <w:t>2.41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September 1, 2027</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2.87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2028</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5"/>
              </w:rPr>
              <w:t>3.53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180,000,000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Excluding 3.43% of upfront fees.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required 150% asset coverage ratio is met after such borrowing. As of December 31, 2018, September 30, 2018 and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As of December 31, 2018, September 30, 2018 and 2017, we had cash and cash equivalents of $24.7 million, $19.5 million and $38.2 million, respectively, available for investing and general corporate purposes. We believe our liquidity and capital resources are sufficient to take advantage of market opportunities.</w:t>
      </w:r>
    </w:p>
    <w:p>
      <w:pPr>
        <w:spacing w:after="0" w:line="18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activities provided cash of $62.4 million for the three months ended December 31, 2017, and our financing activities used cash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$27.8 million for the same period. Our operating activities provided cash from sales and repayments on our investments and our financing activities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primarily to pay distributions to stockholders and repay the SBA debentures.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operating activities provided cash of $66.9 million for the year ended September 30, 2018, and our financing activities used cash of</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$85.6 million for the same period. Our operating activities provided cash from sales and repayments on our investments and our financing activities used cash primarily for net repayments of the SBA debentures and our stock repurchase program.</w:t>
      </w:r>
    </w:p>
    <w:p>
      <w:pPr>
        <w:spacing w:after="0" w:line="18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operating activities provided cash of $69.2 million for the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operating activities provided cash of $157.7 million for the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December 31, 2018, including borrowings under our various debt facilities and other contractual obligations, is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Payments due by period (in millions)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8"/>
              </w:rPr>
              <w:t>1-3 years</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 years</w:t>
            </w:r>
          </w:p>
        </w:tc>
        <w:tc>
          <w:tcPr>
            <w:tcW w:w="102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9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$174.1</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615.1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$ 201.1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58"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annualized weighted average cost of debt as of December 31, 2018, excluding debt issuance costs, was 4.10% exclusive of the fee on the undrawn commitment on the Credit Facility and 3.43% of upfront fees on SBA debentures.</w:t>
      </w:r>
    </w:p>
    <w:p>
      <w:pPr>
        <w:spacing w:after="0" w:line="1" w:lineRule="exact"/>
        <w:rPr>
          <w:rFonts w:ascii="Arial" w:cs="Arial" w:eastAsia="Arial" w:hAnsi="Arial"/>
          <w:sz w:val="15"/>
          <w:szCs w:val="15"/>
          <w:color w:val="auto"/>
        </w:rPr>
      </w:pPr>
    </w:p>
    <w:p>
      <w:pPr>
        <w:ind w:left="640" w:right="480" w:hanging="436"/>
        <w:spacing w:after="0" w:line="261"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Unfunded debt and equity investments are disclosed in the Consolidated Schedule of Investments and Note 11 of our Consolidated Financial Statements</w:t>
      </w:r>
    </w:p>
    <w:p>
      <w:pPr>
        <w:spacing w:after="0" w:line="18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most recently reapproved by our board of directors, including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majority of our directors who are not interested persons of us or the Investment Adviser, in February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6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22, 2019, Borrower, a wholly-owned subsidiary of the Company, entered into the BNP Credit Facility. In connection with the BNP Credit Facility, the Borrower entered into, among other agreements, (i) the BNP Credit Agreement, (ii) the Control Agreement, (iii) the Custodian Agreement, and (iv) the Purchase and Sale Agreement.</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During both the three months ended December 31, 2018 and 2017, we declared distributions of $0.18 per share, for total distributions of $12.2 million and $12.8 million, respectively. During the years ended September 30, 2018, 2017 and 2016, we declared distributions of $0.72 per share, $0.82 per share and $1.12 per share, respectively, for total distributions of $50.6 million, $58.3 million and $79.8 million, respectively. We monitor available net investment income to determine if a return of capital for tax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81"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40" w:type="dxa"/>
            <w:vAlign w:val="bottom"/>
            <w:gridSpan w:val="4"/>
          </w:tcPr>
          <w:p>
            <w:pPr>
              <w:jc w:val="center"/>
              <w:ind w:left="2654"/>
              <w:spacing w:after="0"/>
              <w:rPr>
                <w:sz w:val="20"/>
                <w:szCs w:val="20"/>
                <w:color w:val="auto"/>
              </w:rPr>
            </w:pPr>
            <w:r>
              <w:rPr>
                <w:rFonts w:ascii="Arial" w:cs="Arial" w:eastAsia="Arial" w:hAnsi="Arial"/>
                <w:sz w:val="14"/>
                <w:szCs w:val="14"/>
                <w:b w:val="1"/>
                <w:bCs w:val="1"/>
                <w:color w:val="auto"/>
                <w:w w:val="93"/>
              </w:rPr>
              <w:t>Change In Interest</w:t>
            </w:r>
          </w:p>
        </w:tc>
        <w:tc>
          <w:tcPr>
            <w:tcW w:w="178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4"/>
              </w:rPr>
              <w:t>Change 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In Interest Rates</w:t>
            </w:r>
          </w:p>
        </w:tc>
        <w:tc>
          <w:tcPr>
            <w:tcW w:w="3320" w:type="dxa"/>
            <w:vAlign w:val="bottom"/>
          </w:tcPr>
          <w:p>
            <w:pPr>
              <w:spacing w:after="0"/>
              <w:rPr>
                <w:sz w:val="12"/>
                <w:szCs w:val="12"/>
                <w:color w:val="auto"/>
              </w:rPr>
            </w:pPr>
          </w:p>
        </w:tc>
        <w:tc>
          <w:tcPr>
            <w:tcW w:w="17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Down 1%</w:t>
            </w:r>
          </w:p>
        </w:tc>
        <w:tc>
          <w:tcPr>
            <w:tcW w:w="3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(7,515)</w:t>
            </w: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7,515</w:t>
            </w: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22,544</w:t>
            </w: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30,066</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December 31, 2018 (unaudited) and September 30, 2018, 2017, 2016, 2015, 2014, 2013, 2012, 2011, 2010, and 2009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10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Coverage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5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36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8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2019 (As of December 31, 2018, unaudited)</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424,136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2,479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330,520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329,393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2,950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371,590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2,756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458,114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2,569</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376,476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3,198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216,750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4,261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5,636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240,900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2,937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247,600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2,655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225,100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2,713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260" w:hanging="436"/>
        <w:spacing w:after="0" w:line="25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December 31, 2018 and September 30, 2018, 2017, 2016, 2015, 2014, 2013, 2012, 2011, 2010, and 2009, the fair value of our senior securities outstanding presented in thousands (000s) was $416,518, $328,968, $331,702, $366,344, $456,595, $376,668, $213,900, $144,453, $238,792, $233,641, and $175,475, respectively.</w:t>
      </w:r>
    </w:p>
    <w:p>
      <w:pPr>
        <w:spacing w:after="0" w:line="2"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total amount outstanding and asset coverage per unit computation pursuant to an exemptive relief letter provided by the SEC in June 2011.</w:t>
      </w:r>
    </w:p>
    <w:p>
      <w:pPr>
        <w:ind w:left="6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 On June 29, 2017, the 2025 Notes were redeemed in full and no amounts were outstanding as of December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2016. On April 11, 2019, the last reported closing price of our common stock was $7.04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8"/>
              </w:rPr>
              <w:t>Closing Sales Price</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Premium (Discount)</w:t>
            </w:r>
          </w:p>
        </w:tc>
        <w:tc>
          <w:tcPr>
            <w:tcW w:w="1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Premium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60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20" w:type="dxa"/>
            <w:vAlign w:val="bottom"/>
          </w:tcPr>
          <w:p>
            <w:pPr>
              <w:spacing w:after="0"/>
              <w:rPr>
                <w:sz w:val="6"/>
                <w:szCs w:val="6"/>
                <w:color w:val="auto"/>
              </w:rPr>
            </w:pPr>
          </w:p>
        </w:tc>
        <w:tc>
          <w:tcPr>
            <w:tcW w:w="16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080" w:type="dxa"/>
            <w:vAlign w:val="bottom"/>
            <w:gridSpan w:val="4"/>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420" w:type="dxa"/>
            <w:vAlign w:val="bottom"/>
          </w:tcPr>
          <w:p>
            <w:pPr>
              <w:spacing w:after="0"/>
              <w:rPr>
                <w:sz w:val="4"/>
                <w:szCs w:val="4"/>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18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220" w:type="dxa"/>
            <w:vAlign w:val="bottom"/>
          </w:tcPr>
          <w:p>
            <w:pPr>
              <w:spacing w:after="0"/>
              <w:rPr>
                <w:sz w:val="13"/>
                <w:szCs w:val="13"/>
                <w:color w:val="auto"/>
              </w:rPr>
            </w:pPr>
          </w:p>
        </w:tc>
        <w:tc>
          <w:tcPr>
            <w:tcW w:w="16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2019</w:t>
            </w: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Third quarter (As of April 11,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7.00</w:t>
            </w:r>
          </w:p>
        </w:tc>
        <w:tc>
          <w:tcPr>
            <w:tcW w:w="440" w:type="dxa"/>
            <w:vAlign w:val="bottom"/>
          </w:tcPr>
          <w:p>
            <w:pPr>
              <w:spacing w:after="0"/>
              <w:rPr>
                <w:sz w:val="18"/>
                <w:szCs w:val="18"/>
                <w:color w:val="auto"/>
              </w:rPr>
            </w:pP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620" w:type="dxa"/>
            <w:vAlign w:val="bottom"/>
            <w:gridSpan w:val="2"/>
          </w:tcPr>
          <w:p>
            <w:pPr>
              <w:jc w:val="center"/>
              <w:ind w:left="639"/>
              <w:spacing w:after="0"/>
              <w:rPr>
                <w:sz w:val="20"/>
                <w:szCs w:val="20"/>
                <w:color w:val="auto"/>
              </w:rPr>
            </w:pPr>
            <w:r>
              <w:rPr>
                <w:rFonts w:ascii="Arial" w:cs="Arial" w:eastAsia="Arial" w:hAnsi="Arial"/>
                <w:sz w:val="18"/>
                <w:szCs w:val="18"/>
                <w:color w:val="auto"/>
                <w:w w:val="99"/>
              </w:rPr>
              <w:t>N/A%</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7" w:lineRule="exact"/>
        <w:rPr>
          <w:sz w:val="20"/>
          <w:szCs w:val="20"/>
          <w:color w:val="auto"/>
        </w:rPr>
      </w:pPr>
    </w:p>
    <w:p>
      <w:pPr>
        <w:ind w:left="640" w:right="160" w:hanging="436"/>
        <w:spacing w:after="0" w:line="25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$6.37 and $7.46 as of December 31, 2018 and September 30, 2018, respectively. Our NAV per share was $9.05 and $9.11 as of December 31, 2018 and September 30,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2019, we had 10 stockholders of record.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180" w:right="4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6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Example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at 10%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18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99,100</w:t>
            </w:r>
          </w:p>
        </w:tc>
        <w:tc>
          <w:tcPr>
            <w:tcW w:w="18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(0.90)%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95,000</w:t>
            </w: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Total investment by stockholder A (assumed to be $10.00 per</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dilution to stockholder A (total NAV less 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w w:val="98"/>
              </w:rPr>
              <w:t>Dilution per share held by stockholder A (NAV per share less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Percentage dilution to stockholder A (dilution per share divided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NAV per share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(5.00)%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11,250</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13,750</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6.88 %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6"/>
                <w:szCs w:val="16"/>
                <w:color w:val="auto"/>
              </w:rPr>
              <w:t>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109,863</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9.86 %</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129,588</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9.77</w:t>
            </w:r>
          </w:p>
        </w:tc>
        <w:tc>
          <w:tcPr>
            <w:tcW w:w="2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NAV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(dilution)/accretion to stockholder A</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w w:val="98"/>
              </w:rPr>
              <w:t>Investment per share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Percentage (dilution)/accretion to</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In January 2019, Form 1099-DIVs were sent to stockholders subject to information reporting that stated the amount and composition of distributions, and provided information with respect to appropriate tax treatment of our distributions.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2018 and</w:t>
      </w:r>
    </w:p>
    <w:p>
      <w:pPr>
        <w:spacing w:after="0" w:line="46"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2017 from ordinary income (including short-term gains), if any, totaled $50.6 million and $58.3 million, or $0.72 and $0.82 per share, respectively, based on weighted average shares outstanding for the respective periods.</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2018 and the years ended September 30, 2018, 2017 and 2016,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180" w:right="600" w:hanging="436"/>
        <w:spacing w:after="0" w:line="26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1180" w:right="260" w:hanging="436"/>
        <w:spacing w:after="0" w:line="261"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1180" w:right="20" w:hanging="436"/>
        <w:spacing w:after="0" w:line="289"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180" w:hanging="436"/>
        <w:spacing w:after="0" w:line="281"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70" w:lineRule="exact"/>
        <w:rPr>
          <w:rFonts w:ascii="Arial" w:cs="Arial" w:eastAsia="Arial" w:hAnsi="Arial"/>
          <w:sz w:val="17"/>
          <w:szCs w:val="17"/>
          <w:color w:val="auto"/>
        </w:rPr>
      </w:pPr>
    </w:p>
    <w:p>
      <w:pPr>
        <w:ind w:left="1180" w:right="20" w:hanging="436"/>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1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600" w:hanging="176"/>
        <w:spacing w:after="0"/>
        <w:tabs>
          <w:tab w:leader="none" w:pos="60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20" w:firstLine="551"/>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31"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1180" w:right="920" w:hanging="652"/>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1180" w:hanging="652"/>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ind w:left="1180" w:right="180" w:hanging="652"/>
        <w:spacing w:after="0" w:line="312"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a portfolio company’s business plan and compliance with covenants;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Cable Television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Capital Equipment</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Cargo Transportation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4420" w:type="dxa"/>
            <w:vAlign w:val="bottom"/>
            <w:gridSpan w:val="2"/>
          </w:tcPr>
          <w:p>
            <w:pPr>
              <w:ind w:left="1820"/>
              <w:spacing w:after="0"/>
              <w:rPr>
                <w:sz w:val="20"/>
                <w:szCs w:val="20"/>
                <w:color w:val="auto"/>
              </w:rPr>
            </w:pPr>
            <w:r>
              <w:rPr>
                <w:rFonts w:ascii="Arial" w:cs="Arial" w:eastAsia="Arial" w:hAnsi="Arial"/>
                <w:sz w:val="18"/>
                <w:szCs w:val="18"/>
                <w:color w:val="auto"/>
                <w:w w:val="93"/>
              </w:rPr>
              <w:t>•   Chemicals, Plastics and Rubber</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Communications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Building Materials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Products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Services</w:t>
            </w:r>
          </w:p>
        </w:tc>
      </w:tr>
      <w:tr>
        <w:trPr>
          <w:trHeight w:val="513"/>
        </w:trPr>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20" w:type="dxa"/>
            <w:vAlign w:val="bottom"/>
          </w:tcPr>
          <w:p>
            <w:pPr>
              <w:ind w:left="1160"/>
              <w:spacing w:after="0"/>
              <w:rPr>
                <w:sz w:val="20"/>
                <w:szCs w:val="20"/>
                <w:color w:val="auto"/>
              </w:rPr>
            </w:pPr>
            <w:r>
              <w:rPr>
                <w:rFonts w:ascii="Arial" w:cs="Arial" w:eastAsia="Arial" w:hAnsi="Arial"/>
                <w:sz w:val="18"/>
                <w:szCs w:val="18"/>
                <w:color w:val="auto"/>
              </w:rPr>
              <w:t>78</w:t>
            </w:r>
          </w:p>
        </w:tc>
        <w:tc>
          <w:tcPr>
            <w:tcW w:w="24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8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Containers Packaging &amp; Glass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Hotels, Motels, Inns and Gaming</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Manufacturing</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Diversified Natural Resources, Precious Metals and Minerals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Education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Electronics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Mining, Steel, Iron and Non-Precious Metals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Energy/Utilities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Environmental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Financial Services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Personal, Food and Miscellaneous Services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Grocery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Healthcare, Education and Childcare</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High Tech Industries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Wholesale</w:t>
            </w:r>
          </w:p>
        </w:tc>
      </w:tr>
    </w:tbl>
    <w:p>
      <w:pPr>
        <w:spacing w:after="0" w:line="107" w:lineRule="exact"/>
        <w:rPr>
          <w:sz w:val="20"/>
          <w:szCs w:val="20"/>
          <w:color w:val="auto"/>
        </w:rPr>
      </w:pPr>
    </w:p>
    <w:p>
      <w:pPr>
        <w:ind w:left="980" w:right="6460" w:hanging="317"/>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346"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w:t>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2240" w:type="dxa"/>
            <w:vAlign w:val="bottom"/>
            <w:gridSpan w:val="3"/>
          </w:tcPr>
          <w:p>
            <w:pPr>
              <w:ind w:left="520"/>
              <w:spacing w:after="0"/>
              <w:rPr>
                <w:sz w:val="20"/>
                <w:szCs w:val="20"/>
                <w:color w:val="auto"/>
              </w:rPr>
            </w:pPr>
            <w:r>
              <w:rPr>
                <w:rFonts w:ascii="Arial" w:cs="Arial" w:eastAsia="Arial" w:hAnsi="Arial"/>
                <w:sz w:val="18"/>
                <w:szCs w:val="18"/>
                <w:b w:val="1"/>
                <w:bCs w:val="1"/>
                <w:color w:val="auto"/>
              </w:rPr>
              <w:t>December 31, 2018</w:t>
            </w:r>
          </w:p>
        </w:tc>
        <w:tc>
          <w:tcPr>
            <w:tcW w:w="3580" w:type="dxa"/>
            <w:vAlign w:val="bottom"/>
            <w:gridSpan w:val="3"/>
          </w:tcPr>
          <w:p>
            <w:pPr>
              <w:ind w:left="640"/>
              <w:spacing w:after="0"/>
              <w:rPr>
                <w:sz w:val="20"/>
                <w:szCs w:val="20"/>
                <w:color w:val="auto"/>
              </w:rPr>
            </w:pPr>
            <w:r>
              <w:rPr>
                <w:rFonts w:ascii="Arial" w:cs="Arial" w:eastAsia="Arial" w:hAnsi="Arial"/>
                <w:sz w:val="18"/>
                <w:szCs w:val="18"/>
                <w:b w:val="1"/>
                <w:bCs w:val="1"/>
                <w:color w:val="auto"/>
              </w:rPr>
              <w:t>Portfolio Company</w:t>
            </w:r>
          </w:p>
        </w:tc>
        <w:tc>
          <w:tcPr>
            <w:tcW w:w="2160" w:type="dxa"/>
            <w:vAlign w:val="bottom"/>
            <w:gridSpan w:val="3"/>
          </w:tcPr>
          <w:p>
            <w:pPr>
              <w:ind w:left="44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RAM Energy Holdings</w:t>
            </w: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22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8%</w:t>
            </w: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Parq Holdings Limited Partnership</w:t>
            </w:r>
          </w:p>
        </w:tc>
        <w:tc>
          <w:tcPr>
            <w:tcW w:w="216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Parq Holdings Limited Partnership</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7</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RAM Energy Holdings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AKW Holdings Limited</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AKW Holdings Limited</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Halo Buyer, Inc.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Halo Buyer,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MailSouth, Inc.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PT Network, LLC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PT Network,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Cano Health,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Cascade Environmental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Shift4 Payments, LLC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Shift4 Payments,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Winter Park Intermediate, Inc.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tcPr>
          <w:p>
            <w:pPr>
              <w:spacing w:after="0"/>
              <w:rPr>
                <w:sz w:val="20"/>
                <w:szCs w:val="20"/>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Winter Park Intermediate,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79</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46"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Industry</w:t>
            </w:r>
          </w:p>
        </w:tc>
        <w:tc>
          <w:tcPr>
            <w:tcW w:w="24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December 31, 2018</w:t>
            </w:r>
          </w:p>
        </w:tc>
        <w:tc>
          <w:tcPr>
            <w:tcW w:w="3400" w:type="dxa"/>
            <w:vAlign w:val="bottom"/>
            <w:gridSpan w:val="3"/>
          </w:tcPr>
          <w:p>
            <w:pPr>
              <w:ind w:left="380"/>
              <w:spacing w:after="0"/>
              <w:rPr>
                <w:sz w:val="20"/>
                <w:szCs w:val="20"/>
                <w:color w:val="auto"/>
              </w:rPr>
            </w:pPr>
            <w:r>
              <w:rPr>
                <w:rFonts w:ascii="Arial" w:cs="Arial" w:eastAsia="Arial" w:hAnsi="Arial"/>
                <w:sz w:val="18"/>
                <w:szCs w:val="18"/>
                <w:b w:val="1"/>
                <w:bCs w:val="1"/>
                <w:color w:val="auto"/>
              </w:rPr>
              <w:t>Industry</w:t>
            </w:r>
          </w:p>
        </w:tc>
        <w:tc>
          <w:tcPr>
            <w:tcW w:w="2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13%</w:t>
            </w:r>
          </w:p>
        </w:tc>
        <w:tc>
          <w:tcPr>
            <w:tcW w:w="3400" w:type="dxa"/>
            <w:vAlign w:val="bottom"/>
            <w:gridSpan w:val="3"/>
            <w:shd w:val="clear" w:color="auto" w:fill="CCEEFF"/>
          </w:tcPr>
          <w:p>
            <w:pPr>
              <w:ind w:left="380"/>
              <w:spacing w:after="0" w:line="203" w:lineRule="exact"/>
              <w:rPr>
                <w:sz w:val="20"/>
                <w:szCs w:val="20"/>
                <w:color w:val="auto"/>
              </w:rPr>
            </w:pPr>
            <w:r>
              <w:rPr>
                <w:rFonts w:ascii="Arial" w:cs="Arial" w:eastAsia="Arial" w:hAnsi="Arial"/>
                <w:sz w:val="18"/>
                <w:szCs w:val="18"/>
                <w:color w:val="auto"/>
              </w:rPr>
              <w:t>Healthcare, Education and Childcare</w:t>
            </w:r>
          </w:p>
        </w:tc>
        <w:tc>
          <w:tcPr>
            <w:tcW w:w="4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Consumer Products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Energy and Utilities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Hotels, Motels, Inns and Gaming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Media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Printing and Publishing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Financial Services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Oil and Gas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Business Services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Personal, Food and Miscellaneous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Personal, Food and Miscellaneous</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r>
    </w:tbl>
    <w:p>
      <w:pPr>
        <w:spacing w:after="0" w:line="20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2018.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2018 Consolidated Financial Statements included elsewhere in this prospectus.</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Investment,</w:t>
            </w:r>
          </w:p>
        </w:tc>
        <w:tc>
          <w:tcPr>
            <w:tcW w:w="2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17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2"/>
              </w:rPr>
              <w:t>Healthcare, Education</w:t>
            </w:r>
          </w:p>
        </w:tc>
        <w:tc>
          <w:tcPr>
            <w:tcW w:w="3000" w:type="dxa"/>
            <w:vAlign w:val="bottom"/>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280" w:type="dxa"/>
            <w:vAlign w:val="bottom"/>
          </w:tcPr>
          <w:p>
            <w:pPr>
              <w:spacing w:after="0"/>
              <w:rPr>
                <w:sz w:val="11"/>
                <w:szCs w:val="11"/>
                <w:color w:val="auto"/>
              </w:rPr>
            </w:pPr>
          </w:p>
        </w:tc>
        <w:tc>
          <w:tcPr>
            <w:tcW w:w="108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463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r>
              <w:rPr>
                <w:rFonts w:ascii="Arial" w:cs="Arial" w:eastAsia="Arial" w:hAnsi="Arial"/>
                <w:sz w:val="12"/>
                <w:szCs w:val="12"/>
                <w:color w:val="auto"/>
                <w:w w:val="94"/>
              </w:rPr>
              <w:t>(4)</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Allied America,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Business Services</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L+700, 08/08/2022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One North LaSalle Street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Chicago, IL 60602</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Building Materials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31,251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L+550, 12/21/2023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ASP LCG Holdings, Inc.</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Education</w:t>
            </w:r>
          </w:p>
        </w:tc>
        <w:tc>
          <w:tcPr>
            <w:tcW w:w="3000" w:type="dxa"/>
            <w:vAlign w:val="bottom"/>
          </w:tcPr>
          <w:p>
            <w:pPr>
              <w:jc w:val="center"/>
              <w:spacing w:after="0"/>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Broadcasting and</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Entertainment</w:t>
            </w: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Bazaarvoice,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Printing and Publishing</w:t>
            </w:r>
          </w:p>
        </w:tc>
        <w:tc>
          <w:tcPr>
            <w:tcW w:w="30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L+575, 02/01/2024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Austin, TX 78759</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Bottom Line Systems,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Healthcare, Education</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L+750, 02/13/2023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Consumer Products</w:t>
            </w:r>
          </w:p>
        </w:tc>
        <w:tc>
          <w:tcPr>
            <w:tcW w:w="30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L+850, 12/02/2022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Blackhawk Industrial Distribution, Inc.</w:t>
            </w:r>
          </w:p>
        </w:tc>
        <w:tc>
          <w:tcPr>
            <w:tcW w:w="16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Distribution</w:t>
            </w:r>
          </w:p>
        </w:tc>
        <w:tc>
          <w:tcPr>
            <w:tcW w:w="180" w:type="dxa"/>
            <w:vAlign w:val="bottom"/>
            <w:shd w:val="clear" w:color="auto" w:fill="CCEEFF"/>
          </w:tcPr>
          <w:p>
            <w:pPr>
              <w:spacing w:after="0"/>
              <w:rPr>
                <w:sz w:val="9"/>
                <w:szCs w:val="9"/>
                <w:color w:val="auto"/>
              </w:rPr>
            </w:pPr>
          </w:p>
        </w:tc>
        <w:tc>
          <w:tcPr>
            <w:tcW w:w="31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Subordinated Debt,</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240" w:type="dxa"/>
            <w:vAlign w:val="bottom"/>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16,105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12.0% fixed (PIK 2.0%), 03/17/2025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3.7%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12/23/2021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Cardinal Logistics Holdings LLC</w:t>
            </w:r>
            <w:r>
              <w:rPr>
                <w:rFonts w:ascii="Arial" w:cs="Arial" w:eastAsia="Arial" w:hAnsi="Arial"/>
                <w:sz w:val="12"/>
                <w:szCs w:val="12"/>
                <w:color w:val="auto"/>
              </w:rPr>
              <w:t>(5)</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(Intermediate Transportation 100, LLC)</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11.0% fixed PIK, 03/01/2019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Drive, Ste. 300</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75251</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Environmental Services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Subordinated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2.8%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35,074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15.0% fixed (PIK 13.0%), 08/20/2021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Woodinville, WA 98072</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Business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13,034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L+875, 04/25/2025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14,041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10/31/2025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28,237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L+825,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7777 West Side Avenue</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03/03/2022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L+625, 10/31/2023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Building Materials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Consumer Products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1980 Industrial Drive</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L+825, 07/06/2026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Hollander Sleep Products,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18,728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L+800, 06/09/2023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Impact Group,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Personal, Food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915 W. Jefferson Street</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Miscelleneous Services</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L+650, 06/27/2023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Boise, ID 83702</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Infogroup, Inc.</w:t>
            </w:r>
          </w:p>
        </w:tc>
        <w:tc>
          <w:tcPr>
            <w:tcW w:w="196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Other Media</w:t>
            </w:r>
          </w:p>
        </w:tc>
        <w:tc>
          <w:tcPr>
            <w:tcW w:w="20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1.0</w:t>
            </w:r>
          </w:p>
        </w:tc>
        <w:tc>
          <w:tcPr>
            <w:tcW w:w="24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22,340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L+925, 04/03/2024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1020 E 1st Street</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Papillion, NE, 68046</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Integrity Marketing Acquisition,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00" w:type="dxa"/>
            <w:vAlign w:val="bottom"/>
          </w:tcPr>
          <w:p>
            <w:pPr>
              <w:jc w:val="center"/>
              <w:spacing w:after="0"/>
              <w:rPr>
                <w:sz w:val="20"/>
                <w:szCs w:val="20"/>
                <w:color w:val="auto"/>
              </w:rPr>
            </w:pPr>
            <w:r>
              <w:rPr>
                <w:rFonts w:ascii="Arial" w:cs="Arial" w:eastAsia="Arial" w:hAnsi="Arial"/>
                <w:sz w:val="14"/>
                <w:szCs w:val="14"/>
                <w:color w:val="auto"/>
                <w:w w:val="91"/>
              </w:rPr>
              <w:t>Second Lien Secured Debt</w:t>
            </w:r>
            <w:r>
              <w:rPr>
                <w:rFonts w:ascii="Arial" w:cs="Arial" w:eastAsia="Arial" w:hAnsi="Arial"/>
                <w:sz w:val="12"/>
                <w:szCs w:val="12"/>
                <w:color w:val="auto"/>
                <w:w w:val="91"/>
              </w:rPr>
              <w:t>(4)</w:t>
            </w:r>
            <w:r>
              <w:rPr>
                <w:rFonts w:ascii="Arial" w:cs="Arial" w:eastAsia="Arial" w:hAnsi="Arial"/>
                <w:sz w:val="14"/>
                <w:szCs w:val="14"/>
                <w:color w:val="auto"/>
                <w:w w:val="91"/>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9111 Cypress Waters Blvd. Ste. 450</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11/30/2026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Dallas, TX 75019</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Personal,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15,010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L+950, 12/22/2021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450 East 29 Street, 5 Floor</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Chemicals, Plastics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26,726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Rubber</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12/20/2023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LaMi Acquisition, LLC</w:t>
            </w:r>
            <w:r>
              <w:rPr>
                <w:rFonts w:ascii="Arial" w:cs="Arial" w:eastAsia="Arial" w:hAnsi="Arial"/>
                <w:sz w:val="12"/>
                <w:szCs w:val="12"/>
                <w:color w:val="auto"/>
              </w:rPr>
              <w:t>(5)</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Distribution</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860 Welsh Road</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Huntingdon Valley, PA 19006</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LLC(5)</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Printing and Publishing</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47,457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6M L+925, 10/23/2024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MBS Holdings, Inc.</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Telecommunications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14,700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01/02/2024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Birmingham, AL 35213</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Building Materials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22,801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22260 Haggerty Road #365</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02/27/2023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Parq Holdings Limited Partnership</w:t>
            </w:r>
            <w:r>
              <w:rPr>
                <w:rFonts w:ascii="Arial" w:cs="Arial" w:eastAsia="Arial" w:hAnsi="Arial"/>
                <w:sz w:val="12"/>
                <w:szCs w:val="12"/>
                <w:color w:val="auto"/>
              </w:rPr>
              <w:t>(6)</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Hotels, Motels, Inns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83,063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 Paragon Gaming, Inc.</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Gaming</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L+1,200, 12/17/2021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6650 Via Austi Parkway, Suite 150</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89119</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Hotels, Motels, Inns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Gaming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L+725, 11/13/2024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Beverage,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5,423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06/01/2023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Electronics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03/11/2024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PT Network, LLC</w:t>
            </w:r>
          </w:p>
        </w:tc>
        <w:tc>
          <w:tcPr>
            <w:tcW w:w="198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w:t>
            </w:r>
          </w:p>
        </w:tc>
        <w:tc>
          <w:tcPr>
            <w:tcW w:w="24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46,626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L+1,000, 04/12/2023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Park Avenue, 8th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22,581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Media</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L+625, 06/28/2022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SFP Holding,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Buildings and Real Estate</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(CI (Summit) Investment Holdings,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09/01/2022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Shift4 Payments,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36,723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L+850, 11/28/2025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L+1,325, 12/28/2020</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Dominion,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31,903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(SSC Dominion Holdings,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L+675, 07/15/2024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08/13/2021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Doral, Florida 33122</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Oil and Gas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6,902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VT Topco,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Business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13,777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(Green Veracity Holdings, LP)</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08/24/2026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290 West Mount Pleasant Avenue, Suite 3200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Livingston, NJ 07039</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Walker Edison Furniture Company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Home and Office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1.8%</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23,956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Furnishings</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L+650, 09/26/2024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Aerospace and Defense</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20,453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10/18/2022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Winter Park Intermediate,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Auto Sector</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(Wheel Pros Holdings, L.P.)</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04/06/2026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Lakewood, CO 80228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Companies 5% to 24% Owned</w:t>
            </w: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Consumer Products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8.9%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16,821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3"/>
            <w:vMerge w:val="continue"/>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80" w:type="dxa"/>
            <w:vAlign w:val="bottom"/>
            <w:gridSpan w:val="2"/>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ETX Energy , LLC</w:t>
            </w:r>
            <w:r>
              <w:rPr>
                <w:rFonts w:ascii="Arial" w:cs="Arial" w:eastAsia="Arial" w:hAnsi="Arial"/>
                <w:sz w:val="10"/>
                <w:szCs w:val="10"/>
                <w:color w:val="auto"/>
              </w:rPr>
              <w:t>(5)</w:t>
            </w:r>
          </w:p>
        </w:tc>
        <w:tc>
          <w:tcPr>
            <w:tcW w:w="20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Oil and Gas</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Preferred Equity</w:t>
            </w: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14.0</w:t>
            </w:r>
          </w:p>
        </w:tc>
        <w:tc>
          <w:tcPr>
            <w:tcW w:w="36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5"/>
              </w:rPr>
              <w:t>%</w:t>
            </w:r>
            <w:r>
              <w:rPr>
                <w:rFonts w:ascii="Arial" w:cs="Arial" w:eastAsia="Arial" w:hAnsi="Arial"/>
                <w:sz w:val="10"/>
                <w:szCs w:val="10"/>
                <w:color w:val="auto"/>
                <w:w w:val="95"/>
              </w:rPr>
              <w:t>(3)</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32,237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Management Company, LLC)</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10441 S. Regal Blvd. Ste. 210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74133</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42,968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03/13/2024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Braddan, Isle of Man IM4 4LH</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MidOcean JF Holdings Corp.</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Distribution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Preferred Equity</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35.7%</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RAM Energy LLC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Energy and Utilities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93,330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Holdings LLC)</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 fixed, 07/01/2022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2100 South Utica Avenue, Ste. 165</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74114</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Superior Digital Displays,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Media</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99.4%</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3.0% fixed PIK, 12/31/2019</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1501 Broadway, 12th Floor</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80" w:type="dxa"/>
            <w:vAlign w:val="bottom"/>
            <w:gridSpan w:val="3"/>
          </w:tcPr>
          <w:p>
            <w:pPr>
              <w:spacing w:after="0"/>
              <w:rPr>
                <w:sz w:val="20"/>
                <w:szCs w:val="20"/>
                <w:color w:val="auto"/>
              </w:rPr>
            </w:pPr>
            <w:r>
              <w:rPr>
                <w:rFonts w:ascii="Arial" w:cs="Arial" w:eastAsia="Arial" w:hAnsi="Arial"/>
                <w:sz w:val="14"/>
                <w:szCs w:val="14"/>
                <w:color w:val="auto"/>
              </w:rPr>
              <w:t>New York, NY 10036</w:t>
            </w: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1,191,454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60" w:hanging="436"/>
        <w:spacing w:after="0" w:line="225"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12/31/18.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640" w:hanging="436"/>
        <w:spacing w:after="0" w:line="221"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640" w:hanging="436"/>
        <w:spacing w:after="0" w:line="221"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640" w:right="60" w:hanging="436"/>
        <w:spacing w:after="0" w:line="221"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line="221"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640" w:right="440" w:hanging="436"/>
        <w:spacing w:after="0" w:line="232"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2018:</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Parq Holdings Limited Partnership is a gaming and hotel complex in downtown Vancouver,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17" w:lineRule="exact"/>
        <w:rPr>
          <w:sz w:val="20"/>
          <w:szCs w:val="20"/>
          <w:color w:val="auto"/>
        </w:rPr>
      </w:pPr>
    </w:p>
    <w:p>
      <w:pPr>
        <w:ind w:left="1200" w:right="620"/>
        <w:spacing w:after="0" w:line="277" w:lineRule="auto"/>
        <w:rPr>
          <w:sz w:val="20"/>
          <w:szCs w:val="20"/>
          <w:color w:val="auto"/>
        </w:rPr>
      </w:pPr>
      <w:r>
        <w:rPr>
          <w:rFonts w:ascii="Arial" w:cs="Arial" w:eastAsia="Arial" w:hAnsi="Arial"/>
          <w:sz w:val="18"/>
          <w:szCs w:val="18"/>
          <w:color w:val="auto"/>
        </w:rPr>
        <w:t>RAM Energy LLC is an exploration and production company focused on operations in the Arkansas-Louisiana-Texas and Permian regions.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620" w:type="dxa"/>
            <w:vAlign w:val="bottom"/>
          </w:tcPr>
          <w:p>
            <w:pPr>
              <w:spacing w:after="0"/>
              <w:rPr>
                <w:sz w:val="14"/>
                <w:szCs w:val="14"/>
                <w:color w:val="auto"/>
              </w:rPr>
            </w:pPr>
          </w:p>
        </w:tc>
        <w:tc>
          <w:tcPr>
            <w:tcW w:w="24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0"/>
              </w:rPr>
              <w:t>December 31, 2018</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1100"/>
              <w:spacing w:after="0" w:line="203" w:lineRule="exact"/>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20" w:type="dxa"/>
            <w:vAlign w:val="bottom"/>
            <w:vMerge w:val="restart"/>
          </w:tcPr>
          <w:p>
            <w:pPr>
              <w:jc w:val="right"/>
              <w:ind w:right="650"/>
              <w:spacing w:after="0"/>
              <w:rPr>
                <w:sz w:val="20"/>
                <w:szCs w:val="20"/>
                <w:color w:val="auto"/>
              </w:rPr>
            </w:pPr>
            <w:r>
              <w:rPr>
                <w:rFonts w:ascii="Arial" w:cs="Arial" w:eastAsia="Arial" w:hAnsi="Arial"/>
                <w:sz w:val="18"/>
                <w:szCs w:val="18"/>
                <w:color w:val="auto"/>
              </w:rPr>
              <w:t>86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Position</w:t>
            </w:r>
          </w:p>
        </w:tc>
        <w:tc>
          <w:tcPr>
            <w:tcW w:w="126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96"/>
              </w:rPr>
              <w:t>Director</w:t>
            </w:r>
          </w:p>
        </w:tc>
        <w:tc>
          <w:tcPr>
            <w:tcW w:w="10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2720" w:type="dxa"/>
            <w:vAlign w:val="bottom"/>
            <w:gridSpan w:val="3"/>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482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Since</w:t>
            </w:r>
          </w:p>
        </w:tc>
        <w:tc>
          <w:tcPr>
            <w:tcW w:w="3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48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48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Chairman of the Board and Chief Executive Officer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left="132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Aviv Efrat</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54</w:t>
            </w:r>
          </w:p>
        </w:tc>
        <w:tc>
          <w:tcPr>
            <w:tcW w:w="716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Guy F. Talarico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63</w:t>
            </w:r>
          </w:p>
        </w:tc>
        <w:tc>
          <w:tcPr>
            <w:tcW w:w="716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address for each director and executive officer is c/o PennantPark Investment Corporation, 590 Madison Avenue, 15th Floor, New York, New York 10022.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to us and the potential conflicts of interest that could arise from these relationships.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Adam K. Bernstein (55),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Marshall Brozost (51),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Jeffrey Flug (56),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Samuel L. Katz (53), Director. Mr. Katz became a Director of PennantPark Investment and PennantPark Floating Rate Capital Ltd. in February 2007 and October 2010, respectively. Mr. Katz is the Managing Partner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Arthur H. Penn (55), Founder, Chief Executive Officer and Chairman of the board of directors. Mr. Penn became the Chief Executive Officer and a Director of PennantPark Investment and PennantPark Floating Rate Capital Ltd. at their inception in 2007 and 2010, respectively.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Aviv Efrat (54), Chief Financial Officer and Treasurer. Mr. Efrat became the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Guy F. Talarico (63), Chief Compliance Officer. Mr. Talarico became the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For the fiscal year ended September 30, 2018, the board of directors held four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Company’s annual stockholders’ meeting. For the year ended September 30, 2018, all of the directors attended the annual stockholders’ meeting.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60" w:firstLine="55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Such investments are valued at fair value as determined in good faith by or under the direction of our board of directors using a documented valuation policy and a consistently applied valuation process.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Securities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2018. No compensation is paid directly by us to any interested director or executive officer of the Company.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Aggregate</w:t>
            </w:r>
          </w:p>
        </w:tc>
        <w:tc>
          <w:tcPr>
            <w:tcW w:w="7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Pension or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40" w:type="dxa"/>
            <w:vAlign w:val="bottom"/>
            <w:gridSpan w:val="3"/>
          </w:tcPr>
          <w:p>
            <w:pPr>
              <w:ind w:left="25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from</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PennantPark</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41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Investment</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6"/>
            <w:vMerge w:val="continue"/>
          </w:tcPr>
          <w:p>
            <w:pPr>
              <w:spacing w:after="0"/>
              <w:rPr>
                <w:sz w:val="13"/>
                <w:szCs w:val="13"/>
                <w:color w:val="auto"/>
              </w:rPr>
            </w:pPr>
          </w:p>
        </w:tc>
        <w:tc>
          <w:tcPr>
            <w:tcW w:w="258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Corporation</w:t>
            </w:r>
          </w:p>
        </w:tc>
        <w:tc>
          <w:tcPr>
            <w:tcW w:w="17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720" w:type="dxa"/>
            <w:vAlign w:val="bottom"/>
            <w:gridSpan w:val="4"/>
          </w:tcPr>
          <w:p>
            <w:pPr>
              <w:ind w:left="720"/>
              <w:spacing w:after="0" w:line="158" w:lineRule="exact"/>
              <w:rPr>
                <w:sz w:val="20"/>
                <w:szCs w:val="20"/>
                <w:color w:val="auto"/>
              </w:rPr>
            </w:pPr>
            <w:r>
              <w:rPr>
                <w:rFonts w:ascii="Arial" w:cs="Arial" w:eastAsia="Arial" w:hAnsi="Arial"/>
                <w:sz w:val="14"/>
                <w:szCs w:val="14"/>
                <w:b w:val="1"/>
                <w:bCs w:val="1"/>
                <w:color w:val="auto"/>
                <w:w w:val="99"/>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w w:val="95"/>
              </w:rPr>
              <w:t>Independent directors</w:t>
            </w:r>
          </w:p>
        </w:tc>
        <w:tc>
          <w:tcPr>
            <w:tcW w:w="2600" w:type="dxa"/>
            <w:vAlign w:val="bottom"/>
            <w:tcBorders>
              <w:bottom w:val="single" w:sz="8" w:color="CCEEFF"/>
            </w:tcBorders>
            <w:shd w:val="clear" w:color="auto" w:fill="CCEEFF"/>
          </w:tcPr>
          <w:p>
            <w:pPr>
              <w:spacing w:after="0"/>
              <w:rPr>
                <w:sz w:val="13"/>
                <w:szCs w:val="13"/>
                <w:color w:val="auto"/>
              </w:rPr>
            </w:pPr>
          </w:p>
        </w:tc>
        <w:tc>
          <w:tcPr>
            <w:tcW w:w="2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Adam K. Bernstein</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Jeffrey Flug</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Interested director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Arthur H. Penn</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Executive officer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and indemnify such persons against certain losses.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2018,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39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2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Direct Lending</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Other credit opportunities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Fund</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April 11, 2019, to our knowledge, no person would be deemed to “control” us, as such term is defined in the 1940 Act. Our board of directors consists of an interested director and Independent Directors.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sets forth, as of April 11, 2019,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Common</w:t>
            </w:r>
          </w:p>
        </w:tc>
        <w:tc>
          <w:tcPr>
            <w:tcW w:w="0" w:type="dxa"/>
            <w:vAlign w:val="bottom"/>
          </w:tcPr>
          <w:p>
            <w:pPr>
              <w:spacing w:after="0"/>
              <w:rPr>
                <w:sz w:val="1"/>
                <w:szCs w:val="1"/>
                <w:color w:val="auto"/>
              </w:rPr>
            </w:pPr>
          </w:p>
        </w:tc>
      </w:tr>
      <w:tr>
        <w:trPr>
          <w:trHeight w:val="149"/>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1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7200" w:type="dxa"/>
            <w:vAlign w:val="bottom"/>
            <w:gridSpan w:val="3"/>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880" w:type="dxa"/>
            <w:vAlign w:val="bottom"/>
          </w:tcPr>
          <w:p>
            <w:pPr>
              <w:jc w:val="right"/>
              <w:ind w:right="141"/>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1860" w:type="dxa"/>
            <w:vAlign w:val="bottom"/>
            <w:gridSpan w:val="2"/>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Pr>
          <w:p>
            <w:pPr>
              <w:jc w:val="right"/>
              <w:spacing w:after="0"/>
              <w:rPr>
                <w:sz w:val="20"/>
                <w:szCs w:val="20"/>
                <w:color w:val="auto"/>
              </w:rPr>
            </w:pPr>
            <w:r>
              <w:rPr>
                <w:rFonts w:ascii="Arial" w:cs="Arial" w:eastAsia="Arial" w:hAnsi="Arial"/>
                <w:sz w:val="16"/>
                <w:szCs w:val="16"/>
                <w:color w:val="auto"/>
              </w:rPr>
              <w:t>46,430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1860" w:type="dxa"/>
            <w:vAlign w:val="bottom"/>
            <w:gridSpan w:val="2"/>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Pr>
          <w:p>
            <w:pPr>
              <w:jc w:val="right"/>
              <w:spacing w:after="0"/>
              <w:rPr>
                <w:sz w:val="20"/>
                <w:szCs w:val="20"/>
                <w:color w:val="auto"/>
              </w:rPr>
            </w:pPr>
            <w:r>
              <w:rPr>
                <w:rFonts w:ascii="Arial" w:cs="Arial" w:eastAsia="Arial" w:hAnsi="Arial"/>
                <w:sz w:val="16"/>
                <w:szCs w:val="16"/>
                <w:color w:val="auto"/>
              </w:rPr>
              <w:t>320,560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Aviv Efrat</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106,102</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All directors and executive officer as a group (6 persons)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1,528,394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7632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1" w:lineRule="exact"/>
        <w:rPr>
          <w:sz w:val="20"/>
          <w:szCs w:val="20"/>
          <w:color w:val="auto"/>
        </w:rPr>
      </w:pPr>
    </w:p>
    <w:p>
      <w:pPr>
        <w:ind w:left="640" w:right="420" w:hanging="436"/>
        <w:spacing w:after="0" w:line="258"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15th Floor, New York, New York 10022.</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650,923 shares of PennantPark Investment Corporation held by the Investment Adviser.</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2018.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c>
          <w:tcPr>
            <w:tcW w:w="0" w:type="dxa"/>
            <w:vAlign w:val="bottom"/>
          </w:tcPr>
          <w:p>
            <w:pPr>
              <w:spacing w:after="0"/>
              <w:rPr>
                <w:sz w:val="1"/>
                <w:szCs w:val="1"/>
                <w:color w:val="auto"/>
              </w:rPr>
            </w:pPr>
          </w:p>
        </w:tc>
      </w:tr>
      <w:tr>
        <w:trPr>
          <w:trHeight w:val="149"/>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c>
          <w:tcPr>
            <w:tcW w:w="0" w:type="dxa"/>
            <w:vAlign w:val="bottom"/>
          </w:tcPr>
          <w:p>
            <w:pPr>
              <w:spacing w:after="0"/>
              <w:rPr>
                <w:sz w:val="1"/>
                <w:szCs w:val="1"/>
                <w:color w:val="auto"/>
              </w:rPr>
            </w:pPr>
          </w:p>
        </w:tc>
      </w:tr>
      <w:tr>
        <w:trPr>
          <w:trHeight w:val="171"/>
        </w:trPr>
        <w:tc>
          <w:tcPr>
            <w:tcW w:w="8820" w:type="dxa"/>
            <w:vAlign w:val="bottom"/>
            <w:gridSpan w:val="3"/>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7"/>
              </w:rPr>
              <w:t>Corporation</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2220" w:type="dxa"/>
            <w:vAlign w:val="bottom"/>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2220" w:type="dxa"/>
            <w:vAlign w:val="bottom"/>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Interested director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line="205"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Senior Investment Professionals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Jose A. Briones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Salvatore Giannetti III</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 Whitridge Williams, Jr.</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58"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95" w:lineRule="exact"/>
        <w:rPr>
          <w:sz w:val="20"/>
          <w:szCs w:val="20"/>
          <w:color w:val="auto"/>
        </w:rPr>
      </w:pPr>
    </w:p>
    <w:p>
      <w:pPr>
        <w:ind w:left="1180" w:right="24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21"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3"/>
          <w:szCs w:val="13"/>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base management fees of $4.4 million and $4.8 million (after a waiver of $0.9 million), respectively, from us. For the years ended September 30, 2018, 2017 and 2016, the Investment Adviser earned a base management fee of $16.5 million (after a waiver of $0.9 million), $20.3 million (after a waiver of $3.9 million) and $20.9 million (after a waiver of $4.0 million), respectively, from us.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March 31, 20XX = $180 million</w:t>
      </w:r>
    </w:p>
    <w:p>
      <w:pPr>
        <w:spacing w:after="0" w:line="21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1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150495</wp:posOffset>
            </wp:positionV>
            <wp:extent cx="2409825" cy="3689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4098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and years ended September 30, 2018, 2017 and 2016, the Investment Adviser did not accrue an incentive fee on capital gains as calculated under the Investment Management Agreement (as described above).</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and years ended September 30, 2018, 2017 and 2016, the Investment Adviser did not accrue an incentive fee on capital gains as calculated under GAAP.</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0.675%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 does not exceed the hurdle; therefore, there is no incentive fee.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2.125%</w:t>
      </w:r>
    </w:p>
    <w:p>
      <w:pPr>
        <w:spacing w:after="0" w:line="131" w:lineRule="exact"/>
        <w:rPr>
          <w:sz w:val="20"/>
          <w:szCs w:val="20"/>
          <w:color w:val="auto"/>
        </w:rPr>
      </w:pPr>
    </w:p>
    <w:p>
      <w:pPr>
        <w:ind w:left="108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17.5% x Pre-Incentive Fee Net Investment Income, subject to “catch-up”</w:t>
      </w:r>
    </w:p>
    <w:p>
      <w:pPr>
        <w:spacing w:after="0" w:line="63" w:lineRule="exact"/>
        <w:rPr>
          <w:sz w:val="20"/>
          <w:szCs w:val="20"/>
          <w:color w:val="auto"/>
        </w:rPr>
      </w:pPr>
    </w:p>
    <w:p>
      <w:pPr>
        <w:ind w:left="3280" w:hanging="152"/>
        <w:spacing w:after="0"/>
        <w:tabs>
          <w:tab w:leader="none" w:pos="3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2.125% - 1.75%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0.375%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x 0.375%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0.375%</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2.425%</w:t>
      </w:r>
    </w:p>
    <w:p>
      <w:pPr>
        <w:sectPr>
          <w:pgSz w:w="11900" w:h="16838" w:orient="portrait"/>
          <w:cols w:equalWidth="0" w:num="1">
            <w:col w:w="10600"/>
          </w:cols>
          <w:pgMar w:left="240" w:top="459" w:right="1059" w:bottom="1440" w:gutter="0" w:footer="0" w:header="0"/>
        </w:sectPr>
      </w:pPr>
    </w:p>
    <w:p>
      <w:pPr>
        <w:spacing w:after="0" w:line="131"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17.5% x Pre-Incentive Fee Net Investment Income, subject to “catch-up”</w:t>
      </w:r>
      <w:r>
        <w:rPr>
          <w:rFonts w:ascii="Arial" w:cs="Arial" w:eastAsia="Arial" w:hAnsi="Arial"/>
          <w:sz w:val="13"/>
          <w:szCs w:val="13"/>
          <w:color w:val="auto"/>
        </w:rPr>
        <w:t>(3)</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jc w:val="center"/>
        <w:ind w:left="72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100% x “catch-up” + (17.5% x (Pre-Incentive Fee Net Investment Income - 2.1212%))</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2.1212% - 1.75%</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ind w:left="3060" w:hanging="155"/>
        <w:spacing w:after="0"/>
        <w:tabs>
          <w:tab w:leader="none" w:pos="3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0.3712%</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(100% x 0.3712%) + (17.5% x (2.425% - 2.1212%))</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0.3712% + (17.5% x 0.3038%)</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0.3712% + 0.053165%</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0.424365%</w:t>
      </w:r>
    </w:p>
    <w:p>
      <w:pPr>
        <w:spacing w:after="0" w:line="198"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7632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1.5% annualized base management fee.</w:t>
      </w:r>
    </w:p>
    <w:p>
      <w:pPr>
        <w:spacing w:after="0" w:line="9" w:lineRule="exact"/>
        <w:rPr>
          <w:rFonts w:ascii="Arial" w:cs="Arial" w:eastAsia="Arial" w:hAnsi="Arial"/>
          <w:sz w:val="18"/>
          <w:szCs w:val="18"/>
          <w:color w:val="auto"/>
        </w:rPr>
      </w:pPr>
    </w:p>
    <w:p>
      <w:pPr>
        <w:ind w:left="640" w:hanging="436"/>
        <w:spacing w:after="0" w:line="290"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600"/>
          </w:cols>
          <w:pgMar w:left="240" w:top="459" w:right="10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1 = no net realized capital gains or losses</w:t>
      </w:r>
    </w:p>
    <w:p>
      <w:pPr>
        <w:spacing w:after="0" w:line="117" w:lineRule="exact"/>
        <w:rPr>
          <w:sz w:val="20"/>
          <w:szCs w:val="20"/>
          <w:color w:val="auto"/>
        </w:rPr>
      </w:pPr>
    </w:p>
    <w:p>
      <w:pPr>
        <w:ind w:left="640" w:right="660"/>
        <w:spacing w:after="0" w:line="290" w:lineRule="auto"/>
        <w:rPr>
          <w:sz w:val="20"/>
          <w:szCs w:val="20"/>
          <w:color w:val="auto"/>
        </w:rPr>
      </w:pPr>
      <w:r>
        <w:rPr>
          <w:rFonts w:ascii="Arial" w:cs="Arial" w:eastAsia="Arial" w:hAnsi="Arial"/>
          <w:sz w:val="17"/>
          <w:szCs w:val="17"/>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38" w:orient="portrait"/>
          <w:cols w:equalWidth="0" w:num="1">
            <w:col w:w="11220"/>
          </w:cols>
          <w:pgMar w:left="240" w:top="459" w:right="439" w:bottom="1440" w:gutter="0" w:footer="0" w:header="0"/>
        </w:sectPr>
      </w:pPr>
    </w:p>
    <w:p>
      <w:pPr>
        <w:ind w:left="980"/>
        <w:spacing w:after="0"/>
        <w:rPr>
          <w:sz w:val="20"/>
          <w:szCs w:val="20"/>
          <w:color w:val="auto"/>
        </w:rPr>
      </w:pPr>
      <w:r>
        <w:rPr>
          <w:rFonts w:ascii="Arial" w:cs="Arial" w:eastAsia="Arial" w:hAnsi="Arial"/>
          <w:sz w:val="16"/>
          <w:szCs w:val="16"/>
          <w:color w:val="auto"/>
        </w:rPr>
        <w:t>Year 1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17.5% x (0)</w:t>
      </w:r>
    </w:p>
    <w:p>
      <w:pPr>
        <w:spacing w:after="0" w:line="86" w:lineRule="exact"/>
        <w:rPr>
          <w:sz w:val="20"/>
          <w:szCs w:val="20"/>
          <w:color w:val="auto"/>
        </w:rPr>
      </w:pPr>
    </w:p>
    <w:p>
      <w:pPr>
        <w:sectPr>
          <w:pgSz w:w="11900" w:h="16838" w:orient="portrait"/>
          <w:cols w:equalWidth="0" w:num="2">
            <w:col w:w="2420" w:space="680"/>
            <w:col w:w="8120"/>
          </w:cols>
          <w:pgMar w:left="240" w:top="459" w:right="439" w:bottom="1440" w:gutter="0" w:footer="0" w:header="0"/>
          <w:type w:val="continuous"/>
        </w:sectPr>
      </w:pPr>
    </w:p>
    <w:p>
      <w:pPr>
        <w:ind w:left="3100"/>
        <w:spacing w:after="0"/>
        <w:rPr>
          <w:sz w:val="20"/>
          <w:szCs w:val="20"/>
          <w:color w:val="auto"/>
        </w:rPr>
      </w:pPr>
      <w:r>
        <w:rPr>
          <w:rFonts w:ascii="Arial" w:cs="Arial" w:eastAsia="Arial" w:hAnsi="Arial"/>
          <w:sz w:val="18"/>
          <w:szCs w:val="18"/>
          <w:color w:val="auto"/>
        </w:rPr>
        <w:t>= 0</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 no incentive fee</w:t>
      </w:r>
    </w:p>
    <w:p>
      <w:pPr>
        <w:sectPr>
          <w:pgSz w:w="11900" w:h="16838" w:orient="portrait"/>
          <w:cols w:equalWidth="0" w:num="1">
            <w:col w:w="11220"/>
          </w:cols>
          <w:pgMar w:left="240" w:top="459" w:right="439" w:bottom="1440" w:gutter="0" w:footer="0" w:header="0"/>
          <w:type w:val="continuous"/>
        </w:sectPr>
      </w:pP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Year 2 incentive fee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17.5% x (6% - 1%)</w:t>
      </w:r>
    </w:p>
    <w:p>
      <w:pPr>
        <w:spacing w:after="0" w:line="86" w:lineRule="exact"/>
        <w:rPr>
          <w:sz w:val="20"/>
          <w:szCs w:val="20"/>
          <w:color w:val="auto"/>
        </w:rPr>
      </w:pPr>
    </w:p>
    <w:p>
      <w:pPr>
        <w:sectPr>
          <w:pgSz w:w="11900" w:h="16838" w:orient="portrait"/>
          <w:cols w:equalWidth="0" w:num="2">
            <w:col w:w="2420" w:space="680"/>
            <w:col w:w="8120"/>
          </w:cols>
          <w:pgMar w:left="240" w:top="459" w:right="439" w:bottom="1440" w:gutter="0" w:footer="0" w:header="0"/>
          <w:type w:val="continuous"/>
        </w:sectPr>
      </w:pPr>
    </w:p>
    <w:p>
      <w:pPr>
        <w:ind w:left="3100"/>
        <w:spacing w:after="0"/>
        <w:rPr>
          <w:sz w:val="20"/>
          <w:szCs w:val="20"/>
          <w:color w:val="auto"/>
        </w:rPr>
      </w:pPr>
      <w:r>
        <w:rPr>
          <w:rFonts w:ascii="Arial" w:cs="Arial" w:eastAsia="Arial" w:hAnsi="Arial"/>
          <w:sz w:val="16"/>
          <w:szCs w:val="16"/>
          <w:color w:val="auto"/>
        </w:rPr>
        <w:t>= 17.5% x 5%</w:t>
      </w:r>
    </w:p>
    <w:p>
      <w:pPr>
        <w:spacing w:after="0" w:line="8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0.875%</w:t>
      </w:r>
    </w:p>
    <w:p>
      <w:pPr>
        <w:sectPr>
          <w:pgSz w:w="11900" w:h="16838" w:orient="portrait"/>
          <w:cols w:equalWidth="0" w:num="1">
            <w:col w:w="11220"/>
          </w:cols>
          <w:pgMar w:left="240" w:top="459" w:right="439" w:bottom="1440" w:gutter="0" w:footer="0" w:header="0"/>
          <w:type w:val="continuous"/>
        </w:sectPr>
      </w:pP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executive office of PennantPark Investment Advisers is located at 590 Madison Avenue, 15th Floor, New York, NY 10022.</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6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2019.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an agreement, or the Administration Agreement, with the Administrator, under which the Administrator furnishes us with office facilities, equipment and clerical, bookkeeping and record keeping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and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2018 and 2017, we reimbursed the Investment Adviser approximately $0.3 million and $0.3 million, respectively, including expenses the Investment Adviser incurred on behalf of the Administrator, for the services described above. For the years ended September 30, 2018, 2017 and 2016, we reimbursed the Investment Adviser approximately $2.0 million, $2.5 million and $3.7 million, respectively, including expenses the Investment Adviser incurred on behalf of the Administrator for the services described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6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Administration Agreement was reapproved by our board of directors, including a majority of our directors who are not interested persons of PennantPark Investment,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18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jc w:val="both"/>
        <w:ind w:left="1180" w:right="160" w:hanging="544"/>
        <w:spacing w:after="0" w:line="312" w:lineRule="auto"/>
        <w:tabs>
          <w:tab w:leader="none" w:pos="1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780" w:right="1180" w:hanging="1120"/>
        <w:spacing w:after="0" w:line="277" w:lineRule="auto"/>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80" w:right="460" w:hanging="1120"/>
        <w:spacing w:after="0" w:line="264"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80" w:right="900" w:hanging="1120"/>
        <w:spacing w:after="0" w:line="277" w:lineRule="auto"/>
        <w:tabs>
          <w:tab w:leader="none" w:pos="1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180" w:right="100" w:hanging="436"/>
        <w:spacing w:after="0" w:line="279" w:lineRule="auto"/>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March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April 11, 2019 was $7.04 per share. As of March 31, 2019, we had 10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March 31,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40" w:type="dxa"/>
            <w:vAlign w:val="bottom"/>
          </w:tcPr>
          <w:p>
            <w:pPr>
              <w:spacing w:after="0"/>
              <w:rPr>
                <w:sz w:val="13"/>
                <w:szCs w:val="13"/>
                <w:color w:val="auto"/>
              </w:rPr>
            </w:pPr>
          </w:p>
        </w:tc>
        <w:tc>
          <w:tcPr>
            <w:tcW w:w="15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180" w:right="420" w:hanging="436"/>
        <w:spacing w:after="0" w:line="342" w:lineRule="auto"/>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80"/>
          </w:cols>
          <w:pgMar w:left="240" w:top="459" w:right="7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December 31, 2018 and September 30, 2018, we had $250.0 million in aggregate principal amount of 2019 Notes outstanding. Interest on the 2019 Notes accrued at a rate of 4.50% per year and was paid semi-annually. On January 31, 2019, the Company announced the redemption of $250.0 million outstanding aggregate principal amount of its 2019 Notes. The 2019 Notes were prepaid at 100% of the principal amount, plus accrued and unpaid interest through the payment date of March 4, 2019, as well as a make-whole premium.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200" w:lineRule="exact"/>
        <w:rPr>
          <w:sz w:val="20"/>
          <w:szCs w:val="20"/>
          <w:color w:val="auto"/>
        </w:rPr>
      </w:pPr>
    </w:p>
    <w:p>
      <w:pPr>
        <w:spacing w:after="0" w:line="23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accrued at a rate of 6.25% per year and was paid quarterly. On June 29, 2017, the 2025 Notes were redeemed in full and no amounts were outstanding as of December 31, 2018 or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18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180" w:right="480" w:hanging="436"/>
        <w:spacing w:after="0" w:line="308"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180" w:right="40" w:hanging="436"/>
        <w:spacing w:after="0" w:line="286"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180" w:right="14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180" w:right="460" w:hanging="436"/>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180" w:right="14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24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180" w:right="24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80" w:right="4660" w:hanging="4836"/>
        <w:spacing w:after="0" w:line="536" w:lineRule="auto"/>
        <w:tabs>
          <w:tab w:leader="none" w:pos="1177"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125</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right="160" w:hanging="436"/>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68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436"/>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8" w:lineRule="exact"/>
        <w:rPr>
          <w:sz w:val="20"/>
          <w:szCs w:val="20"/>
          <w:color w:val="auto"/>
        </w:rPr>
      </w:pPr>
    </w:p>
    <w:p>
      <w:pPr>
        <w:ind w:left="1180" w:right="80" w:hanging="436"/>
        <w:spacing w:after="0" w:line="286"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00" w:hanging="436"/>
        <w:spacing w:after="0" w:line="286" w:lineRule="auto"/>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right="80" w:hanging="436"/>
        <w:spacing w:after="0" w:line="273" w:lineRule="auto"/>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180" w:right="360" w:hanging="436"/>
        <w:spacing w:after="0" w:line="308" w:lineRule="auto"/>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24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180" w:right="42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200" w:right="20" w:firstLine="4"/>
        <w:spacing w:after="0" w:line="252" w:lineRule="auto"/>
        <w:tabs>
          <w:tab w:leader="none" w:pos="4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1180" w:right="120" w:hanging="544"/>
        <w:spacing w:after="0" w:line="259"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620" w:right="180" w:hanging="430"/>
        <w:spacing w:after="0" w:line="308" w:lineRule="auto"/>
        <w:tabs>
          <w:tab w:leader="none" w:pos="16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is not an investment company (other than a SBIC wholly-owned by the BDC) or a company that would be an investment company but is excluded from the definition of an investment company by Section 3(c) of the 1940 Act; and</w:t>
      </w:r>
    </w:p>
    <w:p>
      <w:pPr>
        <w:spacing w:after="0" w:line="51" w:lineRule="exact"/>
        <w:rPr>
          <w:rFonts w:ascii="Arial" w:cs="Arial" w:eastAsia="Arial" w:hAnsi="Arial"/>
          <w:sz w:val="17"/>
          <w:szCs w:val="17"/>
          <w:color w:val="auto"/>
        </w:rPr>
      </w:pPr>
    </w:p>
    <w:p>
      <w:pPr>
        <w:ind w:left="1620" w:hanging="430"/>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2180" w:hanging="545"/>
        <w:spacing w:after="0"/>
        <w:tabs>
          <w:tab w:leader="none" w:pos="21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2180" w:right="380" w:hanging="545"/>
        <w:spacing w:after="0" w:line="277" w:lineRule="auto"/>
        <w:tabs>
          <w:tab w:leader="none" w:pos="21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75" w:lineRule="exact"/>
        <w:rPr>
          <w:rFonts w:ascii="Arial" w:cs="Arial" w:eastAsia="Arial" w:hAnsi="Arial"/>
          <w:sz w:val="18"/>
          <w:szCs w:val="18"/>
          <w:color w:val="auto"/>
        </w:rPr>
      </w:pPr>
    </w:p>
    <w:p>
      <w:pPr>
        <w:ind w:left="2180" w:right="520" w:hanging="545"/>
        <w:spacing w:after="0" w:line="264" w:lineRule="auto"/>
        <w:tabs>
          <w:tab w:leader="none" w:pos="21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180" w:right="240" w:hanging="544"/>
        <w:spacing w:after="0" w:line="259"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1180" w:right="820" w:hanging="544"/>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BDC, we are required to make available significant managerial assistance within the meaning of Section 2(a)(47) of the 1940 Act to our portfolio companies that constitute a qualifying asset.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are deemed to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and referred to as the asset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 addition, the joint code of ethics is attached as an exhibit to our annual report on Form 10-K and is available on the EDGAR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center"/>
        <w:ind w:left="380" w:right="60"/>
        <w:spacing w:after="0" w:line="312"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240" w:top="460"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8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1180" w:right="8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13a-14 under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ind w:left="1180" w:right="120" w:hanging="436"/>
        <w:spacing w:after="0" w:line="259"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308 of Regulation S-K under the Securities Act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SBA Regulations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17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90" w:lineRule="exact"/>
        <w:rPr>
          <w:sz w:val="20"/>
          <w:szCs w:val="20"/>
          <w:color w:val="auto"/>
        </w:rPr>
      </w:pPr>
    </w:p>
    <w:p>
      <w:pPr>
        <w:ind w:left="1180" w:right="32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5"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5"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240" w:top="460" w:right="5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180" w:right="260" w:hanging="436"/>
        <w:spacing w:after="0" w:line="264"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180" w:hanging="430"/>
        <w:spacing w:after="0" w:line="264"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hanging="430"/>
        <w:spacing w:after="0" w:line="286" w:lineRule="auto"/>
        <w:tabs>
          <w:tab w:leader="none" w:pos="16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3"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3"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180" w:hanging="436"/>
        <w:spacing w:after="0"/>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180" w:right="160" w:hanging="436"/>
        <w:spacing w:after="0" w:line="277"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incorporate by reference any future filings (including those made after the date of the filing of the registration statement of which this prospectus is a part) we will make with the SEC under Sections 13(a), 13(c), 14, or 15(d) of the Exchange Act until the termination of the offering of the securities covered by this prospectus; provided, however, that information “furnished” under Item 2.02 or Item 7.01 of Form 8-K or other information “furnished” to the SEC which is not deemed filed is not incorporated by reference.</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may request a copy of these filings (other than exhibits, unless the exhibits are specifically incorporated by reference into these documents) at no cost by writing or calling the following address and telephone number: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PennantPark Investment Corporation</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served as trustee for our 2019 Notes.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7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consolidated financial statements of Superior Digital Displays Holdings, Inc. and Subsidiaries as of and for the year ended September 30, 2018 included in this Prospectus and in the Registration Statement have been so included in reliance on the report of EisnerAmper LLP, Independent Auditor.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Financial Statements (unaudited)</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9640" w:type="dxa"/>
            <w:vAlign w:val="bottom"/>
            <w:gridSpan w:val="1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line="20" w:lineRule="exact"/>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Assets and Liabilities as of December 31, 2018 (unaudited) and September 30, 2018</w:t>
              </w:r>
            </w:hyperlink>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Operations for the three months ended December 31, 2018 and 2017 (unaudited)</w:t>
              </w:r>
            </w:hyperlink>
          </w:p>
        </w:tc>
        <w:tc>
          <w:tcPr>
            <w:tcW w:w="300" w:type="dxa"/>
            <w:vAlign w:val="bottom"/>
            <w:tcBorders>
              <w:top w:val="single" w:sz="8" w:color="0000EE"/>
            </w:tcBorders>
            <w:gridSpan w:val="2"/>
          </w:tcPr>
          <w:p>
            <w:pPr>
              <w:spacing w:after="0"/>
              <w:rPr>
                <w:sz w:val="22"/>
                <w:szCs w:val="22"/>
                <w:color w:val="auto"/>
              </w:rPr>
            </w:pPr>
          </w:p>
        </w:tc>
        <w:tc>
          <w:tcPr>
            <w:tcW w:w="1500" w:type="dxa"/>
            <w:vAlign w:val="bottom"/>
            <w:gridSpan w:val="2"/>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86">
              <w:r>
                <w:rPr>
                  <w:rFonts w:ascii="Arial" w:cs="Arial" w:eastAsia="Arial" w:hAnsi="Arial"/>
                  <w:sz w:val="18"/>
                  <w:szCs w:val="18"/>
                  <w:color w:val="0000EE"/>
                  <w:w w:val="89"/>
                </w:rPr>
                <w:t>Consolidated Statements of Changes in Net Assets for the three months ended December 31, 2018 and 2017 (unaudited)</w:t>
              </w:r>
            </w:hyperlink>
          </w:p>
        </w:tc>
        <w:tc>
          <w:tcPr>
            <w:tcW w:w="9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Consolidated Statements of Cash Flows for the three months ended December 31, 2018 and 2017 (unaudited)</w:t>
              </w:r>
            </w:hyperlink>
          </w:p>
        </w:tc>
        <w:tc>
          <w:tcPr>
            <w:tcW w:w="1740" w:type="dxa"/>
            <w:vAlign w:val="bottom"/>
            <w:gridSpan w:val="3"/>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Consolidated Schedules of Investments as of December 31, 2018 (unaudited) and September 30, 2018</w:t>
              </w:r>
            </w:hyperlink>
          </w:p>
        </w:tc>
        <w:tc>
          <w:tcPr>
            <w:tcW w:w="2240" w:type="dxa"/>
            <w:vAlign w:val="bottom"/>
            <w:gridSpan w:val="7"/>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Notes to Consolidated Financial Statements (unaudited)</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F-14</w:t>
            </w:r>
          </w:p>
        </w:tc>
        <w:tc>
          <w:tcPr>
            <w:tcW w:w="0" w:type="dxa"/>
            <w:vAlign w:val="bottom"/>
          </w:tcPr>
          <w:p>
            <w:pPr>
              <w:spacing w:after="0"/>
              <w:rPr>
                <w:sz w:val="1"/>
                <w:szCs w:val="1"/>
                <w:color w:val="auto"/>
              </w:rPr>
            </w:pPr>
          </w:p>
        </w:tc>
      </w:tr>
      <w:tr>
        <w:trPr>
          <w:trHeight w:val="453"/>
        </w:trPr>
        <w:tc>
          <w:tcPr>
            <w:tcW w:w="4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Annual Financial Statments (audited)</w:t>
            </w:r>
          </w:p>
        </w:tc>
        <w:tc>
          <w:tcPr>
            <w:tcW w:w="5620" w:type="dxa"/>
            <w:vAlign w:val="bottom"/>
            <w:gridSpan w:val="14"/>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16"/>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Management’s Report on Internal Control over Financial Reporting</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F-34</w:t>
            </w:r>
          </w:p>
        </w:tc>
        <w:tc>
          <w:tcPr>
            <w:tcW w:w="0" w:type="dxa"/>
            <w:vAlign w:val="bottom"/>
          </w:tcPr>
          <w:p>
            <w:pPr>
              <w:spacing w:after="0"/>
              <w:rPr>
                <w:sz w:val="1"/>
                <w:szCs w:val="1"/>
                <w:color w:val="auto"/>
              </w:rPr>
            </w:pPr>
          </w:p>
        </w:tc>
      </w:tr>
      <w:tr>
        <w:trPr>
          <w:trHeight w:val="264"/>
        </w:trPr>
        <w:tc>
          <w:tcPr>
            <w:tcW w:w="4860" w:type="dxa"/>
            <w:vAlign w:val="bottom"/>
            <w:tcBorders>
              <w:top w:val="single" w:sz="8" w:color="0000EE"/>
            </w:tcBorders>
            <w:gridSpan w:val="4"/>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Report of Independent Registered Public Accounting Firm</w:t>
              </w:r>
            </w:hyperlink>
          </w:p>
        </w:tc>
        <w:tc>
          <w:tcPr>
            <w:tcW w:w="4780" w:type="dxa"/>
            <w:vAlign w:val="bottom"/>
            <w:gridSpan w:val="12"/>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F-35</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F-36</w:t>
            </w:r>
          </w:p>
        </w:tc>
        <w:tc>
          <w:tcPr>
            <w:tcW w:w="0" w:type="dxa"/>
            <w:vAlign w:val="bottom"/>
          </w:tcPr>
          <w:p>
            <w:pPr>
              <w:spacing w:after="0" w:line="20" w:lineRule="exact"/>
              <w:rPr>
                <w:sz w:val="1"/>
                <w:szCs w:val="1"/>
                <w:color w:val="auto"/>
              </w:rPr>
            </w:pPr>
          </w:p>
        </w:tc>
      </w:tr>
      <w:tr>
        <w:trPr>
          <w:trHeight w:val="264"/>
        </w:trPr>
        <w:tc>
          <w:tcPr>
            <w:tcW w:w="75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17">
              <w:r>
                <w:rPr>
                  <w:rFonts w:ascii="Arial" w:cs="Arial" w:eastAsia="Arial" w:hAnsi="Arial"/>
                  <w:sz w:val="18"/>
                  <w:szCs w:val="18"/>
                  <w:color w:val="0000EE"/>
                  <w:w w:val="92"/>
                </w:rPr>
                <w:t>Report of Independent Registered Public Accounting Firm On Internal Control Over Financial Reporting</w:t>
              </w:r>
            </w:hyperlink>
          </w:p>
        </w:tc>
        <w:tc>
          <w:tcPr>
            <w:tcW w:w="2060" w:type="dxa"/>
            <w:vAlign w:val="bottom"/>
            <w:gridSpan w:val="6"/>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19">
              <w:r>
                <w:rPr>
                  <w:rFonts w:ascii="Arial" w:cs="Arial" w:eastAsia="Arial" w:hAnsi="Arial"/>
                  <w:sz w:val="18"/>
                  <w:szCs w:val="18"/>
                  <w:color w:val="0000EE"/>
                  <w:w w:val="90"/>
                </w:rPr>
                <w:t>Consolidated Statements of Assets and Liabilities as of September 30, 2018 and 2017</w:t>
              </w:r>
            </w:hyperlink>
          </w:p>
        </w:tc>
        <w:tc>
          <w:tcPr>
            <w:tcW w:w="3420" w:type="dxa"/>
            <w:vAlign w:val="bottom"/>
            <w:gridSpan w:val="10"/>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F-38</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20">
              <w:r>
                <w:rPr>
                  <w:rFonts w:ascii="Arial" w:cs="Arial" w:eastAsia="Arial" w:hAnsi="Arial"/>
                  <w:sz w:val="18"/>
                  <w:szCs w:val="18"/>
                  <w:color w:val="0000EE"/>
                  <w:w w:val="89"/>
                </w:rPr>
                <w:t>Consolidated Statements of Operations for the years ended September 30, 2018, 2017 and 2016</w:t>
              </w:r>
            </w:hyperlink>
          </w:p>
        </w:tc>
        <w:tc>
          <w:tcPr>
            <w:tcW w:w="2700" w:type="dxa"/>
            <w:vAlign w:val="bottom"/>
            <w:gridSpan w:val="9"/>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F-39</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Consolidated Statements of Changes in Net Assets for the years ended September 30, 2018, 2017 and 2016</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F-40</w:t>
            </w:r>
          </w:p>
        </w:tc>
        <w:tc>
          <w:tcPr>
            <w:tcW w:w="0" w:type="dxa"/>
            <w:vAlign w:val="bottom"/>
          </w:tcPr>
          <w:p>
            <w:pPr>
              <w:spacing w:after="0"/>
              <w:rPr>
                <w:sz w:val="1"/>
                <w:szCs w:val="1"/>
                <w:color w:val="auto"/>
              </w:rPr>
            </w:pPr>
          </w:p>
        </w:tc>
      </w:tr>
      <w:tr>
        <w:trPr>
          <w:trHeight w:val="264"/>
        </w:trPr>
        <w:tc>
          <w:tcPr>
            <w:tcW w:w="7720" w:type="dxa"/>
            <w:vAlign w:val="bottom"/>
            <w:tcBorders>
              <w:top w:val="single" w:sz="8" w:color="0000EE"/>
            </w:tcBorders>
            <w:gridSpan w:val="11"/>
          </w:tcPr>
          <w:p>
            <w:pPr>
              <w:spacing w:after="0"/>
              <w:rPr>
                <w:rFonts w:ascii="Arial" w:cs="Arial" w:eastAsia="Arial" w:hAnsi="Arial"/>
                <w:sz w:val="18"/>
                <w:szCs w:val="18"/>
                <w:color w:val="0000EE"/>
                <w:w w:val="98"/>
              </w:rPr>
            </w:pPr>
            <w:hyperlink w:anchor="page222">
              <w:r>
                <w:rPr>
                  <w:rFonts w:ascii="Arial" w:cs="Arial" w:eastAsia="Arial" w:hAnsi="Arial"/>
                  <w:sz w:val="18"/>
                  <w:szCs w:val="18"/>
                  <w:color w:val="0000EE"/>
                  <w:w w:val="98"/>
                </w:rPr>
                <w:t>Consolidated Statements of Cash Flows for the years ended September 30, 2018, 2017 and 2016</w:t>
              </w:r>
            </w:hyperlink>
          </w:p>
        </w:tc>
        <w:tc>
          <w:tcPr>
            <w:tcW w:w="1920" w:type="dxa"/>
            <w:vAlign w:val="bottom"/>
            <w:gridSpan w:val="5"/>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F-41</w:t>
            </w:r>
          </w:p>
        </w:tc>
        <w:tc>
          <w:tcPr>
            <w:tcW w:w="0" w:type="dxa"/>
            <w:vAlign w:val="bottom"/>
          </w:tcPr>
          <w:p>
            <w:pPr>
              <w:spacing w:after="0"/>
              <w:rPr>
                <w:sz w:val="1"/>
                <w:szCs w:val="1"/>
                <w:color w:val="auto"/>
              </w:rPr>
            </w:pPr>
          </w:p>
        </w:tc>
      </w:tr>
      <w:tr>
        <w:trPr>
          <w:trHeight w:val="264"/>
        </w:trPr>
        <w:tc>
          <w:tcPr>
            <w:tcW w:w="5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23">
              <w:r>
                <w:rPr>
                  <w:rFonts w:ascii="Arial" w:cs="Arial" w:eastAsia="Arial" w:hAnsi="Arial"/>
                  <w:sz w:val="18"/>
                  <w:szCs w:val="18"/>
                  <w:color w:val="0000EE"/>
                  <w:w w:val="89"/>
                </w:rPr>
                <w:t>Consolidated Schedules of Investments as of September 30, 2018 and 2017</w:t>
              </w:r>
            </w:hyperlink>
          </w:p>
        </w:tc>
        <w:tc>
          <w:tcPr>
            <w:tcW w:w="1500" w:type="dxa"/>
            <w:vAlign w:val="bottom"/>
            <w:tcBorders>
              <w:top w:val="single" w:sz="8" w:color="0000EE"/>
            </w:tcBorders>
            <w:gridSpan w:val="3"/>
          </w:tcPr>
          <w:p>
            <w:pPr>
              <w:spacing w:after="0"/>
              <w:rPr>
                <w:sz w:val="22"/>
                <w:szCs w:val="22"/>
                <w:color w:val="auto"/>
              </w:rPr>
            </w:pPr>
          </w:p>
        </w:tc>
        <w:tc>
          <w:tcPr>
            <w:tcW w:w="2660" w:type="dxa"/>
            <w:vAlign w:val="bottom"/>
            <w:gridSpan w:val="8"/>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F-42</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Notes to the Consolidated Financial Statements</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F-50</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12"/>
          </w:tcPr>
          <w:p>
            <w:pPr>
              <w:ind w:left="520"/>
              <w:spacing w:after="0"/>
              <w:rPr>
                <w:sz w:val="20"/>
                <w:szCs w:val="20"/>
                <w:color w:val="auto"/>
              </w:rPr>
            </w:pPr>
            <w:r>
              <w:rPr>
                <w:rFonts w:ascii="Arial" w:cs="Arial" w:eastAsia="Arial" w:hAnsi="Arial"/>
                <w:sz w:val="18"/>
                <w:szCs w:val="18"/>
                <w:color w:val="auto"/>
              </w:rPr>
              <w:t>F-1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jc w:val="both"/>
        <w:ind w:left="200" w:right="100" w:firstLine="441"/>
        <w:spacing w:after="0" w:line="273" w:lineRule="auto"/>
        <w:rPr>
          <w:sz w:val="20"/>
          <w:szCs w:val="20"/>
          <w:color w:val="auto"/>
        </w:rPr>
      </w:pPr>
      <w:r>
        <w:rPr>
          <w:rFonts w:ascii="Arial" w:cs="Arial" w:eastAsia="Arial" w:hAnsi="Arial"/>
          <w:sz w:val="17"/>
          <w:szCs w:val="17"/>
          <w:color w:val="auto"/>
        </w:rPr>
        <w:t>We have reviewed the accompanying consolidated statement of assets and liabilities of PennantPark Investment Corporation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7,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2018</w:t>
            </w:r>
          </w:p>
        </w:tc>
        <w:tc>
          <w:tcPr>
            <w:tcW w:w="140" w:type="dxa"/>
            <w:vAlign w:val="bottom"/>
          </w:tcPr>
          <w:p>
            <w:pPr>
              <w:spacing w:after="0"/>
              <w:rPr>
                <w:sz w:val="14"/>
                <w:szCs w:val="14"/>
                <w:color w:val="auto"/>
              </w:rPr>
            </w:pPr>
          </w:p>
        </w:tc>
        <w:tc>
          <w:tcPr>
            <w:tcW w:w="1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Non-controlled, non-affiliated investments (cost—$987,929,505 and $896,720,950, respectively)</w:t>
            </w:r>
          </w:p>
        </w:tc>
        <w:tc>
          <w:tcPr>
            <w:tcW w:w="1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989,515,879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(cost—$74,369,962 and $91,520,908,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49,057,619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78,078,331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(cost—$261,311,677 and $255,574,317, respectively)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152,880,313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Total of investments (cost—$1,323,611,144 and $1,243,816,175,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1,191,453,811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7"/>
              </w:rPr>
              <w:t>1,132,085,474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(cost—$24,657,870 and $19,543,625,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5,506,564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7,606,964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1,221,766,808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1,160,118,827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12,244,957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12,429,712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Credit Facility payable (cost—$174,136,000 and $80,520,000, respectively) (See Notes 5 and 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4"/>
              </w:rPr>
              <w:t>SBA debentures payable, net (par—$150,000,000 and $180,000,000, respectively) (See Notes 5 and 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145,789,777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2,667,270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2,964,265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605,825,703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rPr>
              <w:t>Common stock, 68,027,537 and 69,053,958 shares issued and outstanding, respectively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796,236,224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6,333,033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6,003,360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(62,157,643)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(70,687,629)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(132,156,359)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(111,763,780)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7,617,822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615,941,105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1,221,766,808</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1,160,118,827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23,508,581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21,383,219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1,284,909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1,215,834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1,573,306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480,430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1,144,085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27,380,001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28,668,425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4,419,262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5,735,137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3,185,204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6,278,847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5,857,378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521,625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628,290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Management Fees waiver and provision for taxes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15,927,634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(1,427,253)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expenses</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14,805,371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14,500,381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14,168,044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debt: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3,737,919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1,793,043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1,980,440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realized gain on investments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(6,929,882)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1,738,065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(13,462,697)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(8,510,961)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depreciation (See Notes 5 and 10)</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depreciation on investments and debt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(14,326,427)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(5,646,130)</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loss from investments and debt</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(1,872,647)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14,168,044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change in unrealized depreciation on investments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(20,392,579)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(6,772,896)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on debt</w:t>
            </w:r>
          </w:p>
        </w:tc>
        <w:tc>
          <w:tcPr>
            <w:tcW w:w="2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12,295,397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(12,244,957)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(12,790,950)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2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(7,494,022)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net assets</w:t>
            </w:r>
          </w:p>
        </w:tc>
        <w:tc>
          <w:tcPr>
            <w:tcW w:w="2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(12,960,790)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(495,553)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628,901,895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646,808,471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615,941,105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646,312,918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at end of period</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4,710,289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Shares of common stock repurchased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(1,026,421)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6,778,189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12,295,397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provided by 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change in net unrealized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20,392,579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6,772,896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(6,066,152)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(8,529,986)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(729,769)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(194,455,970)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(138,433,423)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(1,922,358)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125,791,017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192,303,018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Decrease (increase) in 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2,100,400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18,172,125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(1,569,299)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base management fee payable,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332,431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performance-based incentive fee payable,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(296,995)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(38,630,681)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62,388,387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(7,494,022)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(12,429,712)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(12,790,950)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SBA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(30,000,000)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Borrowings under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217,000,000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(123,384,000)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43,692,266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(27,790,950)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5,061,585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72,832,675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7,431,597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6,852,037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12,697,510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52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gridSpan w:val="2"/>
            <w:vMerge w:val="continue"/>
          </w:tcPr>
          <w:p>
            <w:pPr>
              <w:spacing w:after="0"/>
              <w:rPr>
                <w:sz w:val="12"/>
                <w:szCs w:val="12"/>
                <w:color w:val="auto"/>
              </w:rPr>
            </w:pPr>
          </w:p>
        </w:tc>
        <w:tc>
          <w:tcPr>
            <w:tcW w:w="1520" w:type="dxa"/>
            <w:vAlign w:val="bottom"/>
          </w:tcPr>
          <w:p>
            <w:pPr>
              <w:jc w:val="right"/>
              <w:ind w:right="222"/>
              <w:spacing w:after="0"/>
              <w:rPr>
                <w:sz w:val="20"/>
                <w:szCs w:val="20"/>
                <w:color w:val="auto"/>
              </w:rPr>
            </w:pPr>
            <w:r>
              <w:rPr>
                <w:rFonts w:ascii="Arial" w:cs="Arial" w:eastAsia="Arial" w:hAnsi="Arial"/>
                <w:sz w:val="12"/>
                <w:szCs w:val="12"/>
                <w:b w:val="1"/>
                <w:bCs w:val="1"/>
                <w:color w:val="auto"/>
              </w:rPr>
              <w:t>Expiration</w:t>
            </w:r>
          </w:p>
        </w:tc>
        <w:tc>
          <w:tcPr>
            <w:tcW w:w="2560" w:type="dxa"/>
            <w:vAlign w:val="bottom"/>
            <w:gridSpan w:val="2"/>
            <w:vMerge w:val="continue"/>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Coupon</w:t>
            </w: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3"/>
              </w:rPr>
              <w:t xml:space="preserve">Investments in Non-Controlled, Non-Affiliated Portfolio Companies—160.7% </w:t>
            </w:r>
            <w:r>
              <w:rPr>
                <w:rFonts w:ascii="Arial" w:cs="Arial" w:eastAsia="Arial" w:hAnsi="Arial"/>
                <w:sz w:val="9"/>
                <w:szCs w:val="9"/>
                <w:b w:val="1"/>
                <w:bCs w:val="1"/>
                <w:color w:val="auto"/>
                <w:w w:val="93"/>
              </w:rPr>
              <w:t>(1), (2)</w:t>
            </w:r>
          </w:p>
        </w:tc>
        <w:tc>
          <w:tcPr>
            <w:tcW w:w="2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Debt—78.6%</w:t>
            </w:r>
          </w:p>
        </w:tc>
        <w:tc>
          <w:tcPr>
            <w:tcW w:w="1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08/08/2022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9.81%</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21,358,192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21,057,856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21,384,889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08/08/2022</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Insulated Glass,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12/21/2023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7.98%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31,200,000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30,580,416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1,350,649</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02/01/2024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9"/>
              </w:rPr>
              <w:t>Printing and Publishing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14,887,500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14,749,371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14,738,625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02/13/2023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L+750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19,354,443</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12/02/2022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11.31%</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31,515,152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31,516,838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31,515,152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12/23/2021</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37,358,331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36,817,568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37,358,331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DermaRite Industries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03/03/2022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9.52%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9,720,195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9,557,457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Deva Holdings,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10/31/2023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4,520,316</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4,446,372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4,520,316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10/31/2022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385,000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06/09/2023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19,400,776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18,728,146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06/27/2023</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9.30%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27,410,052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27,221,921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27,273,002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12/22/2021</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14,171,119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13,977,311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14,171,119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K2 Pure Solutions NoCal, L.P.</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12/20/2023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7.84%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27,133,333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26,727,301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26,726,333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12/20/2023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1,938,095</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22,110,425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21,729,644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22,110,425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12.75%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P+725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Peninsula Pacific Entertainment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11/13/2024</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9.71%</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7,183,125</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7,128,000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11/13/2024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(11)</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06/01/2023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7.68%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5,445,567</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5,422,576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Provation Medical,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03/11/2024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9.42%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26,396,785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22,443,750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22,016,571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21,994,875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22,359,375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21,955,122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21,800,390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(228,041)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790,541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3,243,243</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(81,081)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20,227,284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19,982,458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20,227,284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5,506,214</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1,666,667</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12/28/2020</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15.77%</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L+1,325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22,099,213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21,885,003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21,325,740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US Dominion,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07/15/2024</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9.28%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29,358,834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29,850,000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07/15/2024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US Med Acquisition,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08/13/2021</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8,454,688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8,454,688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8,031,952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09/26/2024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Home and Office Furnishings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8.88%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22,065,139</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10/18/2022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11.53%</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19,183,125</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18,874,578</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19,183,125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5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483,910,430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484,232,914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Debt—65.5%</w:t>
            </w: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Condor Borrower,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04/25/2025</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11.28%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12,277,984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Confie Seguros Holding Co.</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10/31/2025</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11.24%</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14,500,000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14,211,122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14,040,785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03/31/2025</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11.05%</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22,619,598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07/06/2026</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10.77%</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L+825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44,337,844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04/03/2024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12.05%</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20,068,042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11/30/2026</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11.21%</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20,769,231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20,474,544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20,561,538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11/30/2026</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2,373,626</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(23,736)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line="129"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52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03/01/2019</w:t>
            </w:r>
          </w:p>
        </w:tc>
        <w:tc>
          <w:tcPr>
            <w:tcW w:w="2560" w:type="dxa"/>
            <w:vAlign w:val="bottom"/>
            <w:gridSpan w:val="2"/>
          </w:tcPr>
          <w:p>
            <w:pPr>
              <w:jc w:val="center"/>
              <w:ind w:right="200"/>
              <w:spacing w:after="0" w:line="129" w:lineRule="exact"/>
              <w:rPr>
                <w:sz w:val="20"/>
                <w:szCs w:val="20"/>
                <w:color w:val="auto"/>
              </w:rPr>
            </w:pPr>
            <w:r>
              <w:rPr>
                <w:rFonts w:ascii="Arial" w:cs="Arial" w:eastAsia="Arial" w:hAnsi="Arial"/>
                <w:sz w:val="12"/>
                <w:szCs w:val="12"/>
                <w:color w:val="auto"/>
                <w:w w:val="86"/>
              </w:rPr>
              <w:t>Cargo Transport</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11.00%</w:t>
            </w: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481,052</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468,352</w:t>
            </w:r>
          </w:p>
        </w:tc>
        <w:tc>
          <w:tcPr>
            <w:tcW w:w="8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481,052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color w:val="auto"/>
              </w:rPr>
              <w:t>(PIK 11.00%)</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10/23/2024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9"/>
              </w:rPr>
              <w:t>Printing and Publishing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48,425,000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47,511,267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MBS Holdings,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01/02/2024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14,720,490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12/17/2021</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14.80%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L+1,200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76,500,000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76,500,000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83,062,990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PT Network,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04/12/2023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12.43%</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L+1,000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41,666,667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40,989,222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41,041,667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Shift4 Payments,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11/28/2025</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11.03%</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37,000,000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36,844,123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36,722,500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VT Topco,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08/24/2026</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12,437,500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04/06/2026</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Auto Sector</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32,800,000</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32,186,662</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32,472,000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395,646,750</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403,170,805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Notes—7.8%</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03/17/2025</w:t>
            </w:r>
          </w:p>
        </w:tc>
        <w:tc>
          <w:tcPr>
            <w:tcW w:w="140" w:type="dxa"/>
            <w:vAlign w:val="bottom"/>
          </w:tcPr>
          <w:p>
            <w:pPr>
              <w:spacing w:after="0"/>
              <w:rPr>
                <w:sz w:val="11"/>
                <w:szCs w:val="11"/>
                <w:color w:val="auto"/>
              </w:rPr>
            </w:pPr>
          </w:p>
        </w:tc>
        <w:tc>
          <w:tcPr>
            <w:tcW w:w="25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13,569,534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8"/>
              </w:rPr>
              <w:t>$  13,307,183</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13,569,534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(PIK 2.00%)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08/20/2021</w:t>
            </w:r>
          </w:p>
        </w:tc>
        <w:tc>
          <w:tcPr>
            <w:tcW w:w="1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36,955,649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36,580,410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34,553,533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5"/>
              </w:rPr>
              <w:t>(PIK 13.00%)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49,887,593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48,123,067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Interests—0.3%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6.00%</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462,602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584,633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527,701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1,602,750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1,643,917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Interests/Warrants—8.5%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AH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tcPr>
          <w:p>
            <w:pPr>
              <w:spacing w:after="0"/>
              <w:rPr>
                <w:sz w:val="11"/>
                <w:szCs w:val="11"/>
                <w:color w:val="auto"/>
              </w:rPr>
            </w:pP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Education</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586,975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1,866,067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Autumn Games,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Broadcasting and Entertainment</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Cardinal Logistics Holdings LLC (Intermediate Transportation 100, LLC) </w:t>
            </w:r>
            <w:r>
              <w:rPr>
                <w:rFonts w:ascii="Arial" w:cs="Arial" w:eastAsia="Arial" w:hAnsi="Arial"/>
                <w:sz w:val="9"/>
                <w:szCs w:val="9"/>
                <w:color w:val="auto"/>
                <w:w w:val="96"/>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Cargo Transport</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(13)</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5,411,024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3,611,080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33,901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2,852,080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520,736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112,001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1,153,614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1,312,852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333,333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Buildings and Real Estate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1,287,386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22,500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2,535,289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5,212,753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1,004,625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1,012,082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1,177,113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Go Dawgs Capital III, LP (American Insulated Glass,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675,325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1,308,318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Other Media</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2,049,849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3,839,997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JWC-WE Holdings, L.P. (Walker Edison Furniture Company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Home and Office Furnishings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524,189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686,222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623,125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552,896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Inc.—Class A </w:t>
            </w:r>
            <w:r>
              <w:rPr>
                <w:rFonts w:ascii="Arial" w:cs="Arial" w:eastAsia="Arial" w:hAnsi="Arial"/>
                <w:sz w:val="9"/>
                <w:szCs w:val="9"/>
                <w:color w:val="auto"/>
              </w:rPr>
              <w:t>(11), (12)</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81,383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813,830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528,990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6,372,623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628,571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1,269,714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Auto Sector</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5,592,775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855,515</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839,016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Equity/Partnership Interests/Warrants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56,881,982</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52,345,176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987,929,505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989,515,879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9"/>
              </w:rPr>
              <w:t xml:space="preserve">Investments in Non-Controlled, Affiliated Portfolio Companies—8.0% </w:t>
            </w:r>
            <w:r>
              <w:rPr>
                <w:rFonts w:ascii="Arial" w:cs="Arial" w:eastAsia="Arial" w:hAnsi="Arial"/>
                <w:sz w:val="9"/>
                <w:szCs w:val="9"/>
                <w:b w:val="1"/>
                <w:bCs w:val="1"/>
                <w:color w:val="auto"/>
                <w:w w:val="89"/>
              </w:rPr>
              <w:t>(1), (2)</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b w:val="1"/>
                <w:bCs w:val="1"/>
                <w:color w:val="auto"/>
              </w:rPr>
              <w:t xml:space="preserve">Preferred Equity—1.5% </w:t>
            </w:r>
            <w:r>
              <w:rPr>
                <w:rFonts w:ascii="Arial" w:cs="Arial" w:eastAsia="Arial" w:hAnsi="Arial"/>
                <w:sz w:val="9"/>
                <w:szCs w:val="9"/>
                <w:b w:val="1"/>
                <w:bCs w:val="1"/>
                <w:color w:val="auto"/>
              </w:rPr>
              <w:t>(6)</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23,269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2,326,900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9,307,600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85"/>
              </w:rPr>
              <w:t>Basis Point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5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Industry</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vMerge w:val="continue"/>
          </w:tcPr>
          <w:p>
            <w:pPr>
              <w:spacing w:after="0"/>
              <w:rPr>
                <w:sz w:val="12"/>
                <w:szCs w:val="12"/>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vMerge w:val="continue"/>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82"/>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Interests/Warrants—6.5% </w:t>
            </w:r>
            <w:r>
              <w:rPr>
                <w:rFonts w:ascii="Arial" w:cs="Arial" w:eastAsia="Arial" w:hAnsi="Arial"/>
                <w:sz w:val="9"/>
                <w:szCs w:val="9"/>
                <w:b w:val="1"/>
                <w:bCs w:val="1"/>
                <w:color w:val="auto"/>
              </w:rPr>
              <w:t>(6)</w:t>
            </w:r>
          </w:p>
        </w:tc>
        <w:tc>
          <w:tcPr>
            <w:tcW w:w="860" w:type="dxa"/>
            <w:vAlign w:val="bottom"/>
            <w:tcBorders>
              <w:top w:val="single" w:sz="8" w:color="auto"/>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6"/>
              </w:rPr>
              <w:t>Consumer Products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16,804,236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86"/>
              </w:rPr>
              <w:t>Consumer Products</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8"/>
              </w:rPr>
              <w:t>Oil and Gas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93"/>
              </w:rPr>
              <w:t>1,658,389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21,768,908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88"/>
              </w:rPr>
              <w:t>Oil and Gas</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1,754,104</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1,160,304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72,043,062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39,750,019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3"/>
              </w:rPr>
              <w:t>Total Investments in Non-Controlled, Affiliated Portfolio Companies</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74,369,962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49,057,619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w w:val="89"/>
              </w:rPr>
              <w:t xml:space="preserve">Investments in Controlled, Affiliated Portfolio Companies—24.7% </w:t>
            </w:r>
            <w:r>
              <w:rPr>
                <w:rFonts w:ascii="Arial" w:cs="Arial" w:eastAsia="Arial" w:hAnsi="Arial"/>
                <w:sz w:val="9"/>
                <w:szCs w:val="9"/>
                <w:b w:val="1"/>
                <w:bCs w:val="1"/>
                <w:color w:val="auto"/>
                <w:w w:val="89"/>
              </w:rPr>
              <w:t>(1), (2)</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Debt—15.1%</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860" w:type="dxa"/>
            <w:vAlign w:val="bottom"/>
          </w:tcPr>
          <w:p>
            <w:pPr>
              <w:ind w:left="40"/>
              <w:spacing w:after="0" w:line="135" w:lineRule="exact"/>
              <w:rPr>
                <w:sz w:val="20"/>
                <w:szCs w:val="20"/>
                <w:color w:val="auto"/>
              </w:rPr>
            </w:pPr>
            <w:r>
              <w:rPr>
                <w:rFonts w:ascii="Arial" w:cs="Arial" w:eastAsia="Arial" w:hAnsi="Arial"/>
                <w:sz w:val="12"/>
                <w:szCs w:val="12"/>
                <w:color w:val="auto"/>
              </w:rPr>
              <w:t>03/13/2024</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6.65%</w:t>
            </w:r>
          </w:p>
        </w:tc>
        <w:tc>
          <w:tcPr>
            <w:tcW w:w="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color w:val="auto"/>
                <w:w w:val="93"/>
              </w:rPr>
              <w:t>3M L+575</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3"/>
              </w:rPr>
              <w:t>28,000,000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35,660,604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86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07/01/2022</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860" w:type="dxa"/>
            <w:vAlign w:val="bottom"/>
          </w:tcPr>
          <w:p>
            <w:pPr>
              <w:ind w:left="40"/>
              <w:spacing w:after="0" w:line="135" w:lineRule="exact"/>
              <w:rPr>
                <w:sz w:val="20"/>
                <w:szCs w:val="20"/>
                <w:color w:val="auto"/>
              </w:rPr>
            </w:pPr>
            <w:r>
              <w:rPr>
                <w:rFonts w:ascii="Arial" w:cs="Arial" w:eastAsia="Arial" w:hAnsi="Arial"/>
                <w:sz w:val="12"/>
                <w:szCs w:val="12"/>
                <w:color w:val="auto"/>
              </w:rPr>
              <w:t>07/01/2022</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3"/>
              </w:rPr>
              <w:t>15,000,000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LLC</w:t>
            </w:r>
          </w:p>
        </w:tc>
        <w:tc>
          <w:tcPr>
            <w:tcW w:w="86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12/31/2019</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7,504,371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7,243,236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96,294,836</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93,160,604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Equity—1.4% </w:t>
            </w:r>
            <w:r>
              <w:rPr>
                <w:rFonts w:ascii="Arial" w:cs="Arial" w:eastAsia="Arial" w:hAnsi="Arial"/>
                <w:sz w:val="9"/>
                <w:szCs w:val="9"/>
                <w:b w:val="1"/>
                <w:bCs w:val="1"/>
                <w:color w:val="auto"/>
              </w:rPr>
              <w:t>(6)</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153,922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15,392,188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1,416,392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46,254,586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61,646,774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Equity—8.2% </w:t>
            </w:r>
            <w:r>
              <w:rPr>
                <w:rFonts w:ascii="Arial" w:cs="Arial" w:eastAsia="Arial" w:hAnsi="Arial"/>
                <w:sz w:val="9"/>
                <w:szCs w:val="9"/>
                <w:b w:val="1"/>
                <w:bCs w:val="1"/>
                <w:color w:val="auto"/>
              </w:rPr>
              <w:t>(6)</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7,307,469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43,330,000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50,637,469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261,311,677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152,880,313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Investments—193.4%</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1,323,611,144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1,191,453,811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Equivalents—4.0%</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19,811,323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19,807,342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24,657,870</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24,653,889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Equivalents—197.4%</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8"/>
              </w:rPr>
              <w:t>1,348,269,014</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1,216,107,700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Assets—(97.4%)</w:t>
            </w: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3"/>
              </w:rPr>
              <w:t>(600,166,595)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615,941,105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640" w:right="140" w:hanging="436"/>
        <w:spacing w:after="0" w:line="243"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18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640" w:right="2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spacing w:after="0" w:line="2" w:lineRule="exact"/>
        <w:rPr>
          <w:rFonts w:ascii="Arial" w:cs="Arial" w:eastAsia="Arial" w:hAnsi="Arial"/>
          <w:sz w:val="12"/>
          <w:szCs w:val="12"/>
          <w:color w:val="auto"/>
        </w:rPr>
      </w:pPr>
    </w:p>
    <w:p>
      <w:pPr>
        <w:ind w:left="640" w:right="10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640" w:hanging="436"/>
        <w:spacing w:after="0"/>
        <w:tabs>
          <w:tab w:leader="none" w:pos="640" w:val="left"/>
        </w:tabs>
        <w:numPr>
          <w:ilvl w:val="0"/>
          <w:numId w:val="9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640" w:right="120" w:hanging="436"/>
        <w:spacing w:after="0" w:line="256" w:lineRule="auto"/>
        <w:tabs>
          <w:tab w:leader="none" w:pos="640"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ind w:left="640" w:hanging="436"/>
        <w:spacing w:after="0" w:line="234" w:lineRule="auto"/>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640" w:hanging="436"/>
        <w:spacing w:after="0"/>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Basis Point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2"/>
              </w:rPr>
              <w:t>Industry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2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gridSpan w:val="2"/>
            <w:vMerge w:val="continue"/>
          </w:tcPr>
          <w:p>
            <w:pPr>
              <w:spacing w:after="0"/>
              <w:rPr>
                <w:sz w:val="12"/>
                <w:szCs w:val="12"/>
                <w:color w:val="auto"/>
              </w:rPr>
            </w:pPr>
          </w:p>
        </w:tc>
        <w:tc>
          <w:tcPr>
            <w:tcW w:w="1180" w:type="dxa"/>
            <w:vAlign w:val="bottom"/>
          </w:tcPr>
          <w:p>
            <w:pPr>
              <w:jc w:val="right"/>
              <w:ind w:right="422"/>
              <w:spacing w:after="0"/>
              <w:rPr>
                <w:sz w:val="20"/>
                <w:szCs w:val="20"/>
                <w:color w:val="auto"/>
              </w:rPr>
            </w:pPr>
            <w:r>
              <w:rPr>
                <w:rFonts w:ascii="Arial" w:cs="Arial" w:eastAsia="Arial" w:hAnsi="Arial"/>
                <w:sz w:val="12"/>
                <w:szCs w:val="12"/>
                <w:b w:val="1"/>
                <w:bCs w:val="1"/>
                <w:color w:val="auto"/>
              </w:rPr>
              <w:t>Expiration</w:t>
            </w:r>
          </w:p>
        </w:tc>
        <w:tc>
          <w:tcPr>
            <w:tcW w:w="2620" w:type="dxa"/>
            <w:vAlign w:val="bottom"/>
            <w:gridSpan w:val="2"/>
            <w:vMerge w:val="continue"/>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2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Companies—144.0% </w:t>
            </w:r>
            <w:r>
              <w:rPr>
                <w:rFonts w:ascii="Arial" w:cs="Arial" w:eastAsia="Arial" w:hAnsi="Arial"/>
                <w:sz w:val="9"/>
                <w:szCs w:val="9"/>
                <w:b w:val="1"/>
                <w:bCs w:val="1"/>
                <w:color w:val="auto"/>
                <w:w w:val="90"/>
              </w:rPr>
              <w:t>(1), (2)</w:t>
            </w:r>
          </w:p>
        </w:tc>
        <w:tc>
          <w:tcPr>
            <w:tcW w:w="2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1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08/08/2022</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21,435,548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08/08/2022</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02/01/2024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02/13/2023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12/02/2022</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10.33%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31,676,768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12/23/2021</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32,813,941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11/05/2018</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03/03/2022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9.24%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10/31/2023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7.74%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10/31/2022</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06/09/2023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10.39%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06/27/2023</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22,457,923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06/27/2023</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12,491,009</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12/22/2021</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11.61%</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14,350,500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02/19/2021</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11.24%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14,243,249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8.49%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22,218,750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20,925,313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12/28/2020</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15.49%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L+1,325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23,718,379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07/15/2024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9.14%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29,925,000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07/15/2024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08/13/2021</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11.39%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09/26/2024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Home and Office Furnishings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8.88%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10/18/2022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5"/>
              </w:rPr>
              <w:t>Aerospace and Defense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11.25%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19,305,000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04/25/2025</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11.09%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03/31/2025</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Beverage, Food and Tobacco</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07/06/2026</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10.49%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04/03/2024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7"/>
              </w:rPr>
              <w:t>Other 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01/02/2023</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11.17%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03/01/2019</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(PIK 11.00%)</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10/23/2024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48,425,000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01/02/2024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9"/>
              </w:rPr>
              <w:t>Telecommunications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12/17/2021</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Hotels, Motels, Inns and Gaming</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14.39%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L+1,200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10/10/2025</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19,300,700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10/10/2025</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04/12/2023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L+1,000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41,666,667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11/28/2025</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10.84%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37,000,000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08/24/2026</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04/03/2026</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9"/>
              </w:rPr>
              <w:t>Auto Sector</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32,000,000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385,201,277</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Basis Point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gridSpan w:val="2"/>
            <w:vMerge w:val="continue"/>
          </w:tcPr>
          <w:p>
            <w:pPr>
              <w:spacing w:after="0"/>
              <w:rPr>
                <w:sz w:val="12"/>
                <w:szCs w:val="12"/>
                <w:color w:val="auto"/>
              </w:rPr>
            </w:pPr>
          </w:p>
        </w:tc>
        <w:tc>
          <w:tcPr>
            <w:tcW w:w="1040" w:type="dxa"/>
            <w:vAlign w:val="bottom"/>
          </w:tcPr>
          <w:p>
            <w:pPr>
              <w:ind w:left="140"/>
              <w:spacing w:after="0"/>
              <w:rPr>
                <w:sz w:val="20"/>
                <w:szCs w:val="20"/>
                <w:color w:val="auto"/>
              </w:rPr>
            </w:pPr>
            <w:r>
              <w:rPr>
                <w:rFonts w:ascii="Arial" w:cs="Arial" w:eastAsia="Arial" w:hAnsi="Arial"/>
                <w:sz w:val="12"/>
                <w:szCs w:val="12"/>
                <w:b w:val="1"/>
                <w:bCs w:val="1"/>
                <w:color w:val="auto"/>
              </w:rPr>
              <w:t>Expiration</w:t>
            </w:r>
          </w:p>
        </w:tc>
        <w:tc>
          <w:tcPr>
            <w:tcW w:w="2520" w:type="dxa"/>
            <w:vAlign w:val="bottom"/>
            <w:vMerge w:val="continue"/>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104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1040" w:type="dxa"/>
            <w:vAlign w:val="bottom"/>
          </w:tcPr>
          <w:p>
            <w:pPr>
              <w:ind w:left="180"/>
              <w:spacing w:after="0" w:line="129" w:lineRule="exact"/>
              <w:rPr>
                <w:sz w:val="20"/>
                <w:szCs w:val="20"/>
                <w:color w:val="auto"/>
              </w:rPr>
            </w:pPr>
            <w:r>
              <w:rPr>
                <w:rFonts w:ascii="Arial" w:cs="Arial" w:eastAsia="Arial" w:hAnsi="Arial"/>
                <w:sz w:val="12"/>
                <w:szCs w:val="12"/>
                <w:color w:val="auto"/>
              </w:rPr>
              <w:t>03/17/2025</w:t>
            </w:r>
          </w:p>
        </w:tc>
        <w:tc>
          <w:tcPr>
            <w:tcW w:w="252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12.00%</w:t>
            </w:r>
          </w:p>
        </w:tc>
        <w:tc>
          <w:tcPr>
            <w:tcW w:w="88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13,500,000</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13,230,411</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(PIK 2.00%)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08/20/2021</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35,792,396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13.00%)</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48,617,113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48,127,586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CI (PTN) Investment Holdings II, LLC (PT Network, LLC) </w:t>
            </w:r>
            <w:r>
              <w:rPr>
                <w:rFonts w:ascii="Arial" w:cs="Arial" w:eastAsia="Arial" w:hAnsi="Arial"/>
                <w:sz w:val="9"/>
                <w:szCs w:val="9"/>
                <w:color w:val="auto"/>
                <w:w w:val="96"/>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Common Equity/Partnership Interests/Warrants—7.0% </w:t>
            </w:r>
            <w:r>
              <w:rPr>
                <w:rFonts w:ascii="Arial" w:cs="Arial" w:eastAsia="Arial" w:hAnsi="Arial"/>
                <w:sz w:val="9"/>
                <w:szCs w:val="9"/>
                <w:b w:val="1"/>
                <w:bCs w:val="1"/>
                <w:color w:val="auto"/>
                <w:w w:val="94"/>
              </w:rPr>
              <w:t>(6)</w:t>
            </w: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03/23/2021</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1040" w:type="dxa"/>
            <w:vAlign w:val="bottom"/>
          </w:tcPr>
          <w:p>
            <w:pPr>
              <w:ind w:left="180"/>
              <w:spacing w:after="0" w:line="135" w:lineRule="exact"/>
              <w:rPr>
                <w:sz w:val="20"/>
                <w:szCs w:val="20"/>
                <w:color w:val="auto"/>
              </w:rPr>
            </w:pPr>
            <w:r>
              <w:rPr>
                <w:rFonts w:ascii="Arial" w:cs="Arial" w:eastAsia="Arial" w:hAnsi="Arial"/>
                <w:sz w:val="12"/>
                <w:szCs w:val="12"/>
                <w:color w:val="auto"/>
              </w:rPr>
              <w:t>05/05/2026</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Broadcasting and Entertainment</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w w:val="93"/>
              </w:rPr>
              <w:t>Cardinal Logistics Holdings LLC (Intermediate Transportation</w:t>
            </w:r>
          </w:p>
        </w:tc>
        <w:tc>
          <w:tcPr>
            <w:tcW w:w="1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ind w:left="100"/>
              <w:spacing w:after="0"/>
              <w:rPr>
                <w:sz w:val="20"/>
                <w:szCs w:val="20"/>
                <w:color w:val="auto"/>
              </w:rPr>
            </w:pPr>
            <w:r>
              <w:rPr>
                <w:rFonts w:ascii="Arial" w:cs="Arial" w:eastAsia="Arial" w:hAnsi="Arial"/>
                <w:sz w:val="12"/>
                <w:szCs w:val="12"/>
                <w:color w:val="auto"/>
              </w:rPr>
              <w:t xml:space="preserve">100, LLC) </w:t>
            </w:r>
            <w:r>
              <w:rPr>
                <w:rFonts w:ascii="Arial" w:cs="Arial" w:eastAsia="Arial" w:hAnsi="Arial"/>
                <w:sz w:val="9"/>
                <w:szCs w:val="9"/>
                <w:color w:val="auto"/>
              </w:rPr>
              <w:t>(9)</w:t>
            </w:r>
          </w:p>
        </w:tc>
        <w:tc>
          <w:tcPr>
            <w:tcW w:w="1040" w:type="dxa"/>
            <w:vAlign w:val="bottom"/>
          </w:tcPr>
          <w:p>
            <w:pPr>
              <w:ind w:left="540"/>
              <w:spacing w:after="0"/>
              <w:rPr>
                <w:sz w:val="20"/>
                <w:szCs w:val="20"/>
                <w:color w:val="auto"/>
              </w:rPr>
            </w:pPr>
            <w:r>
              <w:rPr>
                <w:rFonts w:ascii="Arial" w:cs="Arial" w:eastAsia="Arial" w:hAnsi="Arial"/>
                <w:sz w:val="12"/>
                <w:szCs w:val="12"/>
                <w:color w:val="auto"/>
              </w:rPr>
              <w:t>—</w:t>
            </w:r>
          </w:p>
        </w:tc>
        <w:tc>
          <w:tcPr>
            <w:tcW w:w="252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2,776,777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4"/>
              </w:rPr>
              <w:t xml:space="preserve">CI (Allied) Investment Holdings, LLC (Allied America, Inc.) </w:t>
            </w:r>
            <w:r>
              <w:rPr>
                <w:rFonts w:ascii="Arial" w:cs="Arial" w:eastAsia="Arial" w:hAnsi="Arial"/>
                <w:sz w:val="9"/>
                <w:szCs w:val="9"/>
                <w:color w:val="auto"/>
                <w:w w:val="94"/>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CI (PTN) Investment Holdings II, LLC (PT Network, LLC) </w:t>
            </w:r>
            <w:r>
              <w:rPr>
                <w:rFonts w:ascii="Arial" w:cs="Arial" w:eastAsia="Arial" w:hAnsi="Arial"/>
                <w:sz w:val="9"/>
                <w:szCs w:val="9"/>
                <w:color w:val="auto"/>
                <w:w w:val="96"/>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7"/>
              </w:rPr>
              <w:t>CI (Summit) Investment Holdings LLC (SFP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Buildings and Real Estate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Cowboy Parent LLC (Blackhawk Industrial Distribution,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5"/>
              </w:rPr>
              <w:t>JWC-WE Holdings, L.P. (Walker Edison Furniture Company</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LLC)</w:t>
            </w:r>
          </w:p>
        </w:tc>
        <w:tc>
          <w:tcPr>
            <w:tcW w:w="10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Home and Office Furnishings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8"/>
              </w:rPr>
              <w:t>SSC Dominion Holdings, LLC Class A (US Dominion,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8"/>
              </w:rPr>
              <w:t>SSC Dominion Holdings, LLC Class B (US Dominion,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8"/>
              </w:rPr>
              <w:t>Wheel Pros Holdings, L.P. (Winter Park Intermediate,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9"/>
              </w:rPr>
              <w:t>Auto Sector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rPr>
                <w:sz w:val="20"/>
                <w:szCs w:val="20"/>
                <w:color w:val="auto"/>
              </w:rPr>
            </w:pPr>
            <w:r>
              <w:rPr>
                <w:rFonts w:ascii="Arial" w:cs="Arial" w:eastAsia="Arial" w:hAnsi="Arial"/>
                <w:sz w:val="12"/>
                <w:szCs w:val="12"/>
                <w:b w:val="1"/>
                <w:bCs w:val="1"/>
                <w:color w:val="auto"/>
                <w:w w:val="95"/>
              </w:rPr>
              <w:t xml:space="preserve">Investments in Non-Controlled, Affiliated Portfolio Companies—12.4% </w:t>
            </w:r>
            <w:r>
              <w:rPr>
                <w:rFonts w:ascii="Arial" w:cs="Arial" w:eastAsia="Arial" w:hAnsi="Arial"/>
                <w:sz w:val="9"/>
                <w:szCs w:val="9"/>
                <w:b w:val="1"/>
                <w:bCs w:val="1"/>
                <w:color w:val="auto"/>
                <w:w w:val="95"/>
              </w:rPr>
              <w:t>(1), (2)</w:t>
            </w: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1040" w:type="dxa"/>
            <w:vAlign w:val="bottom"/>
          </w:tcPr>
          <w:p>
            <w:pPr>
              <w:ind w:left="180"/>
              <w:spacing w:after="0" w:line="129" w:lineRule="exact"/>
              <w:rPr>
                <w:sz w:val="20"/>
                <w:szCs w:val="20"/>
                <w:color w:val="auto"/>
              </w:rPr>
            </w:pPr>
            <w:r>
              <w:rPr>
                <w:rFonts w:ascii="Arial" w:cs="Arial" w:eastAsia="Arial" w:hAnsi="Arial"/>
                <w:sz w:val="12"/>
                <w:szCs w:val="12"/>
                <w:color w:val="auto"/>
              </w:rPr>
              <w:t>02/02/2022</w:t>
            </w:r>
          </w:p>
        </w:tc>
        <w:tc>
          <w:tcPr>
            <w:tcW w:w="252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13.08%</w:t>
            </w:r>
          </w:p>
        </w:tc>
        <w:tc>
          <w:tcPr>
            <w:tcW w:w="8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1M L+1,100</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10,160,537</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(PIK 13.08%)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02/02/2022</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1040" w:type="dxa"/>
            <w:vAlign w:val="bottom"/>
          </w:tcPr>
          <w:p>
            <w:pPr>
              <w:ind w:left="180"/>
              <w:spacing w:after="0" w:line="135" w:lineRule="exact"/>
              <w:rPr>
                <w:sz w:val="20"/>
                <w:szCs w:val="20"/>
                <w:color w:val="auto"/>
              </w:rPr>
            </w:pPr>
            <w:r>
              <w:rPr>
                <w:rFonts w:ascii="Arial" w:cs="Arial" w:eastAsia="Arial" w:hAnsi="Arial"/>
                <w:sz w:val="12"/>
                <w:szCs w:val="12"/>
                <w:color w:val="auto"/>
              </w:rPr>
              <w:t>02/02/2022</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ind w:left="52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2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Current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gridSpan w:val="2"/>
            <w:vMerge w:val="continue"/>
          </w:tcPr>
          <w:p>
            <w:pPr>
              <w:spacing w:after="0"/>
              <w:rPr>
                <w:sz w:val="12"/>
                <w:szCs w:val="12"/>
                <w:color w:val="auto"/>
              </w:rPr>
            </w:pPr>
          </w:p>
        </w:tc>
        <w:tc>
          <w:tcPr>
            <w:tcW w:w="1120" w:type="dxa"/>
            <w:vAlign w:val="bottom"/>
          </w:tcPr>
          <w:p>
            <w:pPr>
              <w:jc w:val="right"/>
              <w:ind w:right="422"/>
              <w:spacing w:after="0"/>
              <w:rPr>
                <w:sz w:val="20"/>
                <w:szCs w:val="20"/>
                <w:color w:val="auto"/>
              </w:rPr>
            </w:pPr>
            <w:r>
              <w:rPr>
                <w:rFonts w:ascii="Arial" w:cs="Arial" w:eastAsia="Arial" w:hAnsi="Arial"/>
                <w:sz w:val="12"/>
                <w:szCs w:val="12"/>
                <w:b w:val="1"/>
                <w:bCs w:val="1"/>
                <w:color w:val="auto"/>
              </w:rPr>
              <w:t>Expiration</w:t>
            </w:r>
          </w:p>
        </w:tc>
        <w:tc>
          <w:tcPr>
            <w:tcW w:w="2640" w:type="dxa"/>
            <w:vAlign w:val="bottom"/>
            <w:gridSpan w:val="2"/>
            <w:vMerge w:val="continue"/>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6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Interests/Warrants—10.5% </w:t>
            </w:r>
            <w:r>
              <w:rPr>
                <w:rFonts w:ascii="Arial" w:cs="Arial" w:eastAsia="Arial" w:hAnsi="Arial"/>
                <w:sz w:val="9"/>
                <w:szCs w:val="9"/>
                <w:b w:val="1"/>
                <w:bCs w:val="1"/>
                <w:color w:val="auto"/>
              </w:rPr>
              <w:t>(6)</w:t>
            </w:r>
          </w:p>
        </w:tc>
        <w:tc>
          <w:tcPr>
            <w:tcW w:w="2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Affinion Group Holdings, Inc., Series C and Series D</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Environmental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143,668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1,658,389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1,754,104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w w:val="92"/>
              </w:rPr>
              <w:t>Total Common Equity/Partnership Interests/Warrants</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20" w:type="dxa"/>
            <w:vAlign w:val="bottom"/>
          </w:tcPr>
          <w:p>
            <w:pPr>
              <w:jc w:val="right"/>
              <w:ind w:right="362"/>
              <w:spacing w:after="0" w:line="135" w:lineRule="exact"/>
              <w:rPr>
                <w:sz w:val="20"/>
                <w:szCs w:val="20"/>
                <w:color w:val="auto"/>
              </w:rPr>
            </w:pPr>
            <w:r>
              <w:rPr>
                <w:rFonts w:ascii="Arial" w:cs="Arial" w:eastAsia="Arial" w:hAnsi="Arial"/>
                <w:sz w:val="12"/>
                <w:szCs w:val="12"/>
                <w:color w:val="auto"/>
              </w:rPr>
              <w:t>03/13/2024</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6.55%</w:t>
            </w:r>
          </w:p>
        </w:tc>
        <w:tc>
          <w:tcPr>
            <w:tcW w:w="620" w:type="dxa"/>
            <w:vAlign w:val="bottom"/>
          </w:tcPr>
          <w:p>
            <w:pPr>
              <w:ind w:left="120"/>
              <w:spacing w:after="0" w:line="135" w:lineRule="exact"/>
              <w:rPr>
                <w:sz w:val="20"/>
                <w:szCs w:val="20"/>
                <w:color w:val="auto"/>
              </w:rPr>
            </w:pPr>
            <w:r>
              <w:rPr>
                <w:rFonts w:ascii="Arial" w:cs="Arial" w:eastAsia="Arial" w:hAnsi="Arial"/>
                <w:sz w:val="12"/>
                <w:szCs w:val="12"/>
                <w:color w:val="auto"/>
                <w:w w:val="89"/>
              </w:rPr>
              <w:t>3M L+575</w:t>
            </w:r>
          </w:p>
        </w:tc>
        <w:tc>
          <w:tcPr>
            <w:tcW w:w="3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28,000,000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1120" w:type="dxa"/>
            <w:vAlign w:val="bottom"/>
            <w:shd w:val="clear" w:color="auto" w:fill="CCEEFF"/>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1120" w:type="dxa"/>
            <w:vAlign w:val="bottom"/>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120" w:type="dxa"/>
            <w:vAlign w:val="bottom"/>
            <w:shd w:val="clear" w:color="auto" w:fill="CCEEFF"/>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1120" w:type="dxa"/>
            <w:vAlign w:val="bottom"/>
          </w:tcPr>
          <w:p>
            <w:pPr>
              <w:jc w:val="right"/>
              <w:ind w:right="362"/>
              <w:spacing w:after="0" w:line="129" w:lineRule="exact"/>
              <w:rPr>
                <w:sz w:val="20"/>
                <w:szCs w:val="20"/>
                <w:color w:val="auto"/>
              </w:rPr>
            </w:pPr>
            <w:r>
              <w:rPr>
                <w:rFonts w:ascii="Arial" w:cs="Arial" w:eastAsia="Arial" w:hAnsi="Arial"/>
                <w:sz w:val="12"/>
                <w:szCs w:val="12"/>
                <w:color w:val="auto"/>
              </w:rPr>
              <w:t>12/31/2018</w:t>
            </w:r>
          </w:p>
        </w:tc>
        <w:tc>
          <w:tcPr>
            <w:tcW w:w="2640" w:type="dxa"/>
            <w:vAlign w:val="bottom"/>
            <w:gridSpan w:val="2"/>
          </w:tcPr>
          <w:p>
            <w:pPr>
              <w:jc w:val="center"/>
              <w:ind w:right="340"/>
              <w:spacing w:after="0" w:line="129"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7.84%</w:t>
            </w:r>
          </w:p>
        </w:tc>
        <w:tc>
          <w:tcPr>
            <w:tcW w:w="620" w:type="dxa"/>
            <w:vAlign w:val="bottom"/>
          </w:tcPr>
          <w:p>
            <w:pPr>
              <w:ind w:left="120"/>
              <w:spacing w:after="0" w:line="129" w:lineRule="exact"/>
              <w:rPr>
                <w:sz w:val="20"/>
                <w:szCs w:val="20"/>
                <w:color w:val="auto"/>
              </w:rPr>
            </w:pPr>
            <w:r>
              <w:rPr>
                <w:rFonts w:ascii="Arial" w:cs="Arial" w:eastAsia="Arial" w:hAnsi="Arial"/>
                <w:sz w:val="12"/>
                <w:szCs w:val="12"/>
                <w:color w:val="auto"/>
                <w:w w:val="89"/>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3"/>
              </w:rPr>
              <w:t>23,208,601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(PIK 7.84%)</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15.00%</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873,289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1,243,816,175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1,132,085,474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w w:val="99"/>
              </w:rPr>
              <w:t>Total Investments and Cash Equivalents—183.1%</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1"/>
              </w:rPr>
              <w:t>1,263,359,800</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1,151,591,628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100" w:hanging="316"/>
        <w:spacing w:after="0" w:line="256" w:lineRule="auto"/>
        <w:tabs>
          <w:tab w:leader="none" w:pos="5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520" w:hanging="316"/>
        <w:spacing w:after="0"/>
        <w:tabs>
          <w:tab w:leader="none" w:pos="5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520" w:hanging="316"/>
        <w:spacing w:after="0"/>
        <w:tabs>
          <w:tab w:leader="none" w:pos="520" w:val="left"/>
        </w:tabs>
        <w:numPr>
          <w:ilvl w:val="0"/>
          <w:numId w:val="9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520" w:hanging="316"/>
        <w:spacing w:after="0" w:line="234"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520" w:hanging="316"/>
        <w:spacing w:after="0" w:line="256" w:lineRule="auto"/>
        <w:tabs>
          <w:tab w:leader="none" w:pos="52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520" w:hanging="316"/>
        <w:spacing w:after="0" w:line="234"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240" w:top="460"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reflect the fair value of an investment, it may independently value such investments by using the valuation procedure that it uses with respect to assets for which market quotations are not readily available.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2019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months ended December 31, 2018 and 2017, we recorded a provision for taxes of $0.3 million ($0.1 million of excise tax and $0.2 million of U.S. federal and state income taxes related to the Taxable Subsidiaries) and zero, respectively.</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9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5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but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5, 2019,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6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5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a base management fee of $4.4 million and $4.8 million (after a waiver of $0.9 million), respectively, from us.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2.1875% in any calendar quarter. From December 31, 2015 through December 31, 2017, the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the Investment Adviser did not accrue an incentive fee on capital gains as calculated under GAAP.</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both the three months ended December 31, 2018 and 2017, we reimbursed the Investment Adviser approximately $0.3 million, including expenses the Investment Adviser incurred on behalf of the Administrator, for services described above.</w:t>
      </w:r>
    </w:p>
    <w:p>
      <w:pPr>
        <w:spacing w:after="0" w:line="178"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There were no transactions subject to Rule 17a-7 under the 1940 Act during both the three months ended December 31, 2018 and 2017. F-20</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Purchases of investments, including PIK interest, for the three months ended December 31, 2018 and 2017 totaled $196.4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$142.1 million, respectively. Sales and repayments of investments for the same periods totaled $125.8 million and $192.3 million, respectively.</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49"/>
        </w:trPr>
        <w:tc>
          <w:tcPr>
            <w:tcW w:w="38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580,205,266</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577,393,518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395,646,750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403,170,805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49,887,593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48,123,067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297,871,535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1,323,611,144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1,191,453,811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1,243,816,175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24,657,870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investments and cash and cash equivalents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1,348,269,014</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1,216,107,700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1,263,359,800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4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196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36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240" w:top="460" w:right="6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5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1"/>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25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Unobservable Input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8"/>
        </w:trPr>
        <w:tc>
          <w:tcPr>
            <w:tcW w:w="2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61"/>
              <w:spacing w:after="0" w:line="158" w:lineRule="exact"/>
              <w:rPr>
                <w:sz w:val="20"/>
                <w:szCs w:val="20"/>
                <w:color w:val="auto"/>
              </w:rPr>
            </w:pPr>
            <w:r>
              <w:rPr>
                <w:rFonts w:ascii="Arial" w:cs="Arial" w:eastAsia="Arial" w:hAnsi="Arial"/>
                <w:sz w:val="14"/>
                <w:szCs w:val="14"/>
                <w:b w:val="1"/>
                <w:bCs w:val="1"/>
                <w:color w:val="auto"/>
                <w:w w:val="96"/>
              </w:rPr>
              <w:t>December 31, 2018</w:t>
            </w:r>
          </w:p>
        </w:tc>
        <w:tc>
          <w:tcPr>
            <w:tcW w:w="14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1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0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7,120,000</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180,966,837</w:t>
            </w:r>
          </w:p>
        </w:tc>
        <w:tc>
          <w:tcPr>
            <w:tcW w:w="140" w:type="dxa"/>
            <w:vAlign w:val="bottom"/>
          </w:tcPr>
          <w:p>
            <w:pPr>
              <w:spacing w:after="0"/>
              <w:rPr>
                <w:sz w:val="17"/>
                <w:szCs w:val="17"/>
                <w:color w:val="auto"/>
              </w:rPr>
            </w:pPr>
          </w:p>
        </w:tc>
        <w:tc>
          <w:tcPr>
            <w:tcW w:w="2160" w:type="dxa"/>
            <w:vAlign w:val="bottom"/>
            <w:gridSpan w:val="2"/>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Broker/Dealer bids or quotes</w:t>
            </w:r>
          </w:p>
        </w:tc>
        <w:tc>
          <w:tcPr>
            <w:tcW w:w="158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570,273,518</w:t>
            </w:r>
          </w:p>
        </w:tc>
        <w:tc>
          <w:tcPr>
            <w:tcW w:w="1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7.5% – 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222,203,968</w:t>
            </w:r>
          </w:p>
        </w:tc>
        <w:tc>
          <w:tcPr>
            <w:tcW w:w="140" w:type="dxa"/>
            <w:vAlign w:val="bottom"/>
          </w:tcPr>
          <w:p>
            <w:pPr>
              <w:spacing w:after="0"/>
              <w:rPr>
                <w:sz w:val="16"/>
                <w:szCs w:val="16"/>
                <w:color w:val="auto"/>
              </w:rPr>
            </w:pPr>
          </w:p>
        </w:tc>
        <w:tc>
          <w:tcPr>
            <w:tcW w:w="2160" w:type="dxa"/>
            <w:vAlign w:val="bottom"/>
            <w:gridSpan w:val="2"/>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11.0% – 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12.0% – 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48,123,067</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161,713,242</w:t>
            </w:r>
          </w:p>
        </w:tc>
        <w:tc>
          <w:tcPr>
            <w:tcW w:w="140" w:type="dxa"/>
            <w:vAlign w:val="bottom"/>
          </w:tcPr>
          <w:p>
            <w:pPr>
              <w:spacing w:after="0"/>
              <w:rPr>
                <w:sz w:val="16"/>
                <w:szCs w:val="16"/>
                <w:color w:val="auto"/>
              </w:rPr>
            </w:pPr>
          </w:p>
        </w:tc>
        <w:tc>
          <w:tcPr>
            <w:tcW w:w="2160" w:type="dxa"/>
            <w:vAlign w:val="bottom"/>
            <w:gridSpan w:val="2"/>
          </w:tcPr>
          <w:p>
            <w:pPr>
              <w:ind w:left="240"/>
              <w:spacing w:after="0"/>
              <w:rPr>
                <w:sz w:val="20"/>
                <w:szCs w:val="20"/>
                <w:color w:val="auto"/>
              </w:rPr>
            </w:pPr>
            <w:r>
              <w:rPr>
                <w:rFonts w:ascii="Arial" w:cs="Arial" w:eastAsia="Arial" w:hAnsi="Arial"/>
                <w:sz w:val="16"/>
                <w:szCs w:val="16"/>
                <w:color w:val="auto"/>
              </w:rPr>
              <w:t>Enterprise Market Value</w:t>
            </w: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color w:val="auto"/>
              </w:rPr>
              <w:t>EBITDA multiple</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4"/>
              </w:rPr>
              <w:t>6.0x –13.0x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(9.0x)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Level 3 investments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1,190,400,632</w:t>
            </w: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3"/>
              </w:rPr>
              <w:t>5.6%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167,088,178</w:t>
            </w:r>
          </w:p>
        </w:tc>
        <w:tc>
          <w:tcPr>
            <w:tcW w:w="14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2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8"/>
        </w:trPr>
        <w:tc>
          <w:tcPr>
            <w:tcW w:w="27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101"/>
              <w:spacing w:after="0" w:line="158" w:lineRule="exact"/>
              <w:rPr>
                <w:sz w:val="20"/>
                <w:szCs w:val="20"/>
                <w:color w:val="auto"/>
              </w:rPr>
            </w:pPr>
            <w:r>
              <w:rPr>
                <w:rFonts w:ascii="Arial" w:cs="Arial" w:eastAsia="Arial" w:hAnsi="Arial"/>
                <w:sz w:val="14"/>
                <w:szCs w:val="14"/>
                <w:b w:val="1"/>
                <w:bCs w:val="1"/>
                <w:color w:val="auto"/>
                <w:w w:val="93"/>
              </w:rPr>
              <w:t>September 30, 2018</w:t>
            </w:r>
          </w:p>
        </w:tc>
        <w:tc>
          <w:tcPr>
            <w:tcW w:w="26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Second lien</w:t>
            </w:r>
          </w:p>
        </w:tc>
        <w:tc>
          <w:tcPr>
            <w:tcW w:w="1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26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Market Comparable</w:t>
            </w:r>
          </w:p>
        </w:tc>
        <w:tc>
          <w:tcPr>
            <w:tcW w:w="26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1"/>
              </w:rPr>
              <w:t>Broker/Dealer bids or quotes</w:t>
            </w:r>
          </w:p>
        </w:tc>
        <w:tc>
          <w:tcPr>
            <w:tcW w:w="2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531,422,088</w:t>
            </w:r>
          </w:p>
        </w:tc>
        <w:tc>
          <w:tcPr>
            <w:tcW w:w="260" w:type="dxa"/>
            <w:vAlign w:val="bottom"/>
          </w:tcPr>
          <w:p>
            <w:pPr>
              <w:spacing w:after="0"/>
              <w:rPr>
                <w:sz w:val="16"/>
                <w:szCs w:val="16"/>
                <w:color w:val="auto"/>
              </w:rPr>
            </w:pPr>
          </w:p>
        </w:tc>
        <w:tc>
          <w:tcPr>
            <w:tcW w:w="2160" w:type="dxa"/>
            <w:vAlign w:val="bottom"/>
            <w:gridSpan w:val="2"/>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226,303,579</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48,127,586</w:t>
            </w:r>
          </w:p>
        </w:tc>
        <w:tc>
          <w:tcPr>
            <w:tcW w:w="260" w:type="dxa"/>
            <w:vAlign w:val="bottom"/>
          </w:tcPr>
          <w:p>
            <w:pPr>
              <w:spacing w:after="0"/>
              <w:rPr>
                <w:sz w:val="17"/>
                <w:szCs w:val="17"/>
                <w:color w:val="auto"/>
              </w:rPr>
            </w:pPr>
          </w:p>
        </w:tc>
        <w:tc>
          <w:tcPr>
            <w:tcW w:w="2160" w:type="dxa"/>
            <w:vAlign w:val="bottom"/>
            <w:gridSpan w:val="2"/>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160,656,044</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Enterprise Market Value</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EBITDA multiple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tcPr>
          <w:p>
            <w:pPr>
              <w:ind w:left="300"/>
              <w:spacing w:after="0"/>
              <w:rPr>
                <w:sz w:val="20"/>
                <w:szCs w:val="20"/>
                <w:color w:val="auto"/>
              </w:rPr>
            </w:pPr>
            <w:r>
              <w:rPr>
                <w:rFonts w:ascii="Arial" w:cs="Arial" w:eastAsia="Arial" w:hAnsi="Arial"/>
                <w:sz w:val="16"/>
                <w:szCs w:val="16"/>
                <w:color w:val="auto"/>
              </w:rPr>
              <w:t>Total Level 3 investments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1,131,243,747</w:t>
            </w: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Fair Value at December 31, 2018</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1,053,179</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161,713,242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1,191,453,811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24,653,889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24,653,889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1,216,107,700</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25,707,068</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249,430,000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416,518,178</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249,430,000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225"/>
              <w:spacing w:after="0"/>
              <w:rPr>
                <w:sz w:val="20"/>
                <w:szCs w:val="20"/>
                <w:color w:val="auto"/>
              </w:rPr>
            </w:pPr>
            <w:r>
              <w:rPr>
                <w:rFonts w:ascii="Arial" w:cs="Arial" w:eastAsia="Arial" w:hAnsi="Arial"/>
                <w:sz w:val="18"/>
                <w:szCs w:val="18"/>
                <w:color w:val="auto"/>
              </w:rPr>
              <w:t>F-25</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160,656,044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1,131,243,747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805,044</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7,672,845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8,477,889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3,054,099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(22,878,354)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(19,824,255)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175,080,250</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21,214,018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196,294,268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(120,839,706)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(4,951,311)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(125,791,017)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1,028,687,390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161,713,242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1,190,400,632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reported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within the net change in unrealized depreciation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 reporting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3,476,349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(14,245,662)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(10,769,313)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166,268,568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1,961,209</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1,810,786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3,771,995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(2,980,993)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133,670,716</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8,708,434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142,379,150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(190,492,232)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(192,303,018)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927,709,023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171,996,009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1,099,705,032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change in unrealized (depreciation) appreciation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reporting 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(1,441,348)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(2,980,993)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(4,422,341)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vMerge w:val="restart"/>
          </w:tcPr>
          <w:p>
            <w:pPr>
              <w:ind w:left="3740"/>
              <w:spacing w:after="0"/>
              <w:rPr>
                <w:sz w:val="20"/>
                <w:szCs w:val="20"/>
                <w:color w:val="auto"/>
              </w:rPr>
            </w:pPr>
            <w:r>
              <w:rPr>
                <w:rFonts w:ascii="Arial" w:cs="Arial" w:eastAsia="Arial" w:hAnsi="Arial"/>
                <w:sz w:val="18"/>
                <w:szCs w:val="18"/>
                <w:color w:val="auto"/>
              </w:rPr>
              <w:t>F-26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29"/>
        </w:trPr>
        <w:tc>
          <w:tcPr>
            <w:tcW w:w="5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25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Beginning Balance (cost – $80,520,000 and $79,392,900,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77,645,830</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$ 76,037,341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Net change in unrealized (depreciation) appreciation included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(4,173,652)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540,734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217,000,000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(123,384,000)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167,088,178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$ 76,578,075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167,088,178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$ 76,578,075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December 31,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Amount Borrowed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 Value</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40,136,000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36,934,197</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9"/>
              </w:rPr>
              <w:t>March 15, 2019</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(3,201,803)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 Borrowed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9"/>
              </w:rPr>
              <w:t>Borrowing 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 Value</w:t>
            </w:r>
          </w:p>
        </w:tc>
        <w:tc>
          <w:tcPr>
            <w:tcW w:w="1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December 14, 2018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liabilities, including the SBA debentures. For the three months ended December 31, 2018 and 2017, our Credit Facility and the 2019 Notes had a net change in unrealized depreciation of $6.1 million and $1.1 million, respectively. As of December 31, 2018 and September 30, 2018, the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Purchases of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Sale of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Net Change in</w:t>
            </w:r>
          </w:p>
        </w:tc>
        <w:tc>
          <w:tcPr>
            <w:tcW w:w="16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Fair Value at</w:t>
            </w:r>
          </w:p>
        </w:tc>
        <w:tc>
          <w:tcPr>
            <w:tcW w:w="16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2"/>
                <w:szCs w:val="12"/>
                <w:color w:val="auto"/>
              </w:rPr>
            </w:pPr>
          </w:p>
        </w:tc>
        <w:tc>
          <w:tcPr>
            <w:tcW w:w="9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8"/>
        </w:trPr>
        <w:tc>
          <w:tcPr>
            <w:tcW w:w="31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22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 xml:space="preserve">Affiliates </w:t>
            </w:r>
            <w:r>
              <w:rPr>
                <w:rFonts w:ascii="Arial" w:cs="Arial" w:eastAsia="Arial" w:hAnsi="Arial"/>
                <w:sz w:val="12"/>
                <w:szCs w:val="12"/>
                <w:b w:val="1"/>
                <w:bCs w:val="1"/>
                <w:color w:val="auto"/>
                <w:w w:val="90"/>
              </w:rPr>
              <w:t>(1), (2)</w:t>
            </w:r>
          </w:p>
        </w:tc>
        <w:tc>
          <w:tcPr>
            <w:tcW w:w="160" w:type="dxa"/>
            <w:vAlign w:val="bottom"/>
          </w:tcPr>
          <w:p>
            <w:pPr>
              <w:spacing w:after="0"/>
              <w:rPr>
                <w:sz w:val="13"/>
                <w:szCs w:val="13"/>
                <w:color w:val="auto"/>
              </w:rPr>
            </w:pP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 xml:space="preserve">from Affiliates </w:t>
            </w:r>
            <w:r>
              <w:rPr>
                <w:rFonts w:ascii="Arial" w:cs="Arial" w:eastAsia="Arial" w:hAnsi="Arial"/>
                <w:sz w:val="12"/>
                <w:szCs w:val="12"/>
                <w:b w:val="1"/>
                <w:bCs w:val="1"/>
                <w:color w:val="auto"/>
                <w:w w:val="95"/>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8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5"/>
              </w:rPr>
              <w:t>(Depreciation)</w:t>
            </w:r>
          </w:p>
        </w:tc>
        <w:tc>
          <w:tcPr>
            <w:tcW w:w="160" w:type="dxa"/>
            <w:vAlign w:val="bottom"/>
          </w:tcPr>
          <w:p>
            <w:pPr>
              <w:spacing w:after="0"/>
              <w:rPr>
                <w:sz w:val="13"/>
                <w:szCs w:val="13"/>
                <w:color w:val="auto"/>
              </w:rPr>
            </w:pPr>
          </w:p>
        </w:tc>
        <w:tc>
          <w:tcPr>
            <w:tcW w:w="90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16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AKW Holdings Limited</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580,572</w:t>
            </w:r>
          </w:p>
        </w:tc>
        <w:tc>
          <w:tcPr>
            <w:tcW w:w="3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2,466,795</w:t>
            </w: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42,968,073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MidOcean JF Holdings Corp. (JF Acquisition, LLC)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12,099,647</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(3,017,406)</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9,082,240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9,415,040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93,330,000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17,220,000</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16,707,877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(16,168,548)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(10,457,361)</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(1,346,115)</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16,820,807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Big Run, Inc.</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397,025</w:t>
            </w:r>
          </w:p>
        </w:tc>
        <w:tc>
          <w:tcPr>
            <w:tcW w:w="2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(447,844)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277,918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LLC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34,801,373</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2,326,900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(4,891,461)</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32,236,812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225,253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213,730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(5,910,108)</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4,859,930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226,814,216</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24,260,030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(27,868,880)</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2,007,333</w:t>
            </w:r>
          </w:p>
        </w:tc>
        <w:tc>
          <w:tcPr>
            <w:tcW w:w="3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(13,462,698)</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201,937,932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4,632,831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640" w:hanging="436"/>
        <w:spacing w:after="0" w:line="221" w:lineRule="auto"/>
        <w:tabs>
          <w:tab w:leader="none" w:pos="6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Includes PIK.</w:t>
      </w:r>
    </w:p>
    <w:p>
      <w:pPr>
        <w:ind w:left="640" w:hanging="436"/>
        <w:spacing w:after="0"/>
        <w:tabs>
          <w:tab w:leader="none" w:pos="6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12,295,397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68,908,920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71,060,836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7060" w:type="dxa"/>
            <w:vAlign w:val="bottom"/>
          </w:tcPr>
          <w:p>
            <w:pPr>
              <w:ind w:left="5320"/>
              <w:spacing w:after="0"/>
              <w:rPr>
                <w:sz w:val="20"/>
                <w:szCs w:val="20"/>
                <w:color w:val="auto"/>
              </w:rPr>
            </w:pPr>
            <w:r>
              <w:rPr>
                <w:rFonts w:ascii="Arial" w:cs="Arial" w:eastAsia="Arial" w:hAnsi="Arial"/>
                <w:sz w:val="18"/>
                <w:szCs w:val="18"/>
                <w:color w:val="auto"/>
              </w:rPr>
              <w:t>F-28</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$24.7 million and $19.5 million at fair value, respectively.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9.11</w:t>
            </w:r>
          </w:p>
        </w:tc>
        <w:tc>
          <w:tcPr>
            <w:tcW w:w="440" w:type="dxa"/>
            <w:vAlign w:val="bottom"/>
          </w:tcPr>
          <w:p>
            <w:pPr>
              <w:spacing w:after="0"/>
              <w:rPr>
                <w:sz w:val="18"/>
                <w:szCs w:val="18"/>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loss </w:t>
            </w:r>
            <w:r>
              <w:rPr>
                <w:rFonts w:ascii="Arial" w:cs="Arial" w:eastAsia="Arial" w:hAnsi="Arial"/>
                <w:sz w:val="15"/>
                <w:szCs w:val="15"/>
                <w:color w:val="auto"/>
              </w:rPr>
              <w:t>(1)</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68,027,537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71,060,836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Ratios**/ Supplemental Data:</w:t>
            </w: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Ratio of operating expenses to average net assets </w:t>
            </w:r>
            <w:r>
              <w:rPr>
                <w:rFonts w:ascii="Arial" w:cs="Arial" w:eastAsia="Arial" w:hAnsi="Arial"/>
                <w:sz w:val="15"/>
                <w:szCs w:val="15"/>
                <w:color w:val="auto"/>
                <w:w w:val="99"/>
              </w:rPr>
              <w:t>(4), (5), (6)</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Ratio of interest and expenses on debt to average net assets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 (6)</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(6)</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615,941,105</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646,312,918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15"/>
                <w:szCs w:val="15"/>
                <w:color w:val="auto"/>
              </w:rPr>
              <w:t>(7)</w:t>
            </w:r>
          </w:p>
        </w:tc>
        <w:tc>
          <w:tcPr>
            <w:tcW w:w="29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532,965,659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541,820,206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 (7)</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(8)</w:t>
            </w:r>
          </w:p>
        </w:tc>
        <w:tc>
          <w:tcPr>
            <w:tcW w:w="3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2,479</w:t>
            </w:r>
          </w:p>
        </w:tc>
        <w:tc>
          <w:tcPr>
            <w:tcW w:w="440" w:type="dxa"/>
            <w:vAlign w:val="bottom"/>
          </w:tcPr>
          <w:p>
            <w:pPr>
              <w:spacing w:after="0"/>
              <w:rPr>
                <w:sz w:val="18"/>
                <w:szCs w:val="18"/>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120" w:type="dxa"/>
            <w:vAlign w:val="bottom"/>
            <w:gridSpan w:val="2"/>
          </w:tcPr>
          <w:p>
            <w:pPr>
              <w:jc w:val="right"/>
              <w:ind w:right="2165"/>
              <w:spacing w:after="0"/>
              <w:rPr>
                <w:sz w:val="20"/>
                <w:szCs w:val="20"/>
                <w:color w:val="auto"/>
              </w:rPr>
            </w:pPr>
            <w:r>
              <w:rPr>
                <w:rFonts w:ascii="Arial" w:cs="Arial" w:eastAsia="Arial" w:hAnsi="Arial"/>
                <w:sz w:val="18"/>
                <w:szCs w:val="18"/>
                <w:color w:val="auto"/>
              </w:rPr>
              <w:t>F-29</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7632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ind w:left="20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ind w:left="64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640" w:right="2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640" w:hanging="436"/>
        <w:spacing w:after="0"/>
        <w:tabs>
          <w:tab w:leader="none" w:pos="640" w:val="left"/>
        </w:tabs>
        <w:numPr>
          <w:ilvl w:val="0"/>
          <w:numId w:val="99"/>
        </w:numPr>
        <w:rPr>
          <w:rFonts w:ascii="Arial" w:cs="Arial" w:eastAsia="Arial" w:hAnsi="Arial"/>
          <w:sz w:val="11"/>
          <w:szCs w:val="11"/>
          <w:color w:val="auto"/>
        </w:rPr>
      </w:pPr>
      <w:r>
        <w:rPr>
          <w:rFonts w:ascii="Arial" w:cs="Arial" w:eastAsia="Arial" w:hAnsi="Arial"/>
          <w:sz w:val="13"/>
          <w:szCs w:val="13"/>
          <w:color w:val="auto"/>
        </w:rPr>
        <w:t>Based on the change in market price per share during the periods and takes into account distributions, if any, reinvested in accordance with our dividend reinvestment plan.</w:t>
      </w:r>
    </w:p>
    <w:p>
      <w:pPr>
        <w:ind w:left="64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640" w:right="18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For the three months ended December 31, 2017, the ratio of operating expenses to average net assets before the waiver of certain Management Fees to average net assets was 6.20% and the ratio of total expenses before the waiver of certain Management Fees to average net assets was 9.81%.</w:t>
      </w:r>
    </w:p>
    <w:p>
      <w:pPr>
        <w:ind w:left="64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ind w:left="640" w:hanging="436"/>
        <w:spacing w:after="0" w:line="221"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640" w:right="120" w:hanging="436"/>
        <w:spacing w:after="0" w:line="255" w:lineRule="auto"/>
        <w:tabs>
          <w:tab w:leader="none" w:pos="640" w:val="left"/>
        </w:tabs>
        <w:numPr>
          <w:ilvl w:val="0"/>
          <w:numId w:val="9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2018, we had a $445 million multi-currency Credit Facility with certain lenders and SunTrust Bank, acting as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agent, and JPMorgan Chase Bank, N.A., acting as syndication agent for the lenders. As of December 31, 2018 and September 30, 2018, we had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$174.1 million and $80.5 million (including a $2.0 million temporary draw), respectively, in outstanding borrowings under the Credit Facility.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Credit Facility had a weighted average interest rate of 4.39% and 3.79%, respectively, exclusive of the fee on undrawn commitments of 0.375%,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and September 30, 2018. The Credit Facility is a five-year revolving facility with a stated maturity date of May 25, 2022, a one-year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term-out period following its fourth year and pricing set at 225 basis points over LIBOR. The Credit Facility is secured by substantially all of our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excluding assets held by our SBIC Funds.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was $4.2 million and $4.6 million, respectively. The SBA debentures’ upfront fees of 3.43% consist of a commitment fee of 1.00% and an issuance discount of 2.43%, which are being amortized.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32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 xml:space="preserve">Coupon Rate </w:t>
            </w:r>
            <w:r>
              <w:rPr>
                <w:rFonts w:ascii="Arial" w:cs="Arial" w:eastAsia="Arial" w:hAnsi="Arial"/>
                <w:sz w:val="12"/>
                <w:szCs w:val="12"/>
                <w:b w:val="1"/>
                <w:bCs w:val="1"/>
                <w:color w:val="auto"/>
                <w:w w:val="94"/>
              </w:rPr>
              <w:t>(1)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March 1, 2026</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March 1, 2028</w:t>
            </w: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3.11%</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320" w:type="dxa"/>
            <w:vAlign w:val="bottom"/>
          </w:tcPr>
          <w:p>
            <w:pPr>
              <w:spacing w:after="0"/>
              <w:rPr>
                <w:sz w:val="19"/>
                <w:szCs w:val="19"/>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 xml:space="preserve">Coupon Rate </w:t>
            </w:r>
            <w:r>
              <w:rPr>
                <w:rFonts w:ascii="Arial" w:cs="Arial" w:eastAsia="Arial" w:hAnsi="Arial"/>
                <w:sz w:val="12"/>
                <w:szCs w:val="12"/>
                <w:b w:val="1"/>
                <w:bCs w:val="1"/>
                <w:color w:val="auto"/>
                <w:w w:val="94"/>
              </w:rPr>
              <w:t>(1)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September 1, 2021</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March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2028</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3.15%</w:t>
            </w:r>
          </w:p>
        </w:tc>
        <w:tc>
          <w:tcPr>
            <w:tcW w:w="320" w:type="dxa"/>
            <w:vAlign w:val="bottom"/>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December 31, 2018 and September 30, 2018,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440"/>
        <w:spacing w:after="0" w:line="261" w:lineRule="auto"/>
        <w:rPr>
          <w:sz w:val="20"/>
          <w:szCs w:val="20"/>
          <w:color w:val="auto"/>
        </w:rPr>
      </w:pPr>
      <w:r>
        <w:rPr>
          <w:rFonts w:ascii="Arial" w:cs="Arial" w:eastAsia="Arial" w:hAnsi="Arial"/>
          <w:sz w:val="18"/>
          <w:szCs w:val="18"/>
          <w:color w:val="auto"/>
        </w:rPr>
        <w:t>2019 Notes. Upon the delivery of a notice of redemption, the 2019 Notes will be prepaid at 100% of the principal amount, plus accrued and unpaid interest through the prepayment date, as well as a make-whole premium.</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2018 and September 30, 2018, we had $41.0 million and $60.6 million, respectively, in commitments to fund investments. For the same periods, there were no letters of credit issued.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UNCONSOLIDATED SIGNIFICANT SUBSIDIARIES</w:t>
      </w:r>
    </w:p>
    <w:p>
      <w:pPr>
        <w:spacing w:after="0" w:line="12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December 31, 2018, Superior Digital Displays, LLC triggered at least one of the significance tests by 20%. As a result and in accordance with</w:t>
      </w:r>
    </w:p>
    <w:p>
      <w:pPr>
        <w:ind w:left="200" w:right="60"/>
        <w:spacing w:after="0" w:line="261" w:lineRule="auto"/>
        <w:rPr>
          <w:sz w:val="20"/>
          <w:szCs w:val="20"/>
          <w:color w:val="auto"/>
        </w:rPr>
      </w:pPr>
      <w:r>
        <w:rPr>
          <w:rFonts w:ascii="Arial" w:cs="Arial" w:eastAsia="Arial" w:hAnsi="Arial"/>
          <w:sz w:val="18"/>
          <w:szCs w:val="18"/>
          <w:color w:val="auto"/>
        </w:rPr>
        <w:t>Rule 4-08(g) of Regulation S-K, presented below is summarized unaudited financial information for Superior Digital Displays, LLC as of December 31, 2018 and September 30, 2018 as well as for the three months ended December 31, 2018 and 2017.</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740" w:type="dxa"/>
            <w:vAlign w:val="bottom"/>
            <w:gridSpan w:val="6"/>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5500" w:type="dxa"/>
            <w:vAlign w:val="bottom"/>
            <w:gridSpan w:val="4"/>
          </w:tcPr>
          <w:p>
            <w:pPr>
              <w:ind w:left="360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c>
          <w:tcPr>
            <w:tcW w:w="1800" w:type="dxa"/>
            <w:vAlign w:val="bottom"/>
            <w:gridSpan w:val="4"/>
          </w:tcPr>
          <w:p>
            <w:pPr>
              <w:ind w:left="480"/>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Current assets</w:t>
            </w:r>
          </w:p>
        </w:tc>
        <w:tc>
          <w:tcPr>
            <w:tcW w:w="2680" w:type="dxa"/>
            <w:vAlign w:val="bottom"/>
            <w:tcBorders>
              <w:top w:val="single" w:sz="8" w:color="CCEEFF"/>
            </w:tcBorders>
            <w:gridSpan w:val="3"/>
            <w:shd w:val="clear" w:color="auto" w:fill="CCEEFF"/>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739.5</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Noncurrent assets</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5,923.5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Noncurrent liabilities</w:t>
            </w: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7,225.0</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9"/>
        </w:trPr>
        <w:tc>
          <w:tcPr>
            <w:tcW w:w="3740" w:type="dxa"/>
            <w:vAlign w:val="bottom"/>
            <w:gridSpan w:val="6"/>
            <w:vMerge w:val="continue"/>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44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367.7</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Total expenses</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(1,887.6)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2520" w:type="dxa"/>
            <w:vAlign w:val="bottom"/>
            <w:gridSpan w:val="2"/>
          </w:tcPr>
          <w:p>
            <w:pPr>
              <w:spacing w:after="0"/>
              <w:rPr>
                <w:sz w:val="11"/>
                <w:szCs w:val="11"/>
                <w:color w:val="auto"/>
              </w:rPr>
            </w:pPr>
          </w:p>
        </w:tc>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00" w:type="dxa"/>
            <w:vAlign w:val="bottom"/>
            <w:gridSpan w:val="2"/>
          </w:tcPr>
          <w:p>
            <w:pPr>
              <w:spacing w:after="0"/>
              <w:rPr>
                <w:sz w:val="20"/>
                <w:szCs w:val="20"/>
                <w:color w:val="auto"/>
              </w:rPr>
            </w:pPr>
            <w:r>
              <w:rPr>
                <w:rFonts w:ascii="Arial" w:cs="Arial" w:eastAsia="Arial" w:hAnsi="Arial"/>
                <w:sz w:val="12"/>
                <w:szCs w:val="12"/>
                <w:color w:val="auto"/>
              </w:rPr>
              <w:t>(1)</w:t>
            </w:r>
          </w:p>
        </w:tc>
        <w:tc>
          <w:tcPr>
            <w:tcW w:w="3440" w:type="dxa"/>
            <w:vAlign w:val="bottom"/>
            <w:gridSpan w:val="4"/>
          </w:tcPr>
          <w:p>
            <w:pPr>
              <w:ind w:left="140"/>
              <w:spacing w:after="0"/>
              <w:rPr>
                <w:sz w:val="20"/>
                <w:szCs w:val="20"/>
                <w:color w:val="auto"/>
              </w:rPr>
            </w:pPr>
            <w:r>
              <w:rPr>
                <w:rFonts w:ascii="Arial" w:cs="Arial" w:eastAsia="Arial" w:hAnsi="Arial"/>
                <w:sz w:val="14"/>
                <w:szCs w:val="14"/>
                <w:color w:val="auto"/>
              </w:rPr>
              <w:t>All amounts are in thousands.</w:t>
            </w: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0" w:type="dxa"/>
            <w:vAlign w:val="bottom"/>
            <w:gridSpan w:val="2"/>
          </w:tcPr>
          <w:p>
            <w:pPr>
              <w:spacing w:after="0"/>
              <w:rPr>
                <w:sz w:val="20"/>
                <w:szCs w:val="20"/>
                <w:color w:val="auto"/>
              </w:rPr>
            </w:pPr>
            <w:r>
              <w:rPr>
                <w:rFonts w:ascii="Arial" w:cs="Arial" w:eastAsia="Arial" w:hAnsi="Arial"/>
                <w:sz w:val="12"/>
                <w:szCs w:val="12"/>
                <w:color w:val="auto"/>
              </w:rPr>
              <w:t>(2)</w:t>
            </w:r>
          </w:p>
        </w:tc>
        <w:tc>
          <w:tcPr>
            <w:tcW w:w="3440" w:type="dxa"/>
            <w:vAlign w:val="bottom"/>
            <w:gridSpan w:val="4"/>
          </w:tcPr>
          <w:p>
            <w:pPr>
              <w:ind w:left="140"/>
              <w:spacing w:after="0"/>
              <w:rPr>
                <w:sz w:val="20"/>
                <w:szCs w:val="20"/>
                <w:color w:val="auto"/>
              </w:rPr>
            </w:pPr>
            <w:r>
              <w:rPr>
                <w:rFonts w:ascii="Arial" w:cs="Arial" w:eastAsia="Arial" w:hAnsi="Arial"/>
                <w:sz w:val="14"/>
                <w:szCs w:val="14"/>
                <w:color w:val="auto"/>
              </w:rPr>
              <w:t>Unaudited.</w:t>
            </w:r>
          </w:p>
        </w:tc>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60" w:type="dxa"/>
            <w:vAlign w:val="bottom"/>
            <w:gridSpan w:val="2"/>
          </w:tcPr>
          <w:p>
            <w:pPr>
              <w:ind w:left="1600"/>
              <w:spacing w:after="0"/>
              <w:rPr>
                <w:sz w:val="20"/>
                <w:szCs w:val="20"/>
                <w:color w:val="auto"/>
              </w:rPr>
            </w:pPr>
            <w:r>
              <w:rPr>
                <w:rFonts w:ascii="Arial" w:cs="Arial" w:eastAsia="Arial" w:hAnsi="Arial"/>
                <w:sz w:val="18"/>
                <w:szCs w:val="18"/>
                <w:color w:val="auto"/>
              </w:rPr>
              <w:t>F-32</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REPURCHASE PROGRAM</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2018,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PennantPark Investment’s independent registered public accounting firm has issued an audit report on the effectiveness of our internal control over financial reporting as of September 30, 2018. This report appears on page F-36.</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66"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and our report dated November 15, 2018, expressed an unqualified opinion on the effectiveness of the Company’s internal control over financial reporting.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We have audited PennantPark Investment Corporation and its Subsidiaries’ (collectively referred to as the “Company”)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15, 2018 expressed an unqualified opinion.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240" w:top="460" w:right="5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00"/>
          </w:cols>
          <w:pgMar w:left="240" w:top="460" w:right="7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Non-controlled, non-affiliated investments (cost—$896,720,950 and $824,106,322, respectively)</w:t>
            </w: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849,351,548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(cost—$91,520,908 and $185,799,943, respectively)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78,078,331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189,674,977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(cost—$255,574,317 and $200,120,407, respectively)</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114,550,983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Total of investments (cost—$1,243,816,175 and $1,210,026,672, respectively)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1,132,085,474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7"/>
              </w:rPr>
              <w:t>1,153,577,508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(cost—$19,543,625 and $38,182,373,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7,606,964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5,906,976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1,160,118,827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1,202,195,841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12,429,712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12,790,950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Credit Facility payable (cost—$80,520,000 and $79,392,900, respectively) (See Notes 5 and 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76,037,341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w w:val="96"/>
              </w:rPr>
              <w:t>SBA debentures payable, net (par—$180,000,000 and $199,000,000, respectively) (See Notes 5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194,364,653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2,964,265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2,270,008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Common stock, 69,053,958 and 71,060,836 shares issued and outstanding, respectively.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818,737,784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6,003,360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3,333,195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(70,687,629)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(111,763,780)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(56,425,773)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646,808,471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1,160,118,827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1,202,195,841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83,255,593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84,685,961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103,659,182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5,645,535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3,819,996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7,079,034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10,945,240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10,339,444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12,374,621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2,031,589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5,475,491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2,850,498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10,790,300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12,750,302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108,278,048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124,534,324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142,070,827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17,468,376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24,218,029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24,852,898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11,492,928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11,077,956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16,018,790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22,818,492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26,642,113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27,601,242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2,504,853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Expenses before Management Fees waiver, provision for taxes and Credit Facility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amendment costs</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56,371,149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68,176,738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75,645,520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(1,427,253)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(5,647,358)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(6,539,475)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3,866,633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54,943,896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68,096,013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71,456,045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53,334,152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56,438,311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70,614,782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realized gain (loss) on investments 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34,813,876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(76,780,707)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11,042,330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(33,594,078)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45,856,206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(31,027,037)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(80,530,707)</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(16,751,386)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16,950,900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48,052,466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(38,586,621)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26,904,281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(23,126,408)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(7,554,954)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(depreciation) appreciation on investments and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(51,476,896)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36,300,227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28,652,631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gain from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(5,620,690)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(51,878,076)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47,713,462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61,711,501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18,736,706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53,334,152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56,438,311</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70,614,782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(31,027,037)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(80,530,707)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(55,338,007)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43,855,181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24,926,058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debt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(7,554,954)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47,713,462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61,711,501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18,736,706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(50,609,467)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(58,269,886)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(58,068,894)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(21,711,007)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(50,609,467)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(58,269,886)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(79,779,901)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(15,010,571)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(12,180,491)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net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(17,906,576)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3,441,615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(73,223,686)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646,808,471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643,366,856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716,590,542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628,901,895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646,808,471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643,366,856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net investment income, at end of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6,003,360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3,333,195</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of common stock repurchased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(2,006,878)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47,713,462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61,711,501</w:t>
            </w:r>
          </w:p>
        </w:tc>
        <w:tc>
          <w:tcPr>
            <w:tcW w:w="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18,736,706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operations to net cash provided by operating activities:</w:t>
            </w: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w w:val="96"/>
              </w:rPr>
              <w:t>Net change in net unrealized depreciation (appreciation) on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55,338,007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(43,855,181)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(24,926,058)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appreciation on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(3,861,111)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7,554,954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Net realized (gain) loss on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(45,856,206)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31,027,037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80,530,707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(2,285,720)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(2,514,784)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(604,740,676)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(508,261,736)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(330,552,035)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(11,404,966)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(21,200,913)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(15,123,817)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630,502,386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543,975,791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439,738,846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(Increase) decrease in interest receivable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(1,699,988)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1,125,882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prepaid expenses and other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3,589,054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increase in payable for investments purchased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(1,014,000)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(643,357)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 base management fee payable,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(758,406)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(229,593)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performance-based incentive fee payable,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increase in accrued other expenses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(705,253)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900,545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(1,699,487)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66,940,803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69,248,647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157,706,863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(15,010,571)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(12,180,491)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(50,970,704)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(65,375,968)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(80,313,359)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SBA debentures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Repayments under SBA debentures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(90,000,000)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2025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(71,250,000)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Capitalized borrowing costs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(1,721,750)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(1,513,875)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(1,151,875)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Credit Facility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235,520,000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363,760,000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413,664,923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Repayments under Credit Facility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(234,392,900)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(334,706,800)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(500,189,523)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(85,575,925)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(107,586,643)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(132,670,325)</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(18,635,122)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(38,337,996)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25,036,538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931,951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75,608,113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49,619,256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75,608,113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21,388,530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26,151,475</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31,942,605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93,152,647</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62,949,729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1"/>
              </w:rPr>
              <w:t>Basis Point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Industry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vMerge w:val="continue"/>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0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2"/>
              </w:rPr>
              <w:t xml:space="preserve">Investments in Non-Controlled, Non-Affiliated Portfolio Companies—144.0% </w:t>
            </w:r>
            <w:r>
              <w:rPr>
                <w:rFonts w:ascii="Arial" w:cs="Arial" w:eastAsia="Arial" w:hAnsi="Arial"/>
                <w:sz w:val="9"/>
                <w:szCs w:val="9"/>
                <w:b w:val="1"/>
                <w:bCs w:val="1"/>
                <w:color w:val="auto"/>
                <w:w w:val="92"/>
              </w:rPr>
              <w:t>(1), (2)</w:t>
            </w:r>
          </w:p>
        </w:tc>
        <w:tc>
          <w:tcPr>
            <w:tcW w:w="2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9.39%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21,435,548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02/01/2024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02/13/2023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12/02/2022</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31,676,768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12/23/2021</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32,813,941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11/05/2018</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03/03/2022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10/31/2023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7.74%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10/31/2022</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06/09/2023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22,457,923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12,491,009</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12/22/2021</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11.61%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14,350,500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02/19/2021</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14,243,249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8.49%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22,218,750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12.50%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8.57%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8.36%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8.36%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8.59%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20,925,313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12/28/2020</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L+1,325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23,718,379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9.14%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29,925,000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08/13/2021</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09/26/2024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Home and Office Furnishings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8.88%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10/18/2022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11.25%</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19,305,000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04/25/2025</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11.09%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03/31/2025</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07/06/2026</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04/03/2024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Other 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01/02/2023</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11.17%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03/01/2019</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(PIK 11.00%)</w:t>
            </w: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10/23/2024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48,425,000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01/02/2024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10.60%</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12/17/2021</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Hotels, Motels, Inns and Gaming</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14.39%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L+1,200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10/10/2025</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19,300,700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10/10/2025</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04/12/2023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12.34%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L+1,000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41,666,667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11/28/2025</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10.84%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37,000,000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08/24/2026</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04/03/2026</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Auto Sector</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32,000,000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385,201,277</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Basis Point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Expiration</w:t>
            </w:r>
          </w:p>
        </w:tc>
        <w:tc>
          <w:tcPr>
            <w:tcW w:w="2580" w:type="dxa"/>
            <w:vAlign w:val="bottom"/>
            <w:gridSpan w:val="2"/>
            <w:vMerge w:val="continue"/>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03/17/2025</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29"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12.00%</w:t>
            </w: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13,500,000</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13,230,411</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(PIK 2.00%)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08/20/2021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15.00%</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35,792,396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5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8"/>
              </w:rPr>
              <w:t>(PIK 13.00%)</w:t>
            </w: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48,617,113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48,127,586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Education</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Broadcasting and Entertainment</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w w:val="96"/>
              </w:rPr>
              <w:t>Cardinal Logistics Holdings LLC (Intermediate Transportation 100,</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ind w:left="100"/>
              <w:spacing w:after="0"/>
              <w:rPr>
                <w:sz w:val="20"/>
                <w:szCs w:val="20"/>
                <w:color w:val="auto"/>
              </w:rPr>
            </w:pPr>
            <w:r>
              <w:rPr>
                <w:rFonts w:ascii="Arial" w:cs="Arial" w:eastAsia="Arial" w:hAnsi="Arial"/>
                <w:sz w:val="12"/>
                <w:szCs w:val="12"/>
                <w:color w:val="auto"/>
              </w:rPr>
              <w:t xml:space="preserve">LLC) </w:t>
            </w:r>
            <w:r>
              <w:rPr>
                <w:rFonts w:ascii="Arial" w:cs="Arial" w:eastAsia="Arial" w:hAnsi="Arial"/>
                <w:sz w:val="9"/>
                <w:szCs w:val="9"/>
                <w:color w:val="auto"/>
              </w:rPr>
              <w:t>(9)</w:t>
            </w:r>
          </w:p>
        </w:tc>
        <w:tc>
          <w:tcPr>
            <w:tcW w:w="8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Cargo Transport</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2,776,777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JWC-WE Holdings, L.P. (Walker Edison Furniture Company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Home and Office Furnishings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Auto Sector</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4"/>
          </w:tcPr>
          <w:p>
            <w:pPr>
              <w:spacing w:after="0"/>
              <w:rPr>
                <w:sz w:val="20"/>
                <w:szCs w:val="20"/>
                <w:color w:val="auto"/>
              </w:rPr>
            </w:pPr>
            <w:r>
              <w:rPr>
                <w:rFonts w:ascii="Arial" w:cs="Arial" w:eastAsia="Arial" w:hAnsi="Arial"/>
                <w:sz w:val="12"/>
                <w:szCs w:val="12"/>
                <w:b w:val="1"/>
                <w:bCs w:val="1"/>
                <w:color w:val="auto"/>
                <w:w w:val="98"/>
              </w:rPr>
              <w:t xml:space="preserve">Investments in Non-Controlled, Affiliated Portfolio Companies—12.4% </w:t>
            </w:r>
            <w:r>
              <w:rPr>
                <w:rFonts w:ascii="Arial" w:cs="Arial" w:eastAsia="Arial" w:hAnsi="Arial"/>
                <w:sz w:val="9"/>
                <w:szCs w:val="9"/>
                <w:b w:val="1"/>
                <w:bCs w:val="1"/>
                <w:color w:val="auto"/>
                <w:w w:val="98"/>
              </w:rPr>
              <w:t>(1), (2)</w:t>
            </w: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29"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13.08%</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1M L+1,100</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10,160,537</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13.08%)</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8.08%</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2"/>
                <w:szCs w:val="12"/>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ind w:left="52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00" w:type="dxa"/>
            <w:vAlign w:val="bottom"/>
            <w:gridSpan w:val="2"/>
            <w:vMerge w:val="continue"/>
          </w:tcPr>
          <w:p>
            <w:pPr>
              <w:spacing w:after="0"/>
              <w:rPr>
                <w:sz w:val="12"/>
                <w:szCs w:val="12"/>
                <w:color w:val="auto"/>
              </w:rPr>
            </w:pPr>
          </w:p>
        </w:tc>
        <w:tc>
          <w:tcPr>
            <w:tcW w:w="900" w:type="dxa"/>
            <w:vAlign w:val="bottom"/>
          </w:tcPr>
          <w:p>
            <w:pPr>
              <w:jc w:val="right"/>
              <w:ind w:right="262"/>
              <w:spacing w:after="0"/>
              <w:rPr>
                <w:sz w:val="20"/>
                <w:szCs w:val="20"/>
                <w:color w:val="auto"/>
              </w:rPr>
            </w:pPr>
            <w:r>
              <w:rPr>
                <w:rFonts w:ascii="Arial" w:cs="Arial" w:eastAsia="Arial" w:hAnsi="Arial"/>
                <w:sz w:val="12"/>
                <w:szCs w:val="12"/>
                <w:b w:val="1"/>
                <w:bCs w:val="1"/>
                <w:color w:val="auto"/>
                <w:w w:val="95"/>
              </w:rPr>
              <w:t>Expiration</w:t>
            </w:r>
          </w:p>
        </w:tc>
        <w:tc>
          <w:tcPr>
            <w:tcW w:w="2520" w:type="dxa"/>
            <w:vAlign w:val="bottom"/>
            <w:gridSpan w:val="2"/>
            <w:vMerge w:val="continue"/>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6"/>
              </w:rPr>
              <w:t>Coupon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5"/>
              </w:rPr>
              <w:t xml:space="preserve">Common Equity/Partnership Interests/Warrants—10.5% </w:t>
            </w:r>
            <w:r>
              <w:rPr>
                <w:rFonts w:ascii="Arial" w:cs="Arial" w:eastAsia="Arial" w:hAnsi="Arial"/>
                <w:sz w:val="9"/>
                <w:szCs w:val="9"/>
                <w:b w:val="1"/>
                <w:bCs w:val="1"/>
                <w:color w:val="auto"/>
                <w:w w:val="95"/>
              </w:rPr>
              <w:t>(6)</w:t>
            </w:r>
          </w:p>
        </w:tc>
        <w:tc>
          <w:tcPr>
            <w:tcW w:w="900" w:type="dxa"/>
            <w:vAlign w:val="bottom"/>
            <w:tcBorders>
              <w:top w:val="single" w:sz="8" w:color="auto"/>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143,668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1,658,389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1,754,104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tcPr>
          <w:p>
            <w:pPr>
              <w:jc w:val="right"/>
              <w:ind w:right="222"/>
              <w:spacing w:after="0" w:line="135" w:lineRule="exact"/>
              <w:rPr>
                <w:sz w:val="20"/>
                <w:szCs w:val="20"/>
                <w:color w:val="auto"/>
              </w:rPr>
            </w:pPr>
            <w:r>
              <w:rPr>
                <w:rFonts w:ascii="Arial" w:cs="Arial" w:eastAsia="Arial" w:hAnsi="Arial"/>
                <w:sz w:val="12"/>
                <w:szCs w:val="12"/>
                <w:color w:val="auto"/>
                <w:w w:val="99"/>
              </w:rPr>
              <w:t>03/13/2024</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6.55%</w:t>
            </w:r>
          </w:p>
        </w:tc>
        <w:tc>
          <w:tcPr>
            <w:tcW w:w="640" w:type="dxa"/>
            <w:vAlign w:val="bottom"/>
          </w:tcPr>
          <w:p>
            <w:pPr>
              <w:ind w:left="120"/>
              <w:spacing w:after="0" w:line="135" w:lineRule="exact"/>
              <w:rPr>
                <w:sz w:val="20"/>
                <w:szCs w:val="20"/>
                <w:color w:val="auto"/>
              </w:rPr>
            </w:pPr>
            <w:r>
              <w:rPr>
                <w:rFonts w:ascii="Arial" w:cs="Arial" w:eastAsia="Arial" w:hAnsi="Arial"/>
                <w:sz w:val="12"/>
                <w:szCs w:val="12"/>
                <w:color w:val="auto"/>
                <w:w w:val="93"/>
              </w:rPr>
              <w:t>3M L+575</w:t>
            </w:r>
          </w:p>
        </w:tc>
        <w:tc>
          <w:tcPr>
            <w:tcW w:w="2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28,000,000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90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35,000,000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900" w:type="dxa"/>
            <w:vAlign w:val="bottom"/>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10,000,000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0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00" w:type="dxa"/>
            <w:vAlign w:val="bottom"/>
          </w:tcPr>
          <w:p>
            <w:pPr>
              <w:jc w:val="right"/>
              <w:ind w:right="222"/>
              <w:spacing w:after="0" w:line="129" w:lineRule="exact"/>
              <w:rPr>
                <w:sz w:val="20"/>
                <w:szCs w:val="20"/>
                <w:color w:val="auto"/>
              </w:rPr>
            </w:pPr>
            <w:r>
              <w:rPr>
                <w:rFonts w:ascii="Arial" w:cs="Arial" w:eastAsia="Arial" w:hAnsi="Arial"/>
                <w:sz w:val="12"/>
                <w:szCs w:val="12"/>
                <w:color w:val="auto"/>
                <w:w w:val="99"/>
              </w:rPr>
              <w:t>12/31/2018</w:t>
            </w:r>
          </w:p>
        </w:tc>
        <w:tc>
          <w:tcPr>
            <w:tcW w:w="2520" w:type="dxa"/>
            <w:vAlign w:val="bottom"/>
            <w:gridSpan w:val="2"/>
          </w:tcPr>
          <w:p>
            <w:pPr>
              <w:jc w:val="center"/>
              <w:ind w:right="260"/>
              <w:spacing w:after="0" w:line="129"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7.84%</w:t>
            </w:r>
          </w:p>
        </w:tc>
        <w:tc>
          <w:tcPr>
            <w:tcW w:w="640" w:type="dxa"/>
            <w:vAlign w:val="bottom"/>
          </w:tcPr>
          <w:p>
            <w:pPr>
              <w:ind w:left="120"/>
              <w:spacing w:after="0" w:line="129" w:lineRule="exact"/>
              <w:rPr>
                <w:sz w:val="20"/>
                <w:szCs w:val="20"/>
                <w:color w:val="auto"/>
              </w:rPr>
            </w:pPr>
            <w:r>
              <w:rPr>
                <w:rFonts w:ascii="Arial" w:cs="Arial" w:eastAsia="Arial" w:hAnsi="Arial"/>
                <w:sz w:val="12"/>
                <w:szCs w:val="12"/>
                <w:color w:val="auto"/>
                <w:w w:val="93"/>
              </w:rPr>
              <w:t>3M L+550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23,208,601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7.84%)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15.00%</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873,289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65,933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w w:val="88"/>
              </w:rPr>
              <w:t>Total Investments in Controlled, Affiliated Portfolio Companies</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1,243,816,175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1,132,085,474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w w:val="91"/>
              </w:rPr>
              <w:t>1,263,359,800</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w w:val="98"/>
              </w:rPr>
              <w:t>1,151,591,628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40" w:hanging="316"/>
        <w:spacing w:after="0" w:line="256" w:lineRule="auto"/>
        <w:tabs>
          <w:tab w:leader="none" w:pos="52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ind w:left="520" w:hanging="316"/>
        <w:spacing w:after="0"/>
        <w:tabs>
          <w:tab w:leader="none" w:pos="52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520" w:hanging="316"/>
        <w:spacing w:after="0"/>
        <w:tabs>
          <w:tab w:leader="none" w:pos="52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520" w:hanging="316"/>
        <w:spacing w:after="0" w:line="234"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or in Euros (€) as denoted.</w:t>
      </w:r>
    </w:p>
    <w:p>
      <w:pPr>
        <w:ind w:left="520" w:hanging="316"/>
        <w:spacing w:after="0" w:line="256" w:lineRule="auto"/>
        <w:tabs>
          <w:tab w:leader="none" w:pos="52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520" w:hanging="316"/>
        <w:spacing w:after="0" w:line="234"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240" w:top="459"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Maturity /</w:t>
            </w:r>
          </w:p>
        </w:tc>
        <w:tc>
          <w:tcPr>
            <w:tcW w:w="2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00" w:type="dxa"/>
            <w:vAlign w:val="bottom"/>
            <w:gridSpan w:val="2"/>
            <w:vMerge w:val="continue"/>
          </w:tcPr>
          <w:p>
            <w:pPr>
              <w:spacing w:after="0"/>
              <w:rPr>
                <w:sz w:val="12"/>
                <w:szCs w:val="12"/>
                <w:color w:val="auto"/>
              </w:rPr>
            </w:pP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Expiration</w:t>
            </w:r>
          </w:p>
        </w:tc>
        <w:tc>
          <w:tcPr>
            <w:tcW w:w="260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4"/>
          </w:tcPr>
          <w:p>
            <w:pPr>
              <w:ind w:left="14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5"/>
              </w:rPr>
              <w:t xml:space="preserve">Investments in Non-Controlled, Non-Affiliated Portfolio Companies—131.3% </w:t>
            </w:r>
            <w:r>
              <w:rPr>
                <w:rFonts w:ascii="Arial" w:cs="Arial" w:eastAsia="Arial" w:hAnsi="Arial"/>
                <w:sz w:val="9"/>
                <w:szCs w:val="9"/>
                <w:b w:val="1"/>
                <w:bCs w:val="1"/>
                <w:color w:val="auto"/>
                <w:w w:val="95"/>
              </w:rPr>
              <w:t>(1), (2)</w:t>
            </w:r>
          </w:p>
        </w:tc>
        <w:tc>
          <w:tcPr>
            <w:tcW w:w="2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Debt—52.8%</w:t>
            </w: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 of Tamarac,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06/20/2022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7,481,250</w:t>
            </w: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7,362,571</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7,331,625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Allied America,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8.32%</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19,557,525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19,551,000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02/13/2023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19,850,000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19,573,919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19,773,923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06/03/2021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7.08%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8,398,102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8,279,029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8,398,102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06/03/2021</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8,723,735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8,593,867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12/23/2021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23,538,688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22,997,008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23,538,687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Cano Health, LLC (Revolver)</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09/21/2018</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09/21/2018</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9,814,043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19,605,736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06/09/2023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9.30%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22,443,750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22,010,693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22,219,312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Home Town Cable TV,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06/20/2022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9,806,795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06/30/2020</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9.25%</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24,470,390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24,323,542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24,470,390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12/22/2021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14,083,875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13,836,409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14,083,875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02/19/2021</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14,522,529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14,290,133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14,111,098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16,250,000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15,953,520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16,250,000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12/16/2019</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Mining, Steel, Iron and Non-Precious Metals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14,250,000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14,184,265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14,820,000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7.57%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17,500,000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17,155,691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5,000,000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06/28/2019</w:t>
            </w:r>
          </w:p>
        </w:tc>
        <w:tc>
          <w:tcPr>
            <w:tcW w:w="260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88"/>
              </w:rPr>
              <w:t>Hotels, Motels, Inns and Gaming</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L+1,050</w:t>
            </w:r>
          </w:p>
        </w:tc>
        <w:tc>
          <w:tcPr>
            <w:tcW w:w="140" w:type="dxa"/>
            <w:vAlign w:val="bottom"/>
            <w:gridSpan w:val="2"/>
          </w:tcPr>
          <w:p>
            <w:pPr>
              <w:ind w:left="6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30,150,294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31,228,529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35,821,926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3.50%)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12/28/2020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12.49%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L+1,125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24,797,823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24,446,831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24,673,834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02/12/2020</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10.83%</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(7)</w:t>
            </w:r>
          </w:p>
        </w:tc>
        <w:tc>
          <w:tcPr>
            <w:tcW w:w="140" w:type="dxa"/>
            <w:vAlign w:val="bottom"/>
            <w:gridSpan w:val="2"/>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16,890,936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27,246,877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22,817,525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08/13/2021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8,564,063</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8,564,063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8,135,859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339,371,046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341,489,005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Debt—60.3%</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Acre Operating Company,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12/12/2023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Electronics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38,800,000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38,164,636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39,576,000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03/04/2022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13.75%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28,500,000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28,288,480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DecoPac,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03/31/2025</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Beverage, Food and Tobacco</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35,500,000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34,790,399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6"/>
              </w:rPr>
              <w:t>Distribution</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42,937,500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41,491,290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41,220,000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5.18%)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Infogroup,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04/03/2024</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Other Media</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20,400,000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20,011,940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19,992,000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03/01/2019</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Cargo Transport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334,401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11.00%)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Lighthouse Network, LLC (f/k/a Harbortouch Payments,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10/11/2024</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33,900,000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33,633,877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10/22/2021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Printing and Publishing</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11.80%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26,425,000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26,004,601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26,689,250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12/17/2021</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Hotels, Motels, Inns and Gaming</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76,500,000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83,295,634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Pre-Paid Legal Services,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07/01/2020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62,750,000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62,291,419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62,985,313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Veritext Corp.</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01/30/2023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18,834,375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18,351,647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18,646,031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379,862,690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390,026,431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08/20/2021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Environmental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32,675,553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32,158,389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31,940,353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10/26/2020</w:t>
            </w:r>
          </w:p>
        </w:tc>
        <w:tc>
          <w:tcPr>
            <w:tcW w:w="260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11,151,903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10,939,903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11,151,903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0.75%)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02/19/2018</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20.50%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L+1,600</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9,112,485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13,280,807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12,225,783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12.00%)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Sonny’s Enterprises,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06/01/2023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13,300,000</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13,055,456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13,300,000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69,434,555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68,618,039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w:t>
            </w:r>
          </w:p>
        </w:tc>
        <w:tc>
          <w:tcPr>
            <w:tcW w:w="8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327,380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86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949,050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Expiration</w:t>
            </w:r>
          </w:p>
        </w:tc>
        <w:tc>
          <w:tcPr>
            <w:tcW w:w="2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24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100" w:type="dxa"/>
            <w:vAlign w:val="bottom"/>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8.00%</w:t>
            </w:r>
          </w:p>
        </w:tc>
        <w:tc>
          <w:tcPr>
            <w:tcW w:w="8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2,375</w:t>
            </w:r>
          </w:p>
        </w:tc>
        <w:tc>
          <w:tcPr>
            <w:tcW w:w="2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1"/>
              </w:rPr>
              <w:t>$   2,088,121</w:t>
            </w:r>
          </w:p>
        </w:tc>
        <w:tc>
          <w:tcPr>
            <w:tcW w:w="140" w:type="dxa"/>
            <w:vAlign w:val="bottom"/>
            <w:vMerge w:val="continue"/>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w w:val="91"/>
              </w:rPr>
              <w:t>$   2,552,034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HW Holdco,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24,971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Roto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1,197,000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1,537,236</w:t>
            </w: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4,734,171</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5,586,012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Interests/Warrants—6.7%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AH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Alegeus Technologies Holdings Corp.</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1,752,663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Broadcasting and Entertainment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w w:val="98"/>
              </w:rPr>
              <w:t xml:space="preserve">Cardinal Logistics Holdings LLC </w:t>
            </w:r>
            <w:r>
              <w:rPr>
                <w:rFonts w:ascii="Arial" w:cs="Arial" w:eastAsia="Arial" w:hAnsi="Arial"/>
                <w:sz w:val="9"/>
                <w:szCs w:val="9"/>
                <w:color w:val="auto"/>
                <w:w w:val="98"/>
              </w:rPr>
              <w:t>(10)</w:t>
            </w:r>
            <w:r>
              <w:rPr>
                <w:rFonts w:ascii="Arial" w:cs="Arial" w:eastAsia="Arial" w:hAnsi="Arial"/>
                <w:sz w:val="12"/>
                <w:szCs w:val="12"/>
                <w:color w:val="auto"/>
                <w:w w:val="98"/>
              </w:rPr>
              <w:t xml:space="preserve"> (Intermediate Transportation 100,</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80" w:type="dxa"/>
            <w:vAlign w:val="bottom"/>
            <w:gridSpan w:val="2"/>
          </w:tcPr>
          <w:p>
            <w:pPr>
              <w:ind w:left="100"/>
              <w:spacing w:after="0"/>
              <w:rPr>
                <w:sz w:val="20"/>
                <w:szCs w:val="20"/>
                <w:color w:val="auto"/>
              </w:rPr>
            </w:pPr>
            <w:r>
              <w:rPr>
                <w:rFonts w:ascii="Arial" w:cs="Arial" w:eastAsia="Arial" w:hAnsi="Arial"/>
                <w:sz w:val="12"/>
                <w:szCs w:val="12"/>
                <w:color w:val="auto"/>
              </w:rPr>
              <w:t>LLC)</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46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(14)</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3,688,211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24,382</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2,518,909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2,438,193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1,745,639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3,928,695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Buildings and Real Estate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Convergint Technologies Holdings,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4,612,054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3,448,658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767,569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HW Holdco,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2,700,680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1,934,243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2,197,752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844,247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803,665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MidOcean PPL Holdings, Corp.</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00" w:type="dxa"/>
            <w:vAlign w:val="bottom"/>
            <w:gridSpan w:val="3"/>
          </w:tcPr>
          <w:p>
            <w:pPr>
              <w:spacing w:after="0"/>
              <w:rPr>
                <w:sz w:val="20"/>
                <w:szCs w:val="20"/>
                <w:color w:val="auto"/>
              </w:rPr>
            </w:pPr>
            <w:r>
              <w:rPr>
                <w:rFonts w:ascii="Arial" w:cs="Arial" w:eastAsia="Arial" w:hAnsi="Arial"/>
                <w:sz w:val="12"/>
                <w:szCs w:val="12"/>
                <w:color w:val="auto"/>
              </w:rPr>
              <w:t>(Pre-Paid Legal Services, Inc.)</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46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3,000,000</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9,786,996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3"/>
              </w:rPr>
              <w:t>Insurance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100,885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238,038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136,195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Roto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133,000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2,036,830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754,264</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754,264</w:t>
            </w: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30,703,860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43,632,061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8"/>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824,106,322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849,351,548</w:t>
            </w:r>
          </w:p>
        </w:tc>
        <w:tc>
          <w:tcPr>
            <w:tcW w:w="0" w:type="dxa"/>
            <w:vAlign w:val="bottom"/>
          </w:tcPr>
          <w:p>
            <w:pPr>
              <w:spacing w:after="0"/>
              <w:rPr>
                <w:sz w:val="1"/>
                <w:szCs w:val="1"/>
                <w:color w:val="auto"/>
              </w:rPr>
            </w:pPr>
          </w:p>
        </w:tc>
      </w:tr>
      <w:tr>
        <w:trPr>
          <w:trHeight w:val="142"/>
        </w:trPr>
        <w:tc>
          <w:tcPr>
            <w:tcW w:w="4420" w:type="dxa"/>
            <w:vAlign w:val="bottom"/>
            <w:gridSpan w:val="5"/>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Companies—29.3% </w:t>
            </w:r>
            <w:r>
              <w:rPr>
                <w:rFonts w:ascii="Arial" w:cs="Arial" w:eastAsia="Arial" w:hAnsi="Arial"/>
                <w:sz w:val="9"/>
                <w:szCs w:val="9"/>
                <w:b w:val="1"/>
                <w:bCs w:val="1"/>
                <w:color w:val="auto"/>
              </w:rPr>
              <w:t>(1), (2)</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3,257,511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3,168,502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3,583,262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(PIK 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12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11/25/2020</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10.99%</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22,593,352</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22,280,645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22,480,385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11/25/2020</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1,942,623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TRAK Acquisition Corp.</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04/30/2018</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21,202,411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21,136,798</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21,202,411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TRAK Acquisition Corp. (Revolver)</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04/30/2018</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U.S. Well Services, LLC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1"/>
                <w:szCs w:val="11"/>
                <w:color w:val="auto"/>
              </w:rPr>
            </w:pP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12.24%</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L+1,100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9,644,284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9,566,510</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9,644,284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2"/>
                <w:szCs w:val="12"/>
                <w:color w:val="auto"/>
              </w:rPr>
              <w:t>(PIK 12.24%)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7.24%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1,478,151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2"/>
                <w:szCs w:val="12"/>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714,270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62,630,606</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63,388,493</w:t>
            </w: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Debt—1.5%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EnviroSolutions Real Property Holdings, Inc. - Tranche A</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12/23/2019</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4,856,640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4,834,021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4,856,640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EnviroSolutions Real Property Holdings, Inc. - Tranche B</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9.34%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w w:val="86"/>
              </w:rPr>
              <w:t>08/03/2020</w:t>
            </w:r>
          </w:p>
        </w:tc>
        <w:tc>
          <w:tcPr>
            <w:tcW w:w="14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color w:val="auto"/>
                <w:w w:val="88"/>
              </w:rPr>
              <w:t>Environmental Services</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(PIK 9.34%)</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L+800</w:t>
            </w:r>
          </w:p>
        </w:tc>
        <w:tc>
          <w:tcPr>
            <w:tcW w:w="560" w:type="dxa"/>
            <w:vAlign w:val="bottom"/>
          </w:tcPr>
          <w:p>
            <w:pPr>
              <w:jc w:val="right"/>
              <w:spacing w:after="0"/>
              <w:rPr>
                <w:sz w:val="20"/>
                <w:szCs w:val="20"/>
                <w:color w:val="auto"/>
              </w:rPr>
            </w:pPr>
            <w:r>
              <w:rPr>
                <w:rFonts w:ascii="Arial" w:cs="Arial" w:eastAsia="Arial" w:hAnsi="Arial"/>
                <w:sz w:val="12"/>
                <w:szCs w:val="12"/>
                <w:color w:val="auto"/>
              </w:rPr>
              <w:t>4,661,312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4,639,603</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4,661,312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9,473,624</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9,517,952</w:t>
            </w: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10,603,464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w w:val="98"/>
              </w:rPr>
              <w:t>(PIK 17.00%)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05/03/2021</w:t>
            </w:r>
          </w:p>
        </w:tc>
        <w:tc>
          <w:tcPr>
            <w:tcW w:w="140" w:type="dxa"/>
            <w:vAlign w:val="bottom"/>
          </w:tcPr>
          <w:p>
            <w:pPr>
              <w:spacing w:after="0"/>
              <w:rPr>
                <w:sz w:val="11"/>
                <w:szCs w:val="11"/>
                <w:color w:val="auto"/>
              </w:rPr>
            </w:pP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12.50%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28,611,214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37,434,384</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41,486,260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color w:val="auto"/>
                <w:w w:val="98"/>
              </w:rPr>
              <w:t>(PIK 12.50%)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47,162,332</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52,089,724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jc w:val="center"/>
              <w:ind w:right="302"/>
              <w:spacing w:after="0" w:line="135" w:lineRule="exact"/>
              <w:rPr>
                <w:sz w:val="20"/>
                <w:szCs w:val="20"/>
                <w:color w:val="auto"/>
              </w:rPr>
            </w:pPr>
            <w:r>
              <w:rPr>
                <w:rFonts w:ascii="Arial" w:cs="Arial" w:eastAsia="Arial" w:hAnsi="Arial"/>
                <w:sz w:val="12"/>
                <w:szCs w:val="12"/>
                <w:b w:val="1"/>
                <w:bCs w:val="1"/>
                <w:color w:val="auto"/>
                <w:w w:val="93"/>
              </w:rPr>
              <w:t>Maturity /</w:t>
            </w:r>
          </w:p>
        </w:tc>
        <w:tc>
          <w:tcPr>
            <w:tcW w:w="24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Above</w:t>
            </w:r>
          </w:p>
        </w:tc>
        <w:tc>
          <w:tcPr>
            <w:tcW w:w="62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940" w:type="dxa"/>
            <w:vAlign w:val="bottom"/>
          </w:tcPr>
          <w:p>
            <w:pPr>
              <w:jc w:val="center"/>
              <w:ind w:right="302"/>
              <w:spacing w:after="0"/>
              <w:rPr>
                <w:sz w:val="20"/>
                <w:szCs w:val="20"/>
                <w:color w:val="auto"/>
              </w:rPr>
            </w:pPr>
            <w:r>
              <w:rPr>
                <w:rFonts w:ascii="Arial" w:cs="Arial" w:eastAsia="Arial" w:hAnsi="Arial"/>
                <w:sz w:val="12"/>
                <w:szCs w:val="12"/>
                <w:b w:val="1"/>
                <w:bCs w:val="1"/>
                <w:color w:val="auto"/>
                <w:w w:val="91"/>
              </w:rPr>
              <w:t>Expiration</w:t>
            </w:r>
          </w:p>
        </w:tc>
        <w:tc>
          <w:tcPr>
            <w:tcW w:w="2440" w:type="dxa"/>
            <w:vAlign w:val="bottom"/>
            <w:gridSpan w:val="2"/>
            <w:vMerge w:val="continue"/>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2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Interests/Warrants—10.0% </w:t>
            </w:r>
            <w:r>
              <w:rPr>
                <w:rFonts w:ascii="Arial" w:cs="Arial" w:eastAsia="Arial" w:hAnsi="Arial"/>
                <w:sz w:val="9"/>
                <w:szCs w:val="9"/>
                <w:b w:val="1"/>
                <w:bCs w:val="1"/>
                <w:color w:val="auto"/>
              </w:rPr>
              <w:t>(6)</w:t>
            </w:r>
          </w:p>
        </w:tc>
        <w:tc>
          <w:tcPr>
            <w:tcW w:w="940" w:type="dxa"/>
            <w:vAlign w:val="bottom"/>
            <w:tcBorders>
              <w:top w:val="single" w:sz="8" w:color="auto"/>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19,648,795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55,344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American Gilsonite Company</w:t>
            </w:r>
          </w:p>
        </w:tc>
        <w:tc>
          <w:tcPr>
            <w:tcW w:w="940" w:type="dxa"/>
            <w:vAlign w:val="bottom"/>
          </w:tcPr>
          <w:p>
            <w:pPr>
              <w:spacing w:after="0"/>
              <w:rPr>
                <w:sz w:val="11"/>
                <w:szCs w:val="11"/>
                <w:color w:val="auto"/>
              </w:rPr>
            </w:pPr>
          </w:p>
        </w:tc>
        <w:tc>
          <w:tcPr>
            <w:tcW w:w="2440" w:type="dxa"/>
            <w:vAlign w:val="bottom"/>
            <w:gridSpan w:val="2"/>
          </w:tcPr>
          <w:p>
            <w:pPr>
              <w:jc w:val="center"/>
              <w:ind w:right="320"/>
              <w:spacing w:after="0" w:line="129" w:lineRule="exact"/>
              <w:rPr>
                <w:sz w:val="20"/>
                <w:szCs w:val="20"/>
                <w:color w:val="auto"/>
              </w:rPr>
            </w:pPr>
            <w:r>
              <w:rPr>
                <w:rFonts w:ascii="Arial" w:cs="Arial" w:eastAsia="Arial" w:hAnsi="Arial"/>
                <w:sz w:val="12"/>
                <w:szCs w:val="12"/>
                <w:color w:val="auto"/>
                <w:w w:val="88"/>
              </w:rPr>
              <w:t>Diversified Natural Resources,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Precious Metals and Minerals</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1,125,000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1,609,091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11,250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EnviroSolutions Holdings, Inc.</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Environmental Services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143,668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11,960,702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15,718,184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113,610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147,249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TRAK Acquisition Corp.</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5"/>
              </w:rPr>
              <w:t>Business Services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491,755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188,837</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USWS Holdings, LLC—Class A and Class B</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10,108,949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66,533,381</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64,678,808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7"/>
              </w:rPr>
              <w:t>Total Investments in Non-Controlled,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185,799,943</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189,674,977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Debt—9.5%</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4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07/01/2022</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(PIK 4.00%)</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40" w:type="dxa"/>
            <w:vAlign w:val="bottom"/>
          </w:tcPr>
          <w:p>
            <w:pPr>
              <w:ind w:left="60"/>
              <w:spacing w:after="0" w:line="129" w:lineRule="exact"/>
              <w:rPr>
                <w:sz w:val="20"/>
                <w:szCs w:val="20"/>
                <w:color w:val="auto"/>
              </w:rPr>
            </w:pPr>
            <w:r>
              <w:rPr>
                <w:rFonts w:ascii="Arial" w:cs="Arial" w:eastAsia="Arial" w:hAnsi="Arial"/>
                <w:sz w:val="12"/>
                <w:szCs w:val="12"/>
                <w:color w:val="auto"/>
              </w:rPr>
              <w:t>12/31/2018</w:t>
            </w:r>
          </w:p>
        </w:tc>
        <w:tc>
          <w:tcPr>
            <w:tcW w:w="244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1"/>
              </w:rPr>
              <w:t>Media</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10.30%</w:t>
            </w:r>
          </w:p>
        </w:tc>
        <w:tc>
          <w:tcPr>
            <w:tcW w:w="74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L+900</w:t>
            </w: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w w:val="96"/>
              </w:rPr>
              <w:t>29,386,130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28,233,485</w:t>
            </w: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w w:val="98"/>
              </w:rPr>
              <w:t>(PIK 10.30%)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63,233,485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61,198,854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14,318,325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15.00%</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516,204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19,331,027</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33,649,352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828,349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940" w:type="dxa"/>
            <w:vAlign w:val="bottom"/>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20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4"/>
              </w:rPr>
              <w:t>Total Investments in 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200,120,407</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114,550,983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Investments—178.4%</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1,210,026,672</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1,153,577,508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Equivalents—5.9%</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17,691,633</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17,711,328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Equivalents—184.3%</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1,248,209,045</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1,191,779,576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(544,971,105)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646,808,471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640" w:right="140" w:hanging="436"/>
        <w:spacing w:after="0" w:line="243"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18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640" w:right="26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640" w:hanging="436"/>
        <w:spacing w:after="0"/>
        <w:tabs>
          <w:tab w:leader="none" w:pos="6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64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640" w:hanging="436"/>
        <w:spacing w:after="0"/>
        <w:tabs>
          <w:tab w:leader="none" w:pos="6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640" w:hanging="43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5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5"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7" w:lineRule="exact"/>
        <w:rPr>
          <w:rFonts w:ascii="Arial" w:cs="Arial" w:eastAsia="Arial" w:hAnsi="Arial"/>
          <w:sz w:val="12"/>
          <w:szCs w:val="12"/>
          <w:color w:val="auto"/>
        </w:rPr>
      </w:pPr>
    </w:p>
    <w:p>
      <w:pPr>
        <w:ind w:left="640" w:hanging="436"/>
        <w:spacing w:after="0" w:line="256" w:lineRule="auto"/>
        <w:tabs>
          <w:tab w:leader="none" w:pos="6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640" w:hanging="436"/>
        <w:spacing w:after="0" w:line="234" w:lineRule="auto"/>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640" w:hanging="43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240" w:top="459"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5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2018, 2017 and 2016, we recorded a provision for taxes of zero, $1.7 million ($0.5 million of excise tax and $1.2 million of U.S. federal and state income taxes related to Taxable Subsidiaries) and $2.4 million ($0.9 million of excise tax and $1.5 million of U.S. federal and state income taxes related to Taxable Subsidiaries), respectively.</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Management Fees.</w:t>
      </w:r>
    </w:p>
    <w:p>
      <w:pPr>
        <w:spacing w:after="0" w:line="16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9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were no transactions in accordance with Rule 17a-7 of the 1940 Act during the years ended September 30, 2018 and 2016.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Purchases of investments, including PIK interest, for the years ended September 30, 2018, 2017 and 2016 totaled $616.1 million, $529.5 million and $345.7 million, respectively. Sales and repayments of investments for the same periods totaled $630.5 million, $544.0 million and $439.7 million,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38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465,235,137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466,076,352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389,336,314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399,544,383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116,596,887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238,858,334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1,243,816,175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1,132,085,474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1,210,026,672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38,182,373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investments and cash and cash equivalents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1,263,359,800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1,151,591,628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1,248,209,045</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9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4860" w:type="dxa"/>
            <w:vAlign w:val="bottom"/>
            <w:gridSpan w:val="3"/>
            <w:vMerge w:val="continue"/>
          </w:tcPr>
          <w:p>
            <w:pPr>
              <w:spacing w:after="0"/>
              <w:rPr>
                <w:sz w:val="13"/>
                <w:szCs w:val="13"/>
                <w:color w:val="auto"/>
              </w:rPr>
            </w:pPr>
          </w:p>
        </w:tc>
        <w:tc>
          <w:tcPr>
            <w:tcW w:w="136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34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4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 and Minerals</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40" w:type="dxa"/>
            <w:vAlign w:val="bottom"/>
            <w:vMerge w:val="restart"/>
          </w:tcPr>
          <w:p>
            <w:pPr>
              <w:ind w:left="2600"/>
              <w:spacing w:after="0"/>
              <w:rPr>
                <w:sz w:val="20"/>
                <w:szCs w:val="20"/>
                <w:color w:val="auto"/>
              </w:rPr>
            </w:pPr>
            <w:r>
              <w:rPr>
                <w:rFonts w:ascii="Arial" w:cs="Arial" w:eastAsia="Arial" w:hAnsi="Arial"/>
                <w:sz w:val="18"/>
                <w:szCs w:val="18"/>
                <w:color w:val="auto"/>
              </w:rPr>
              <w:t>F-57</w:t>
            </w: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60" w:right="8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 During the year ended September 30, 2016, there was one reclassification from Level 2 to 1, one reclassification from Level 3 to 1 and one reclassification from Level 3 to 2.</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 Technique</w:t>
            </w:r>
          </w:p>
        </w:tc>
        <w:tc>
          <w:tcPr>
            <w:tcW w:w="2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Unobservable Input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164,734,450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Broker/Dealer bids or quotes</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531,422,088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226,303,579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48,127,586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160,656,044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Enterprise Market Value</w:t>
            </w:r>
          </w:p>
        </w:tc>
        <w:tc>
          <w:tcPr>
            <w:tcW w:w="2460" w:type="dxa"/>
            <w:vAlign w:val="bottom"/>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8"/>
              </w:rPr>
              <w:t>EBITDA multiple</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2"/>
          </w:tcPr>
          <w:p>
            <w:pPr>
              <w:ind w:left="140"/>
              <w:spacing w:after="0"/>
              <w:rPr>
                <w:sz w:val="20"/>
                <w:szCs w:val="20"/>
                <w:color w:val="auto"/>
              </w:rPr>
            </w:pPr>
            <w:r>
              <w:rPr>
                <w:rFonts w:ascii="Arial" w:cs="Arial" w:eastAsia="Arial" w:hAnsi="Arial"/>
                <w:sz w:val="16"/>
                <w:szCs w:val="16"/>
                <w:color w:val="auto"/>
              </w:rPr>
              <w:t>Total Level 3 investments</w:t>
            </w:r>
          </w:p>
        </w:tc>
        <w:tc>
          <w:tcPr>
            <w:tcW w:w="4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1,131,243,747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77,645,830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Fair value at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Valuation Technique</w:t>
            </w:r>
          </w:p>
        </w:tc>
        <w:tc>
          <w:tcPr>
            <w:tcW w:w="2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14,820,000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w w:val="92"/>
              </w:rPr>
              <w:t>Market Comparable</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w w:val="92"/>
              </w:rPr>
              <w:t>Broker/Dealer bids or quotes</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96,885,313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260"/>
              <w:spacing w:after="0"/>
              <w:rPr>
                <w:sz w:val="20"/>
                <w:szCs w:val="20"/>
                <w:color w:val="auto"/>
              </w:rPr>
            </w:pPr>
            <w:r>
              <w:rPr>
                <w:rFonts w:ascii="Arial" w:cs="Arial" w:eastAsia="Arial" w:hAnsi="Arial"/>
                <w:sz w:val="16"/>
                <w:szCs w:val="16"/>
                <w:color w:val="auto"/>
                <w:w w:val="92"/>
              </w:rPr>
              <w:t>Broker/Dealer bids or quotes</w:t>
            </w: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451,256,352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 – 14.0%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302,659,070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9.6% – 14.6%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120,707,763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11.6% – 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166,268,568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Enterprise Market Value</w:t>
            </w:r>
          </w:p>
        </w:tc>
        <w:tc>
          <w:tcPr>
            <w:tcW w:w="2460" w:type="dxa"/>
            <w:vAlign w:val="bottom"/>
            <w:gridSpan w:val="4"/>
          </w:tcPr>
          <w:p>
            <w:pPr>
              <w:jc w:val="center"/>
              <w:ind w:right="240"/>
              <w:spacing w:after="0"/>
              <w:rPr>
                <w:sz w:val="20"/>
                <w:szCs w:val="20"/>
                <w:color w:val="auto"/>
              </w:rPr>
            </w:pPr>
            <w:r>
              <w:rPr>
                <w:rFonts w:ascii="Arial" w:cs="Arial" w:eastAsia="Arial" w:hAnsi="Arial"/>
                <w:sz w:val="16"/>
                <w:szCs w:val="16"/>
                <w:color w:val="auto"/>
              </w:rPr>
              <w:t>EBITDA multiple</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4.8x – 15.8x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Level 3 investments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1,152,597,066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4"/>
            <w:vMerge w:val="restart"/>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vMerge w:val="restart"/>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7"/>
              </w:rPr>
              <w:t>4.3%</w:t>
            </w: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2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76,037,341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2017</w:t>
            </w: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980,442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166,268,568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980,442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39,182,510</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76,037,341</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255,665,000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331,702,341</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255,665,000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225"/>
              <w:spacing w:after="0"/>
              <w:rPr>
                <w:sz w:val="20"/>
                <w:szCs w:val="20"/>
                <w:color w:val="auto"/>
              </w:rPr>
            </w:pPr>
            <w:r>
              <w:rPr>
                <w:rFonts w:ascii="Arial" w:cs="Arial" w:eastAsia="Arial" w:hAnsi="Arial"/>
                <w:sz w:val="18"/>
                <w:szCs w:val="18"/>
                <w:color w:val="auto"/>
              </w:rPr>
              <w:t>F-61</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 Ended September 30, 2018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right"/>
              <w:ind w:right="8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w w:val="95"/>
              </w:rPr>
              <w:t>investments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right"/>
              <w:ind w:right="6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986,328,498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166,268,568</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2,847,904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43,250,660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46,098,564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(15,266,479)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(40,114,380)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(55,380,859)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Purchases, PIK interest, net discount accretion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556,756,457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61,674,905</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618,431,362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(560,078,677)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(70,423,709)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(630,502,386)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970,587,703</w:t>
            </w: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160,656,044</w:t>
            </w:r>
          </w:p>
        </w:tc>
        <w:tc>
          <w:tcPr>
            <w:tcW w:w="4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1,131,243,747</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depreciation reported within</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the net change in unrealized (depreciation)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appreciation on investments in our Consolidated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w w:val="98"/>
              </w:rPr>
              <w:t>Statements of Operations attributable to our Level 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assets still held at the reporting date.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(5,468,175)</w:t>
            </w:r>
          </w:p>
        </w:tc>
        <w:tc>
          <w:tcPr>
            <w:tcW w:w="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(10,447,877)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(15,916,052)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Year Ended September 30, 2017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investments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92"/>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1,000,146,681</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125,633,017</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1,125,779,698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Net realized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(43,066,781)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(10,910,451)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(53,977,232)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75,097,153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(6,862,504)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68,234,649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Purchases, PIK interest, net discount accretion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509,394,726</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93,811,871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603,206,597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(555,243,281)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9"/>
              </w:rPr>
              <w:t>(35,403,365)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(590,646,646)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986,328,498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166,268,568</w:t>
            </w: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1,152,597,066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reported within the net change in unrealized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(depreciation) appreciation on investments in our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w w:val="94"/>
              </w:rPr>
              <w:t>Consolidated Statements of Operations attributable to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our Level 3 assets still held at the reporting date.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40,461,680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(29,825,294)</w:t>
            </w: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10,636,386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80" w:type="dxa"/>
            <w:vAlign w:val="bottom"/>
            <w:gridSpan w:val="5"/>
          </w:tcPr>
          <w:p>
            <w:pPr>
              <w:jc w:val="right"/>
              <w:ind w:right="1040"/>
              <w:spacing w:after="0"/>
              <w:rPr>
                <w:sz w:val="20"/>
                <w:szCs w:val="20"/>
                <w:color w:val="auto"/>
              </w:rPr>
            </w:pPr>
            <w:r>
              <w:rPr>
                <w:rFonts w:ascii="Arial" w:cs="Arial" w:eastAsia="Arial" w:hAnsi="Arial"/>
                <w:sz w:val="18"/>
                <w:szCs w:val="18"/>
                <w:color w:val="auto"/>
              </w:rPr>
              <w:t>F-62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60"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29"/>
        </w:trPr>
        <w:tc>
          <w:tcPr>
            <w:tcW w:w="7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 (cost – $79,392,900 and $50,339,700,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76,037,341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39,551,187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Net change in unrealized appreciation included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481,389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7,432,954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161,520,000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(162,392,900)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(208,706,800)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75,645,830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3"/>
              </w:rPr>
              <w:t>Borrowing 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 Value</w:t>
            </w:r>
          </w:p>
        </w:tc>
        <w:tc>
          <w:tcPr>
            <w:tcW w:w="17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Reset Date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8"/>
              </w:rPr>
              <w:t>December 14, 2018</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auto"/>
        </w:rPr>
        <w:t>As of September 30, 2017,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18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Amount Borrowed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Borrowing 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Current Value</w:t>
            </w:r>
          </w:p>
        </w:tc>
        <w:tc>
          <w:tcPr>
            <w:tcW w:w="280" w:type="dxa"/>
            <w:vAlign w:val="bottom"/>
          </w:tcPr>
          <w:p>
            <w:pPr>
              <w:spacing w:after="0"/>
              <w:rPr>
                <w:sz w:val="14"/>
                <w:szCs w:val="14"/>
                <w:color w:val="auto"/>
              </w:rPr>
            </w:pPr>
          </w:p>
        </w:tc>
        <w:tc>
          <w:tcPr>
            <w:tcW w:w="14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Reset Date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27,000,000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44,032,900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36,224,604</w:t>
            </w:r>
          </w:p>
        </w:tc>
        <w:tc>
          <w:tcPr>
            <w:tcW w:w="2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8"/>
              </w:rPr>
              <w:t>October 4, 2017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(7,808,296)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248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34,000,000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35,360,000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40,194,834</w:t>
            </w:r>
          </w:p>
        </w:tc>
        <w:tc>
          <w:tcPr>
            <w:tcW w:w="280" w:type="dxa"/>
            <w:vAlign w:val="bottom"/>
          </w:tcPr>
          <w:p>
            <w:pPr>
              <w:spacing w:after="0"/>
              <w:rPr>
                <w:sz w:val="19"/>
                <w:szCs w:val="19"/>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w w:val="88"/>
              </w:rPr>
              <w:t>October 4, 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4,834,834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79,392,900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76,419,438</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w:t>
      </w:r>
    </w:p>
    <w:p>
      <w:pPr>
        <w:spacing w:after="0" w:line="6" w:lineRule="exact"/>
        <w:rPr>
          <w:sz w:val="20"/>
          <w:szCs w:val="20"/>
          <w:color w:val="auto"/>
        </w:rPr>
      </w:pPr>
    </w:p>
    <w:p>
      <w:pPr>
        <w:jc w:val="center"/>
        <w:ind w:right="40"/>
        <w:spacing w:after="0" w:line="433" w:lineRule="auto"/>
        <w:rPr>
          <w:sz w:val="20"/>
          <w:szCs w:val="20"/>
          <w:color w:val="auto"/>
        </w:rPr>
      </w:pPr>
      <w:r>
        <w:rPr>
          <w:rFonts w:ascii="Arial" w:cs="Arial" w:eastAsia="Arial" w:hAnsi="Arial"/>
          <w:sz w:val="18"/>
          <w:szCs w:val="18"/>
          <w:color w:val="auto"/>
        </w:rPr>
        <w:t>2025 Notes are reported in our Consolidated Statements of Operations. We elected not to apply ASC 825-10 to any other financial assets or liabilities, F-63</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Purchases of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Sale of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8"/>
              </w:rPr>
              <w:t>Advances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w w:val="92"/>
              </w:rPr>
              <w:t xml:space="preserve">Affiliates </w:t>
            </w:r>
            <w:r>
              <w:rPr>
                <w:rFonts w:ascii="Arial" w:cs="Arial" w:eastAsia="Arial" w:hAnsi="Arial"/>
                <w:sz w:val="12"/>
                <w:szCs w:val="12"/>
                <w:b w:val="1"/>
                <w:bCs w:val="1"/>
                <w:color w:val="auto"/>
                <w:w w:val="92"/>
              </w:rPr>
              <w:t>(1), (2)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2"/>
              </w:rPr>
              <w:t xml:space="preserve">from Affiliates </w:t>
            </w:r>
            <w:r>
              <w:rPr>
                <w:rFonts w:ascii="Arial" w:cs="Arial" w:eastAsia="Arial" w:hAnsi="Arial"/>
                <w:sz w:val="12"/>
                <w:szCs w:val="12"/>
                <w:b w:val="1"/>
                <w:bCs w:val="1"/>
                <w:color w:val="auto"/>
                <w:w w:val="92"/>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39,184,097</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1,299,807</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1,317,181</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 (JF</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LLC)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16,945,557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1,073,864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(5,919,774)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12,099,647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71,406,572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10,350,000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3,043,300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(2,491,612)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Superior Digital Displays Holdings,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26,198,854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13,502,471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3,006,741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(14,174,803)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187,236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19,704,139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(1,537,218)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American Gilsonite Company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22,807,532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504,246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(26,983,525)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1,070,685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(4,445,455)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8,106,827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674,943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(277,918)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Corfin Industries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24,089,476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(26,739,059)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993,423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(683,831)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3,296,101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25,236,136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(19,310,228)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454,098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(3,801,810)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(2,238,725)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44,430,932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894,101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291,534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(3,468,771)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34,801,373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(6,452,914)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32,175,378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(48,318,847)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(5,849,743)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6,955,332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Services, LLC</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21,231,384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923,753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1,340,366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2,747,135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304,225,960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82,211,422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(130,906,782)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12,395,413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(38,586,619)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226,814,216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9,853,857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64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Includes PIK.</w:t>
      </w:r>
    </w:p>
    <w:p>
      <w:pPr>
        <w:ind w:left="64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640" w:hanging="436"/>
        <w:spacing w:after="0"/>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Years Ended September 30,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47,713,462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61,711,501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18,736,706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70,686,354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71,060,836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71,621,530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increase in net assets per share resulting from operations</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3"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As of September 30, 2018 and 2017, the cost of investments for federal income tax purposes was $1,240.6 million and $1,206.4 million, respectively, resulting in a gross unrealized appreciation of $37.7 million and $67.0 million, respectively, and depreciation of $146.1 million and $119.9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2"/>
          </w:tcPr>
          <w:p>
            <w:pPr>
              <w:jc w:val="right"/>
              <w:ind w:right="920"/>
              <w:spacing w:after="0"/>
              <w:rPr>
                <w:sz w:val="20"/>
                <w:szCs w:val="20"/>
                <w:color w:val="auto"/>
              </w:rPr>
            </w:pPr>
            <w:r>
              <w:rPr>
                <w:rFonts w:ascii="Arial" w:cs="Arial" w:eastAsia="Arial" w:hAnsi="Arial"/>
                <w:sz w:val="14"/>
                <w:szCs w:val="14"/>
                <w:b w:val="1"/>
                <w:bCs w:val="1"/>
                <w:color w:val="auto"/>
                <w:w w:val="92"/>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$(1,245,892)</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$(2,548,967)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accumulated net realized gain</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54,520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(799,498)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(1,449,411)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20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(54,520)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2,045,390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3,998,378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gridSpan w:val="7"/>
          </w:tcPr>
          <w:p>
            <w:pPr>
              <w:ind w:left="420"/>
              <w:spacing w:after="0"/>
              <w:rPr>
                <w:sz w:val="20"/>
                <w:szCs w:val="20"/>
                <w:color w:val="auto"/>
              </w:rPr>
            </w:pPr>
            <w:r>
              <w:rPr>
                <w:rFonts w:ascii="Arial" w:cs="Arial" w:eastAsia="Arial" w:hAnsi="Arial"/>
                <w:sz w:val="18"/>
                <w:szCs w:val="18"/>
                <w:color w:val="auto"/>
                <w:w w:val="93"/>
              </w:rPr>
              <w:t>The following reconciles net increase (decrease) in net assets resulting from operations to taxable income: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5"/>
              </w:rPr>
              <w:t>Years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ind w:right="26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$ 47,713,462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61,711,501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18,736,706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940" w:type="dxa"/>
            <w:vAlign w:val="bottom"/>
            <w:gridSpan w:val="5"/>
          </w:tcPr>
          <w:p>
            <w:pPr>
              <w:jc w:val="right"/>
              <w:ind w:right="148"/>
              <w:spacing w:after="0"/>
              <w:rPr>
                <w:sz w:val="20"/>
                <w:szCs w:val="20"/>
                <w:color w:val="auto"/>
              </w:rPr>
            </w:pPr>
            <w:r>
              <w:rPr>
                <w:rFonts w:ascii="Arial" w:cs="Arial" w:eastAsia="Arial" w:hAnsi="Arial"/>
                <w:sz w:val="18"/>
                <w:szCs w:val="18"/>
                <w:color w:val="auto"/>
              </w:rPr>
              <w:t>(45,856,206)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31,027,037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80,530,707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 and debt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51,476,896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(36,300,227)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(28,652,631)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940" w:type="dxa"/>
            <w:vAlign w:val="bottom"/>
            <w:gridSpan w:val="5"/>
          </w:tcPr>
          <w:p>
            <w:pPr>
              <w:jc w:val="right"/>
              <w:ind w:right="148"/>
              <w:spacing w:after="0"/>
              <w:rPr>
                <w:sz w:val="20"/>
                <w:szCs w:val="20"/>
                <w:color w:val="auto"/>
              </w:rPr>
            </w:pPr>
            <w:r>
              <w:rPr>
                <w:rFonts w:ascii="Arial" w:cs="Arial" w:eastAsia="Arial" w:hAnsi="Arial"/>
                <w:sz w:val="18"/>
                <w:szCs w:val="18"/>
                <w:color w:val="auto"/>
              </w:rPr>
              <w:t>(722,661)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(6,838,039)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(1,438,839)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343,083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3,026,409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3,648,098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Taxable income before dividends paid deduction</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$ 52,954,574</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52,626,681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72,824,041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5320"/>
              <w:spacing w:after="0"/>
              <w:rPr>
                <w:sz w:val="20"/>
                <w:szCs w:val="20"/>
                <w:color w:val="auto"/>
              </w:rPr>
            </w:pPr>
            <w:r>
              <w:rPr>
                <w:rFonts w:ascii="Arial" w:cs="Arial" w:eastAsia="Arial" w:hAnsi="Arial"/>
                <w:sz w:val="18"/>
                <w:szCs w:val="18"/>
                <w:color w:val="auto"/>
              </w:rPr>
              <w:t>F-65</w:t>
            </w: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deficit on a book basis are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As of 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 tax basis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20,714,977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18,388,023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31,137,312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Realized loss carried forward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(68,819,477)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color w:val="auto"/>
                <w:w w:val="94"/>
              </w:rPr>
              <w:t>(113,198,158)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(81,242,318)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(16,579,769)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(18,455,025)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(31,547,434)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depreciation of investments and debt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w w:val="96"/>
              </w:rPr>
              <w:t>(110,212,110)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color w:val="auto"/>
              </w:rPr>
              <w:t>(58,735,214)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(95,035,441)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6"/>
              </w:rPr>
              <w:t>(174,896,379)</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(172,000,374)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(176,687,881)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The tax characteristics of distributions declared are as follows:</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7"/>
              </w:rPr>
              <w:t>Years Ended September 30,</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 if any)</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50,609,467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58,269,886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Long-term capital gain</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21,711,007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50,609,467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58,269,886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79,779,901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0.72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$19.5 million and $38.2 million at fair value,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38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 to stockholders</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20" w:type="dxa"/>
            <w:vAlign w:val="bottom"/>
            <w:gridSpan w:val="2"/>
          </w:tcPr>
          <w:p>
            <w:pPr>
              <w:spacing w:after="0"/>
              <w:rPr>
                <w:sz w:val="20"/>
                <w:szCs w:val="20"/>
                <w:color w:val="auto"/>
              </w:rPr>
            </w:pPr>
            <w:r>
              <w:rPr>
                <w:rFonts w:ascii="Arial" w:cs="Arial" w:eastAsia="Arial" w:hAnsi="Arial"/>
                <w:sz w:val="16"/>
                <w:szCs w:val="16"/>
                <w:color w:val="auto"/>
              </w:rPr>
              <w:t>Net asset value, end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9.11</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Per share market value,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Total return </w:t>
            </w:r>
            <w:r>
              <w:rPr>
                <w:rFonts w:ascii="Arial" w:cs="Arial" w:eastAsia="Arial" w:hAnsi="Arial"/>
                <w:sz w:val="27"/>
                <w:szCs w:val="27"/>
                <w:color w:val="auto"/>
                <w:vertAlign w:val="superscript"/>
              </w:rPr>
              <w:t>(3)</w:t>
            </w: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Shares outstanding at end of year</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69,053,958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71,060,836</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71,060,836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72,966,043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75,092,911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Ratios / Supplemental Data:</w:t>
            </w: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Ratio of operating expenses to average net assets </w:t>
            </w:r>
            <w:r>
              <w:rPr>
                <w:rFonts w:ascii="Arial" w:cs="Arial" w:eastAsia="Arial" w:hAnsi="Arial"/>
                <w:sz w:val="24"/>
                <w:szCs w:val="24"/>
                <w:color w:val="auto"/>
                <w:vertAlign w:val="superscript"/>
              </w:rPr>
              <w:t>(4), (5)</w:t>
            </w: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c>
          <w:tcPr>
            <w:tcW w:w="2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interest and expenses on debt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23"/>
                <w:szCs w:val="23"/>
                <w:color w:val="auto"/>
                <w:vertAlign w:val="superscript"/>
              </w:rPr>
              <w:t>(5)</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8.67%</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assets at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628,901,895</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646,808,471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643,366,856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716,590,542</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828,009,949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outstanding </w:t>
            </w:r>
            <w:r>
              <w:rPr>
                <w:rFonts w:ascii="Arial" w:cs="Arial" w:eastAsia="Arial" w:hAnsi="Arial"/>
                <w:sz w:val="26"/>
                <w:szCs w:val="26"/>
                <w:color w:val="auto"/>
                <w:vertAlign w:val="superscript"/>
              </w:rPr>
              <w:t>(6)</w:t>
            </w:r>
          </w:p>
        </w:tc>
        <w:tc>
          <w:tcPr>
            <w:tcW w:w="3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504,963,762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605,661,674</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634,769,508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580,367,750</w:t>
            </w:r>
          </w:p>
        </w:tc>
        <w:tc>
          <w:tcPr>
            <w:tcW w:w="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526,252,068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23"/>
                <w:szCs w:val="23"/>
                <w:color w:val="auto"/>
                <w:vertAlign w:val="superscript"/>
              </w:rPr>
              <w:t>(1), (6)</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2,756</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2,569</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23"/>
                <w:szCs w:val="23"/>
                <w:color w:val="auto"/>
                <w:vertAlign w:val="superscript"/>
              </w:rPr>
              <w:t>(8)</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43.60%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632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6"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640" w:right="60" w:hanging="436"/>
        <w:spacing w:after="0" w:line="221"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640" w:hanging="436"/>
        <w:spacing w:after="0" w:line="221"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640" w:hanging="436"/>
        <w:spacing w:after="0" w:line="221"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640" w:right="20" w:hanging="436"/>
        <w:spacing w:after="0" w:line="221"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For the years ended September 30, 2018, 2017 and 2016, the ratio of operating expenses to average net assets before the waiver of certain Management Fees to average net assets was 5.21%, 6.65% and 7.64%, respectively, and the ratio of total expenses to average net assets before the waiver of certain Management Fees to average net assets was 8.75%, 11.33% and 11.82%, respectively.</w:t>
      </w:r>
    </w:p>
    <w:p>
      <w:pPr>
        <w:ind w:left="640" w:hanging="436"/>
        <w:spacing w:after="0" w:line="221"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640" w:right="200" w:hanging="436"/>
        <w:spacing w:after="0" w:line="237"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640" w:right="300"/>
        <w:spacing w:after="0" w:line="230" w:lineRule="auto"/>
        <w:rPr>
          <w:sz w:val="20"/>
          <w:szCs w:val="20"/>
          <w:color w:val="auto"/>
        </w:rPr>
      </w:pPr>
      <w:r>
        <w:rPr>
          <w:rFonts w:ascii="Arial" w:cs="Arial" w:eastAsia="Arial" w:hAnsi="Arial"/>
          <w:sz w:val="14"/>
          <w:szCs w:val="14"/>
          <w:color w:val="auto"/>
        </w:rPr>
        <w:t>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ind w:left="640" w:right="500" w:hanging="436"/>
        <w:spacing w:after="0" w:line="237" w:lineRule="auto"/>
        <w:tabs>
          <w:tab w:leader="none" w:pos="6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80"/>
          </w:cols>
          <w:pgMar w:left="240" w:top="460"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September 30, 2018 and 2017, our SBIC Funds had $300.0 million in debt commitments, respectively, of which $180.0 million and</w:t>
      </w:r>
    </w:p>
    <w:p>
      <w:pPr>
        <w:spacing w:after="0" w:line="23" w:lineRule="exact"/>
        <w:rPr>
          <w:sz w:val="20"/>
          <w:szCs w:val="20"/>
          <w:color w:val="auto"/>
        </w:rPr>
      </w:pPr>
    </w:p>
    <w:p>
      <w:pPr>
        <w:ind w:left="200" w:right="240"/>
        <w:spacing w:after="0" w:line="323" w:lineRule="auto"/>
        <w:rPr>
          <w:sz w:val="20"/>
          <w:szCs w:val="20"/>
          <w:color w:val="auto"/>
        </w:rPr>
      </w:pPr>
      <w:r>
        <w:rPr>
          <w:rFonts w:ascii="Arial" w:cs="Arial" w:eastAsia="Arial" w:hAnsi="Arial"/>
          <w:sz w:val="16"/>
          <w:szCs w:val="16"/>
          <w:color w:val="auto"/>
        </w:rPr>
        <w:t>$199.0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3100" w:type="dxa"/>
            <w:vAlign w:val="bottom"/>
            <w:gridSpan w:val="3"/>
            <w:vMerge w:val="restart"/>
          </w:tcPr>
          <w:p>
            <w:pPr>
              <w:jc w:val="center"/>
              <w:ind w:left="156"/>
              <w:spacing w:after="0"/>
              <w:rPr>
                <w:sz w:val="20"/>
                <w:szCs w:val="20"/>
                <w:color w:val="auto"/>
              </w:rPr>
            </w:pPr>
            <w:r>
              <w:rPr>
                <w:rFonts w:ascii="Arial" w:cs="Arial" w:eastAsia="Arial" w:hAnsi="Arial"/>
                <w:sz w:val="14"/>
                <w:szCs w:val="14"/>
                <w:b w:val="1"/>
                <w:bCs w:val="1"/>
                <w:color w:val="auto"/>
                <w:w w:val="94"/>
              </w:rPr>
              <w:t xml:space="preserve">Fixed All-in Coupon Rate </w:t>
            </w:r>
            <w:r>
              <w:rPr>
                <w:rFonts w:ascii="Arial" w:cs="Arial" w:eastAsia="Arial" w:hAnsi="Arial"/>
                <w:sz w:val="12"/>
                <w:szCs w:val="12"/>
                <w:b w:val="1"/>
                <w:bCs w:val="1"/>
                <w:color w:val="auto"/>
                <w:w w:val="94"/>
              </w:rPr>
              <w:t>(1)</w:t>
            </w: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As of September 30, 2018</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September 1, 2021</w:t>
            </w:r>
          </w:p>
        </w:tc>
        <w:tc>
          <w:tcPr>
            <w:tcW w:w="8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20" w:type="dxa"/>
            <w:vAlign w:val="bottom"/>
          </w:tcPr>
          <w:p>
            <w:pPr>
              <w:ind w:left="40"/>
              <w:spacing w:after="0"/>
              <w:rPr>
                <w:sz w:val="20"/>
                <w:szCs w:val="20"/>
                <w:color w:val="auto"/>
              </w:rPr>
            </w:pPr>
            <w:r>
              <w:rPr>
                <w:rFonts w:ascii="Arial" w:cs="Arial" w:eastAsia="Arial" w:hAnsi="Arial"/>
                <w:sz w:val="18"/>
                <w:szCs w:val="18"/>
                <w:color w:val="auto"/>
              </w:rPr>
              <w:t>March 1, 2026</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2.86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September 1, 2026</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85"/>
              </w:rPr>
              <w:t>2.41</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2027</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2.87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2028</w:t>
            </w:r>
          </w:p>
        </w:tc>
        <w:tc>
          <w:tcPr>
            <w:tcW w:w="8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3.53</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gridSpan w:val="2"/>
          </w:tcPr>
          <w:p>
            <w:pPr>
              <w:ind w:left="144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tcPr>
          <w:p>
            <w:pPr>
              <w:spacing w:after="0"/>
              <w:rPr>
                <w:sz w:val="24"/>
                <w:szCs w:val="24"/>
                <w:color w:val="auto"/>
              </w:rPr>
            </w:pPr>
          </w:p>
        </w:tc>
        <w:tc>
          <w:tcPr>
            <w:tcW w:w="2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Fixed All-in Coupon Rate</w:t>
            </w: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As of September 30, 2017</w:t>
            </w:r>
          </w:p>
        </w:tc>
        <w:tc>
          <w:tcPr>
            <w:tcW w:w="0" w:type="dxa"/>
            <w:vAlign w:val="bottom"/>
          </w:tcPr>
          <w:p>
            <w:pPr>
              <w:spacing w:after="0"/>
              <w:rPr>
                <w:sz w:val="1"/>
                <w:szCs w:val="1"/>
                <w:color w:val="auto"/>
              </w:rPr>
            </w:pPr>
          </w:p>
        </w:tc>
      </w:tr>
      <w:tr>
        <w:trPr>
          <w:trHeight w:val="149"/>
        </w:trPr>
        <w:tc>
          <w:tcPr>
            <w:tcW w:w="450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560" w:type="dxa"/>
            <w:vAlign w:val="bottom"/>
            <w:gridSpan w:val="2"/>
          </w:tcPr>
          <w:p>
            <w:pPr>
              <w:jc w:val="center"/>
              <w:ind w:left="696"/>
              <w:spacing w:after="0"/>
              <w:rPr>
                <w:sz w:val="20"/>
                <w:szCs w:val="20"/>
                <w:color w:val="auto"/>
              </w:rPr>
            </w:pPr>
            <w:r>
              <w:rPr>
                <w:rFonts w:ascii="Arial" w:cs="Arial" w:eastAsia="Arial" w:hAnsi="Arial"/>
                <w:sz w:val="12"/>
                <w:szCs w:val="12"/>
                <w:b w:val="1"/>
                <w:bCs w:val="1"/>
                <w:color w:val="auto"/>
                <w:w w:val="95"/>
              </w:rPr>
              <w:t>(1)</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29, 2011</w:t>
            </w:r>
          </w:p>
        </w:tc>
        <w:tc>
          <w:tcPr>
            <w:tcW w:w="14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March 1, 2021</w:t>
            </w:r>
          </w:p>
        </w:tc>
        <w:tc>
          <w:tcPr>
            <w:tcW w:w="8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4.37%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21, 2011</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2021</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3.38</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2026</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85"/>
              </w:rPr>
              <w:t>2.86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2026</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September 1, 2027</w:t>
            </w:r>
          </w:p>
        </w:tc>
        <w:tc>
          <w:tcPr>
            <w:tcW w:w="8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2.87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gridSpan w:val="2"/>
          </w:tcPr>
          <w:p>
            <w:pPr>
              <w:ind w:left="144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As of September 30, 2018 and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29, 2017, the 6.25% notes due 2025, or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2018 and 2017, we had $60.6 million and $21.6 million, respectively, in commitments to fund investments. For the same periods, there were no letters of credit issued.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UNCONSOLIDATED SIGNIFICANT SUBSIDIARIES</w:t>
      </w:r>
    </w:p>
    <w:p>
      <w:pPr>
        <w:spacing w:after="0" w:line="121" w:lineRule="exact"/>
        <w:rPr>
          <w:sz w:val="20"/>
          <w:szCs w:val="20"/>
          <w:color w:val="auto"/>
        </w:rPr>
      </w:pPr>
    </w:p>
    <w:p>
      <w:pPr>
        <w:ind w:left="200" w:right="320" w:firstLine="441"/>
        <w:spacing w:after="0" w:line="273" w:lineRule="auto"/>
        <w:rPr>
          <w:sz w:val="20"/>
          <w:szCs w:val="20"/>
          <w:color w:val="auto"/>
        </w:rPr>
      </w:pPr>
      <w:r>
        <w:rPr>
          <w:rFonts w:ascii="Arial" w:cs="Arial" w:eastAsia="Arial" w:hAnsi="Arial"/>
          <w:sz w:val="17"/>
          <w:szCs w:val="17"/>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September 30, 2018, Superior Digital Displays, LLC triggered at least one of the significance tests by 20%. As a result and in accordance with Rule 4-08(g) of Regulation S-K, presented below is summarized unaudited financial information for Superior Digital Displays, LLC as of September 30, 2018 and 2017 as well as for the year ended September 30, 2018, 2017 and 2016. In accordance with rule 3-09(b)(1), the separate audited financial statements of Superior Digital Displays, LLC are being filed herewith, as Exhibit 99.2.</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50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w w:val="90"/>
              </w:rPr>
              <w:t>September 30, 2018</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Current assets</w:t>
            </w:r>
          </w:p>
        </w:tc>
        <w:tc>
          <w:tcPr>
            <w:tcW w:w="2460" w:type="dxa"/>
            <w:vAlign w:val="bottom"/>
            <w:tcBorders>
              <w:top w:val="single" w:sz="8" w:color="CCEEFF"/>
            </w:tcBorders>
            <w:gridSpan w:val="2"/>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1,033.7</w:t>
            </w:r>
          </w:p>
        </w:tc>
        <w:tc>
          <w:tcPr>
            <w:tcW w:w="8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ind w:right="710"/>
              <w:spacing w:after="0"/>
              <w:rPr>
                <w:sz w:val="20"/>
                <w:szCs w:val="20"/>
                <w:color w:val="auto"/>
              </w:rPr>
            </w:pPr>
            <w:r>
              <w:rPr>
                <w:rFonts w:ascii="Arial" w:cs="Arial" w:eastAsia="Arial" w:hAnsi="Arial"/>
                <w:sz w:val="18"/>
                <w:szCs w:val="18"/>
                <w:color w:val="auto"/>
                <w:w w:val="99"/>
              </w:rPr>
              <w:t>6,663.1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1,206.7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2"/>
          </w:tcPr>
          <w:p>
            <w:pPr>
              <w:jc w:val="right"/>
              <w:ind w:right="710"/>
              <w:spacing w:after="0"/>
              <w:rPr>
                <w:sz w:val="20"/>
                <w:szCs w:val="20"/>
                <w:color w:val="auto"/>
              </w:rPr>
            </w:pPr>
            <w:r>
              <w:rPr>
                <w:rFonts w:ascii="Arial" w:cs="Arial" w:eastAsia="Arial" w:hAnsi="Arial"/>
                <w:sz w:val="18"/>
                <w:szCs w:val="18"/>
                <w:color w:val="auto"/>
                <w:w w:val="85"/>
              </w:rPr>
              <w:t>23,065.9</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28,755.0</w:t>
            </w:r>
          </w:p>
        </w:tc>
        <w:tc>
          <w:tcPr>
            <w:tcW w:w="0" w:type="dxa"/>
            <w:vAlign w:val="bottom"/>
          </w:tcPr>
          <w:p>
            <w:pPr>
              <w:spacing w:after="0"/>
              <w:rPr>
                <w:sz w:val="1"/>
                <w:szCs w:val="1"/>
                <w:color w:val="auto"/>
              </w:rPr>
            </w:pPr>
          </w:p>
        </w:tc>
      </w:tr>
      <w:tr>
        <w:trPr>
          <w:trHeight w:val="377"/>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Years Ended September 30,</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gridSpan w:val="4"/>
            <w:vMerge w:val="continue"/>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420" w:type="dxa"/>
            <w:vAlign w:val="bottom"/>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2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$ 1,985.7</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1,180.7</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9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11,240.4</w:t>
            </w:r>
          </w:p>
        </w:tc>
        <w:tc>
          <w:tcPr>
            <w:tcW w:w="1760" w:type="dxa"/>
            <w:vAlign w:val="bottom"/>
            <w:gridSpan w:val="3"/>
          </w:tcPr>
          <w:p>
            <w:pPr>
              <w:jc w:val="right"/>
              <w:ind w:right="340"/>
              <w:spacing w:after="0"/>
              <w:rPr>
                <w:sz w:val="20"/>
                <w:szCs w:val="20"/>
                <w:color w:val="auto"/>
              </w:rPr>
            </w:pPr>
            <w:r>
              <w:rPr>
                <w:rFonts w:ascii="Arial" w:cs="Arial" w:eastAsia="Arial" w:hAnsi="Arial"/>
                <w:sz w:val="18"/>
                <w:szCs w:val="18"/>
                <w:color w:val="auto"/>
              </w:rPr>
              <w:t>13,666.6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13,265.2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(9,254.7)</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(12,485.9)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(12,757.4)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2"/>
          <w:szCs w:val="12"/>
          <w:color w:val="auto"/>
        </w:rPr>
      </w:pPr>
      <w:r>
        <w:rPr>
          <w:rFonts w:ascii="Arial" w:cs="Arial" w:eastAsia="Arial" w:hAnsi="Arial"/>
          <w:sz w:val="14"/>
          <w:szCs w:val="14"/>
          <w:color w:val="auto"/>
        </w:rPr>
        <w:t>All amounts are in thousands and unaudited.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STOCK REPURCHASE PROGRAM</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2019 Notes with a rate of 4.50% per year due October 1, 2019. The 2019 Notes will be prepaid at 100% of the principal amount, plus accrued and unpaid interest through the prepayment date, as well as a make-whole premium.</w:t>
      </w:r>
    </w:p>
    <w:p>
      <w:pPr>
        <w:spacing w:after="0" w:line="18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SUPERIOR DIGITAL DISPLAYS</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HOLDINGS, INC. AND SUBSIDIARIES</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SEPTEMBER 30, 2018</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0219"/>
          </w:cols>
          <w:pgMar w:left="240" w:top="460" w:right="1440"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080"/>
        <w:spacing w:after="0" w:line="381" w:lineRule="auto"/>
        <w:rPr>
          <w:sz w:val="20"/>
          <w:szCs w:val="20"/>
          <w:color w:val="auto"/>
        </w:rPr>
      </w:pPr>
      <w:r>
        <w:rPr>
          <w:rFonts w:ascii="Arial" w:cs="Arial" w:eastAsia="Arial" w:hAnsi="Arial"/>
          <w:sz w:val="18"/>
          <w:szCs w:val="18"/>
          <w:b w:val="1"/>
          <w:bCs w:val="1"/>
          <w:color w:val="auto"/>
        </w:rPr>
        <w:t>SUPERIOR DIGITAL DISPLAYS HOLDINGS, INC. AND SUBSIDIARIES Contents</w:t>
      </w:r>
    </w:p>
    <w:tbl>
      <w:tblPr>
        <w:tblLayout w:type="fixed"/>
        <w:tblInd w:w="200" w:type="dxa"/>
        <w:tblCellMar>
          <w:top w:w="0" w:type="dxa"/>
          <w:left w:w="0" w:type="dxa"/>
          <w:bottom w:w="0" w:type="dxa"/>
          <w:right w:w="0" w:type="dxa"/>
        </w:tblCellMar>
      </w:tblPr>
      <w:tr>
        <w:trPr>
          <w:trHeight w:val="171"/>
        </w:trPr>
        <w:tc>
          <w:tcPr>
            <w:tcW w:w="5260" w:type="dxa"/>
            <w:vAlign w:val="bottom"/>
            <w:gridSpan w:val="5"/>
            <w:vMerge w:val="restart"/>
          </w:tcPr>
          <w:p>
            <w:pPr>
              <w:spacing w:after="0"/>
              <w:rPr>
                <w:rFonts w:ascii="Arial" w:cs="Arial" w:eastAsia="Arial" w:hAnsi="Arial"/>
                <w:sz w:val="18"/>
                <w:szCs w:val="18"/>
                <w:b w:val="1"/>
                <w:bCs w:val="1"/>
                <w:color w:val="0000EE"/>
              </w:rPr>
            </w:pPr>
            <w:hyperlink w:anchor="page255">
              <w:r>
                <w:rPr>
                  <w:rFonts w:ascii="Arial" w:cs="Arial" w:eastAsia="Arial" w:hAnsi="Arial"/>
                  <w:sz w:val="18"/>
                  <w:szCs w:val="18"/>
                  <w:b w:val="1"/>
                  <w:bCs w:val="1"/>
                  <w:color w:val="0000EE"/>
                </w:rPr>
                <w:t>Independent Auditors’ Report</w:t>
              </w:r>
            </w:hyperlink>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60" w:type="dxa"/>
            <w:vAlign w:val="bottom"/>
            <w:gridSpan w:val="5"/>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00" w:type="dxa"/>
            <w:vAlign w:val="bottom"/>
          </w:tcPr>
          <w:p>
            <w:pPr>
              <w:ind w:left="60"/>
              <w:spacing w:after="0" w:line="142" w:lineRule="exact"/>
              <w:rPr>
                <w:sz w:val="20"/>
                <w:szCs w:val="20"/>
                <w:color w:val="auto"/>
              </w:rPr>
            </w:pPr>
            <w:r>
              <w:rPr>
                <w:rFonts w:ascii="Arial" w:cs="Arial" w:eastAsia="Arial" w:hAnsi="Arial"/>
                <w:sz w:val="16"/>
                <w:szCs w:val="16"/>
                <w:color w:val="auto"/>
                <w:w w:val="97"/>
              </w:rPr>
              <w:t>F-74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900" w:type="dxa"/>
            <w:vAlign w:val="bottom"/>
            <w:gridSpan w:val="4"/>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Consolidated balance sheet as of September 30, 2018</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58">
              <w:r>
                <w:rPr>
                  <w:rFonts w:ascii="Arial" w:cs="Arial" w:eastAsia="Arial" w:hAnsi="Arial"/>
                  <w:sz w:val="18"/>
                  <w:szCs w:val="18"/>
                  <w:color w:val="0000EE"/>
                  <w:w w:val="89"/>
                </w:rPr>
                <w:t>Consolidated statement of operations for the year ended September</w:t>
              </w:r>
            </w:hyperlink>
          </w:p>
        </w:tc>
        <w:tc>
          <w:tcPr>
            <w:tcW w:w="660" w:type="dxa"/>
            <w:vAlign w:val="bottom"/>
            <w:tcBorders>
              <w:bottom w:val="single" w:sz="8" w:color="0000EE"/>
            </w:tcBorders>
          </w:tcPr>
          <w:p>
            <w:pPr>
              <w:jc w:val="right"/>
              <w:spacing w:after="0"/>
              <w:rPr>
                <w:rFonts w:ascii="Arial" w:cs="Arial" w:eastAsia="Arial" w:hAnsi="Arial"/>
                <w:sz w:val="18"/>
                <w:szCs w:val="18"/>
                <w:color w:val="0000EE"/>
                <w:w w:val="91"/>
              </w:rPr>
            </w:pPr>
            <w:hyperlink w:anchor="page258">
              <w:r>
                <w:rPr>
                  <w:rFonts w:ascii="Arial" w:cs="Arial" w:eastAsia="Arial" w:hAnsi="Arial"/>
                  <w:sz w:val="18"/>
                  <w:szCs w:val="18"/>
                  <w:color w:val="0000EE"/>
                  <w:w w:val="91"/>
                </w:rPr>
                <w:t>30, 2018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Consolidated statement of stockholders’ deficit for the year ended September 30,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F-78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4"/>
          </w:tcPr>
          <w:p>
            <w:pPr>
              <w:spacing w:after="0"/>
              <w:rPr>
                <w:rFonts w:ascii="Arial" w:cs="Arial" w:eastAsia="Arial" w:hAnsi="Arial"/>
                <w:sz w:val="18"/>
                <w:szCs w:val="18"/>
                <w:color w:val="0000EE"/>
                <w:w w:val="89"/>
              </w:rPr>
            </w:pPr>
            <w:hyperlink w:anchor="page260">
              <w:r>
                <w:rPr>
                  <w:rFonts w:ascii="Arial" w:cs="Arial" w:eastAsia="Arial" w:hAnsi="Arial"/>
                  <w:sz w:val="18"/>
                  <w:szCs w:val="18"/>
                  <w:color w:val="0000EE"/>
                  <w:w w:val="89"/>
                </w:rPr>
                <w:t>Consolidated statement of cash flows for the year ended September</w:t>
              </w:r>
            </w:hyperlink>
          </w:p>
        </w:tc>
        <w:tc>
          <w:tcPr>
            <w:tcW w:w="1340" w:type="dxa"/>
            <w:vAlign w:val="bottom"/>
            <w:tcBorders>
              <w:top w:val="single" w:sz="8" w:color="0000EE"/>
            </w:tcBorders>
            <w:gridSpan w:val="3"/>
          </w:tcPr>
          <w:p>
            <w:pPr>
              <w:jc w:val="right"/>
              <w:ind w:right="660"/>
              <w:spacing w:after="0"/>
              <w:rPr>
                <w:rFonts w:ascii="Arial" w:cs="Arial" w:eastAsia="Arial" w:hAnsi="Arial"/>
                <w:sz w:val="18"/>
                <w:szCs w:val="18"/>
                <w:color w:val="0000EE"/>
                <w:w w:val="94"/>
              </w:rPr>
            </w:pPr>
            <w:hyperlink w:anchor="page260">
              <w:r>
                <w:rPr>
                  <w:rFonts w:ascii="Arial" w:cs="Arial" w:eastAsia="Arial" w:hAnsi="Arial"/>
                  <w:sz w:val="18"/>
                  <w:szCs w:val="18"/>
                  <w:color w:val="0000EE"/>
                  <w:w w:val="94"/>
                </w:rPr>
                <w:t>30, 2018</w:t>
              </w:r>
            </w:hyperlink>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4"/>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Notes to the consolidated financial statements</w:t>
              </w:r>
            </w:hyperlink>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F-80</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20" w:type="dxa"/>
            <w:vAlign w:val="bottom"/>
            <w:gridSpan w:val="4"/>
          </w:tcPr>
          <w:p>
            <w:pPr>
              <w:ind w:left="80"/>
              <w:spacing w:after="0"/>
              <w:rPr>
                <w:sz w:val="20"/>
                <w:szCs w:val="20"/>
                <w:color w:val="auto"/>
              </w:rPr>
            </w:pPr>
            <w:r>
              <w:rPr>
                <w:rFonts w:ascii="Arial" w:cs="Arial" w:eastAsia="Arial" w:hAnsi="Arial"/>
                <w:sz w:val="18"/>
                <w:szCs w:val="18"/>
                <w:color w:val="auto"/>
              </w:rPr>
              <w:t>F-73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062980" cy="643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60629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Superior Digital Displays Holdings, Inc. and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121"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color w:val="auto"/>
        </w:rPr>
        <w:t>We have audited the accompanying consolidated financial statements of Superior Digital Displays Holdings, Inc. and Subsidiaries (the “Company”), which comprise the consolidated balance sheet as of September 30, 2018, and the related consolidated statements of operations, changes in stockholders’ deficit, and cash flows for the year then ended, and the related notes to the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Superior Digital Displays Holdings, Inc. and Subsidiaries as of September 30, 2018, and the consolidated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302895</wp:posOffset>
            </wp:positionV>
            <wp:extent cx="257175"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620520" cy="2228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16205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discussed in Notes A, D, and G, the Company relies on financing from a related party in order to meet its obligations.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177165</wp:posOffset>
            </wp:positionV>
            <wp:extent cx="257175" cy="2317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0219"/>
          </w:cols>
          <w:pgMar w:left="240" w:top="459" w:right="1440"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9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381,273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Cash</w:t>
            </w:r>
          </w:p>
        </w:tc>
        <w:tc>
          <w:tcPr>
            <w:tcW w:w="1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434,994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196,957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1,033,684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940" w:type="dxa"/>
            <w:vAlign w:val="bottom"/>
          </w:tcPr>
          <w:p>
            <w:pPr>
              <w:ind w:left="360"/>
              <w:spacing w:after="0"/>
              <w:rPr>
                <w:sz w:val="20"/>
                <w:szCs w:val="20"/>
                <w:color w:val="auto"/>
              </w:rPr>
            </w:pPr>
            <w:r>
              <w:rPr>
                <w:rFonts w:ascii="Arial" w:cs="Arial" w:eastAsia="Arial" w:hAnsi="Arial"/>
                <w:sz w:val="18"/>
                <w:szCs w:val="18"/>
                <w:color w:val="auto"/>
              </w:rPr>
              <w:t>Signs and equipment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6,573,860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9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89,202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40" w:type="dxa"/>
            <w:vAlign w:val="bottom"/>
          </w:tcPr>
          <w:p>
            <w:pPr>
              <w:ind w:left="720"/>
              <w:spacing w:after="0"/>
              <w:rPr>
                <w:sz w:val="20"/>
                <w:szCs w:val="20"/>
                <w:color w:val="auto"/>
              </w:rPr>
            </w:pPr>
            <w:r>
              <w:rPr>
                <w:rFonts w:ascii="Arial" w:cs="Arial" w:eastAsia="Arial" w:hAnsi="Arial"/>
                <w:sz w:val="18"/>
                <w:szCs w:val="18"/>
                <w:color w:val="auto"/>
              </w:rPr>
              <w:t>Deferred costs, net of accumulated amortization</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7,696,746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62,595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1,144,128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1,206,723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994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22,913,696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Related party notes payable,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long 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23,065,946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940" w:type="dxa"/>
            <w:vAlign w:val="bottom"/>
          </w:tcPr>
          <w:p>
            <w:pPr>
              <w:spacing w:after="0"/>
              <w:rPr>
                <w:sz w:val="20"/>
                <w:szCs w:val="20"/>
                <w:color w:val="auto"/>
              </w:rPr>
            </w:pPr>
            <w:r>
              <w:rPr>
                <w:rFonts w:ascii="Arial" w:cs="Arial" w:eastAsia="Arial" w:hAnsi="Arial"/>
                <w:sz w:val="18"/>
                <w:szCs w:val="18"/>
                <w:color w:val="auto"/>
              </w:rPr>
              <w:t>Commitments and contingencies (see Note J)</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940" w:type="dxa"/>
            <w:vAlign w:val="bottom"/>
          </w:tcPr>
          <w:p>
            <w:pPr>
              <w:ind w:left="360"/>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31,802,791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(48,387,635)</w:t>
            </w: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stockholders’ deficit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(16,575,923</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7,696,746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80"/>
          </w:cols>
          <w:pgMar w:left="240" w:top="460"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September 30, 2018</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1,985,715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7,662,362</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(5,676,647)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99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(3,577,999)</w:t>
            </w:r>
          </w:p>
        </w:tc>
        <w:tc>
          <w:tcPr>
            <w:tcW w:w="0" w:type="dxa"/>
            <w:vAlign w:val="bottom"/>
          </w:tcPr>
          <w:p>
            <w:pPr>
              <w:spacing w:after="0"/>
              <w:rPr>
                <w:sz w:val="1"/>
                <w:szCs w:val="1"/>
                <w:color w:val="auto"/>
              </w:rPr>
            </w:pPr>
          </w:p>
        </w:tc>
      </w:tr>
      <w:tr>
        <w:trPr>
          <w:trHeight w:val="212"/>
        </w:trPr>
        <w:tc>
          <w:tcPr>
            <w:tcW w:w="9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3"/>
        </w:trPr>
        <w:tc>
          <w:tcPr>
            <w:tcW w:w="9920" w:type="dxa"/>
            <w:vAlign w:val="bottom"/>
          </w:tcPr>
          <w:p>
            <w:pPr>
              <w:ind w:left="7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(3,578,089)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(9,254,736</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240" w:top="460" w:right="5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5"/>
              </w:rPr>
              <w:t>Superior Digital Displays Holdings, Inc.</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1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9"/>
              </w:rPr>
              <w:t>Common Stock</w:t>
            </w:r>
          </w:p>
        </w:tc>
        <w:tc>
          <w:tcPr>
            <w:tcW w:w="160" w:type="dxa"/>
            <w:vAlign w:val="bottom"/>
          </w:tcPr>
          <w:p>
            <w:pPr>
              <w:spacing w:after="0"/>
              <w:rPr>
                <w:sz w:val="12"/>
                <w:szCs w:val="12"/>
                <w:color w:val="auto"/>
              </w:rPr>
            </w:pPr>
          </w:p>
        </w:tc>
        <w:tc>
          <w:tcPr>
            <w:tcW w:w="112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Series B</w:t>
            </w: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Paid-</w:t>
            </w:r>
          </w:p>
        </w:tc>
        <w:tc>
          <w:tcPr>
            <w:tcW w:w="160" w:type="dxa"/>
            <w:vAlign w:val="bottom"/>
          </w:tcPr>
          <w:p>
            <w:pPr>
              <w:spacing w:after="0"/>
              <w:rPr>
                <w:sz w:val="12"/>
                <w:szCs w:val="12"/>
                <w:color w:val="auto"/>
              </w:rPr>
            </w:pPr>
          </w:p>
        </w:tc>
        <w:tc>
          <w:tcPr>
            <w:tcW w:w="12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Opening balance - October 1, 2017</w:t>
            </w: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3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2"/>
                <w:szCs w:val="12"/>
                <w:color w:val="auto"/>
              </w:rPr>
            </w:pPr>
          </w:p>
        </w:tc>
        <w:tc>
          <w:tcPr>
            <w:tcW w:w="6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in Capital</w:t>
            </w:r>
          </w:p>
        </w:tc>
        <w:tc>
          <w:tcPr>
            <w:tcW w:w="160" w:type="dxa"/>
            <w:vAlign w:val="bottom"/>
          </w:tcPr>
          <w:p>
            <w:pPr>
              <w:spacing w:after="0"/>
              <w:rPr>
                <w:sz w:val="12"/>
                <w:szCs w:val="12"/>
                <w:color w:val="auto"/>
              </w:rPr>
            </w:pPr>
          </w:p>
        </w:tc>
        <w:tc>
          <w:tcPr>
            <w:tcW w:w="12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3300" w:type="dxa"/>
            <w:vAlign w:val="bottom"/>
            <w:vMerge w:val="continue"/>
          </w:tcPr>
          <w:p>
            <w:pPr>
              <w:spacing w:after="0"/>
              <w:rPr>
                <w:sz w:val="19"/>
                <w:szCs w:val="19"/>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19,793</w:t>
            </w:r>
          </w:p>
        </w:tc>
        <w:tc>
          <w:tcPr>
            <w:tcW w:w="160" w:type="dxa"/>
            <w:vAlign w:val="bottom"/>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9"/>
              </w:rPr>
              <w:t>198</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37,046</w:t>
            </w:r>
          </w:p>
        </w:tc>
        <w:tc>
          <w:tcPr>
            <w:tcW w:w="18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370</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479,158</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21,201,367</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(39,132,899)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(17,926,172)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300" w:type="dxa"/>
            <w:vAlign w:val="bottom"/>
          </w:tcPr>
          <w:p>
            <w:pPr>
              <w:spacing w:after="0"/>
              <w:rPr>
                <w:sz w:val="20"/>
                <w:szCs w:val="20"/>
                <w:color w:val="auto"/>
              </w:rPr>
            </w:pPr>
            <w:r>
              <w:rPr>
                <w:rFonts w:ascii="Arial" w:cs="Arial" w:eastAsia="Arial" w:hAnsi="Arial"/>
                <w:sz w:val="18"/>
                <w:szCs w:val="18"/>
                <w:color w:val="auto"/>
                <w:w w:val="97"/>
              </w:rPr>
              <w:t>Issuance of preferred stock - Series B, net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w w:val="94"/>
              </w:rPr>
              <w:t>of equity issuance costs of approximately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$75,000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356,082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10,601,424</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10,604,985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(9,254,736)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(9,254,736)</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Closing balance - September 30, 2018</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19,793</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198</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37,046</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370</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835,240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$ 8,353</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$ 31,802,791</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(48,387,635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(16,575,923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240" w:top="460"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September 30,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original debt discount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paid in kind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 decrease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Accrued expenses</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used in operating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Payments for purchases of signs and equipment</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used in investing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Proceeds from note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Repayment on note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Repayment on related party notes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Proceeds from issuance of preferred stock</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provided by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change in cash</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at beginning of year</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at end of year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disclosure of cash paid: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7" w:lineRule="exact"/>
        <w:rPr>
          <w:sz w:val="20"/>
          <w:szCs w:val="20"/>
          <w:color w:val="auto"/>
        </w:rPr>
      </w:pPr>
    </w:p>
    <w:p>
      <w:pPr>
        <w:ind w:left="200" w:right="2837" w:firstLine="360"/>
        <w:spacing w:after="0" w:line="414" w:lineRule="auto"/>
        <w:rPr>
          <w:sz w:val="20"/>
          <w:szCs w:val="20"/>
          <w:color w:val="auto"/>
        </w:rPr>
      </w:pPr>
      <w:r>
        <w:rPr>
          <w:rFonts w:ascii="Arial" w:cs="Arial" w:eastAsia="Arial" w:hAnsi="Arial"/>
          <w:sz w:val="18"/>
          <w:szCs w:val="18"/>
          <w:color w:val="auto"/>
        </w:rPr>
        <w:t xml:space="preserve">Mutual release of outstanding payable balance for purchase of signs and equipment </w:t>
      </w:r>
      <w:r>
        <w:rPr>
          <w:rFonts w:ascii="Arial" w:cs="Arial" w:eastAsia="Arial" w:hAnsi="Arial"/>
          <w:sz w:val="18"/>
          <w:szCs w:val="18"/>
          <w:i w:val="1"/>
          <w:iCs w:val="1"/>
          <w:color w:val="auto"/>
        </w:rPr>
        <w:t>See accompanying notes to the consolidated financial statements</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 (9,254,736)</w:t>
      </w:r>
    </w:p>
    <w:p>
      <w:pPr>
        <w:spacing w:after="0" w:line="23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4,082,336</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23,000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551,773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541,731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2,822,470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(236,715)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(51,044)</w:t>
      </w:r>
    </w:p>
    <w:p>
      <w:pPr>
        <w:spacing w:after="0" w:line="207" w:lineRule="exact"/>
        <w:rPr>
          <w:sz w:val="20"/>
          <w:szCs w:val="20"/>
          <w:color w:val="auto"/>
        </w:rPr>
      </w:pPr>
    </w:p>
    <w:p>
      <w:pPr>
        <w:ind w:left="483"/>
        <w:spacing w:after="0"/>
        <w:rPr>
          <w:sz w:val="20"/>
          <w:szCs w:val="20"/>
          <w:color w:val="auto"/>
        </w:rPr>
      </w:pPr>
      <w:r>
        <w:rPr>
          <w:rFonts w:ascii="Arial" w:cs="Arial" w:eastAsia="Arial" w:hAnsi="Arial"/>
          <w:sz w:val="18"/>
          <w:szCs w:val="18"/>
          <w:b w:val="1"/>
          <w:bCs w:val="1"/>
          <w:color w:val="auto"/>
        </w:rPr>
        <w:t>25,002</w:t>
      </w:r>
    </w:p>
    <w:p>
      <w:pPr>
        <w:spacing w:after="0" w:line="27"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169,335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2611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(1,326,848)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182,352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(183,950)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(8,970,000)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10,604,985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261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ind w:left="263"/>
        <w:spacing w:after="0"/>
        <w:rPr>
          <w:sz w:val="20"/>
          <w:szCs w:val="20"/>
          <w:color w:val="auto"/>
        </w:rPr>
      </w:pPr>
      <w:r>
        <w:rPr>
          <w:rFonts w:ascii="Arial" w:cs="Arial" w:eastAsia="Arial" w:hAnsi="Arial"/>
          <w:sz w:val="17"/>
          <w:szCs w:val="17"/>
          <w:b w:val="1"/>
          <w:bCs w:val="1"/>
          <w:color w:val="auto"/>
        </w:rPr>
        <w:t>1,633,387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261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8"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240,701</w:t>
      </w:r>
    </w:p>
    <w:p>
      <w:pPr>
        <w:spacing w:after="0" w:line="39"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140,572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261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9" w:lineRule="exact"/>
        <w:rPr>
          <w:sz w:val="20"/>
          <w:szCs w:val="20"/>
          <w:color w:val="auto"/>
        </w:rPr>
      </w:pPr>
    </w:p>
    <w:p>
      <w:pPr>
        <w:ind w:left="403" w:hanging="403"/>
        <w:spacing w:after="0"/>
        <w:tabs>
          <w:tab w:leader="none" w:pos="403" w:val="left"/>
        </w:tabs>
        <w:numPr>
          <w:ilvl w:val="0"/>
          <w:numId w:val="11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381,273</w:t>
      </w:r>
    </w:p>
    <w:p>
      <w:pPr>
        <w:spacing w:after="0" w:line="290" w:lineRule="exact"/>
        <w:rPr>
          <w:rFonts w:ascii="Arial" w:cs="Arial" w:eastAsia="Arial" w:hAnsi="Arial"/>
          <w:sz w:val="17"/>
          <w:szCs w:val="17"/>
          <w:b w:val="1"/>
          <w:bCs w:val="1"/>
          <w:u w:val="single" w:color="auto"/>
          <w:color w:val="auto"/>
        </w:rPr>
      </w:pPr>
    </w:p>
    <w:p>
      <w:pPr>
        <w:ind w:left="583" w:hanging="583"/>
        <w:spacing w:after="0"/>
        <w:tabs>
          <w:tab w:leader="none" w:pos="58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5,579</w:t>
      </w:r>
    </w:p>
    <w:p>
      <w:pPr>
        <w:spacing w:after="0" w:line="333" w:lineRule="exact"/>
        <w:rPr>
          <w:rFonts w:ascii="Arial" w:cs="Arial" w:eastAsia="Arial" w:hAnsi="Arial"/>
          <w:sz w:val="18"/>
          <w:szCs w:val="18"/>
          <w:b w:val="1"/>
          <w:bCs w:val="1"/>
          <w:color w:val="auto"/>
        </w:rPr>
      </w:pPr>
    </w:p>
    <w:p>
      <w:pPr>
        <w:ind w:left="403" w:hanging="403"/>
        <w:spacing w:after="0"/>
        <w:tabs>
          <w:tab w:leader="none" w:pos="403"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190,928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-608965</wp:posOffset>
            </wp:positionV>
            <wp:extent cx="6261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ectPr>
          <w:pgSz w:w="11900" w:h="16838" w:orient="portrait"/>
          <w:cols w:equalWidth="0" w:num="2">
            <w:col w:w="9397" w:space="720"/>
            <w:col w:w="1043"/>
          </w:cols>
          <w:pgMar w:left="240" w:top="460"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A - O</w:t>
      </w:r>
      <w:r>
        <w:rPr>
          <w:rFonts w:ascii="Arial" w:cs="Arial" w:eastAsia="Arial" w:hAnsi="Arial"/>
          <w:sz w:val="15"/>
          <w:szCs w:val="15"/>
          <w:b w:val="1"/>
          <w:bCs w:val="1"/>
          <w:color w:val="auto"/>
        </w:rPr>
        <w:t>RGANIZATION AND</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PERATIONS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IQUIDITY</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Superior Digital Displays Holdings, Inc. (“Holdings”) and its wholly-owned subsidiaries, Superior Digital Displays, LLC (“SDD”) and Sign 5, LLC (“Sign 5”) (collectively, referred to as the “Company”) are focused on developing the outdoor advertising business primarily through operating outdoor digital billboard advertising displays.</w:t>
      </w:r>
    </w:p>
    <w:p>
      <w:pPr>
        <w:spacing w:after="0" w:line="181"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Holdings was incorporated on November 25, 2013 in the state of Delaware. SDD, a limited liability company, was formed in the state of Florida on September 3, 2009. Sign 5, a limited liability company and wholly-owned subsidiary of SDD, was formed in the state of Delaware on September 21, 2012.</w:t>
      </w:r>
    </w:p>
    <w:p>
      <w:pPr>
        <w:spacing w:after="0" w:line="18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On December 30, 2013, the Company entered into a Stockholders’ Agreement with both existing shareholders and new shareholders, as well as a debt financing agreement (see Note D) with one of the new shareholders. In connection therewith, a) the members of SDD exchanged their ownership interests in SDD for 4,950 shares of common stock of Holdings, b) a new shareholder, in exchange for $2,211,000, was issued 4,950 shares in Holdings of which 200 shares were transferred to another entity, and c) Holdings issued 100 shares of common stock to an entity in exchange for financial advisory services. At December 31, 2013, the majority of the Board of Directors of Holdings represented parties that were investors in SDD and Sign 5. Certain decisions require the consent of the shareholder providing the debt financing. As such, although the former owners of SDD were issued 49.5% of Holdings’ common stock, control was not deemed to have changed at the time of formation based on the composition of the Board and the governance structure. Accordingly, the formation of Holdings was treated as a reorganization of SDD, with the investment of the shareholder providing the debt financing being treated as an equity contribution and no change to the carrying value of the assets and liabilities of SDD and Sign 5.</w:t>
      </w:r>
    </w:p>
    <w:p>
      <w:pPr>
        <w:spacing w:after="0" w:line="16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Through December 31, 2013, the Company had been primarily focused on securing a financing agreement and developing its first digital display, Sign 5 located at 3 Times Square, New York, NY, which entered into startup mode in December 2013. During the year ended December 31, 2014, the Company placed an additional 3 signs, known as the Triple Play and located at 729 Seventh Avenue, New York, NY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65"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For the year ended September 30, 2018, the Company has net operating losses of approximately $9,255,000 and cash flow deficiencies from operating activities of approximately $1,327,000. Until such time the Company achieves positive cash flows, the Company will be dependent upon its majority stockholder for financial support. The majority stockholder has agreed to provide required financial support through at least December 31, 2019. Refer to Note D and G for additional information regarding the Company’s liquidity and financing arrangements with the majority stockholder.</w:t>
      </w:r>
    </w:p>
    <w:p>
      <w:pPr>
        <w:spacing w:after="0" w:line="154"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During the year ended September 30, 2018, the Company changed its fiscal year end from December 31 to September 30. The accompanying consolidated financial statements represent 12 months of activity through September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p>
    <w:p>
      <w:pPr>
        <w:spacing w:after="0" w:line="131"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rFonts w:ascii="Arial" w:cs="Arial" w:eastAsia="Arial" w:hAnsi="Arial"/>
          <w:sz w:val="18"/>
          <w:szCs w:val="18"/>
          <w:b w:val="1"/>
          <w:bCs w:val="1"/>
          <w:color w:val="auto"/>
        </w:rPr>
      </w:pPr>
    </w:p>
    <w:p>
      <w:pPr>
        <w:ind w:left="640" w:right="5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include Superior Digital Displays Holdings, Inc., and its wholly-owned subsidiaries, Superior Digital Displays, LLC and Sign 5, LLC. All inter-company transactions and balances have been eliminated in consolidation.</w:t>
      </w:r>
    </w:p>
    <w:p>
      <w:pPr>
        <w:spacing w:after="0" w:line="268"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6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outdoor advertising revenue on an accrual basis ratably over the term of the contracts.</w:t>
      </w:r>
    </w:p>
    <w:p>
      <w:pPr>
        <w:spacing w:after="0" w:line="369"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at times, may maintain cash balances in bank accounts in excess of amounts insured by the Federal Deposit Insurance Corporation (“FDIC”). The Company has not experienced any losses in such accounts as of September 30, 2018, and does not anticipate incurring any such losses in the future.</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121" w:lineRule="exact"/>
        <w:rPr>
          <w:rFonts w:ascii="Arial" w:cs="Arial" w:eastAsia="Arial" w:hAnsi="Arial"/>
          <w:sz w:val="18"/>
          <w:szCs w:val="18"/>
          <w:b w:val="1"/>
          <w:bCs w:val="1"/>
          <w:color w:val="auto"/>
        </w:rPr>
      </w:pPr>
    </w:p>
    <w:p>
      <w:pPr>
        <w:ind w:left="6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reported net of an allowance for doubtful accounts. The Company maintains an allowance for estimated losses resulting from the inability of customers to make required payments as deemed necessary. The collectability of outstanding customer invoices is continuously assessed. In estimating the allowance, the Company considers factors such as historical collections, a customer’s credit-worthiness, age of the receivable balance, both individually and in the aggregate, and general economic conditions that may affect a customer’s ability to pay. Actual customer collections could differ from those estimates, requiring additional adjustments to the allowance for doubtful accounts. There was an allowance for doubtful accounts recorded at September 30, 2018 of $8,932.</w:t>
      </w:r>
    </w:p>
    <w:p>
      <w:pPr>
        <w:spacing w:after="0" w:line="323"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w:t>
      </w:r>
    </w:p>
    <w:p>
      <w:pPr>
        <w:spacing w:after="0" w:line="121"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stated at cost, less accumulated depreciation. Expenditures for major additions and betterments are capitalized. Maintenance and repairs are charged to operations as incurred. Upon sale or retirement of signs and equipment, the related cost and accumulated depreciation are removed from the accounts and any gain or loss is reflected in operations.</w:t>
      </w:r>
    </w:p>
    <w:p>
      <w:pPr>
        <w:spacing w:after="0" w:line="73"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recoverability of the investment in long-lived assets on an ongoing basis and recognizes any impairment in the year of determination. Long-lived assets were tested for impairment as of September 30, 2018, and in the opinion of management there was no impairment. It is reasonably possible that relevant conditions could change in the near term and necessitate a change in management’s estimate of the recoverability of these assets.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240" w:top="459" w:right="5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 (continued)</w:t>
      </w:r>
    </w:p>
    <w:p>
      <w:pPr>
        <w:spacing w:after="0" w:line="134"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affixed to the building and become property of the lessor. Depreciation for signs and equipment is calculated using the straight-line method over the lesser of the estimated life of the asset or term of the lease. The Company estimates the signs’ depreciable lives to be 5 years.</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lease agreement, the Company entered into an escrow agreement for construction and installation related costs. The Company disbursed funds to an escrow account for future construction and installation payments. As of September 30, 2018, the landlord held $20,460 in escrow on behalf of the Company to be held and disbursed in accordance with the terms specified in the lease agreement. Funds held in escrow are disbursed upon receipt of a written request submitted by the Company and to be used for the purpose of paying vendors during the term of the escrow agreement. Upon completion of all construction, any unused funds will be returned to the Company upon satisfaction of all outstanding liabilities.</w:t>
      </w:r>
    </w:p>
    <w:p>
      <w:pPr>
        <w:spacing w:after="0" w:line="337" w:lineRule="exact"/>
        <w:rPr>
          <w:rFonts w:ascii="Arial" w:cs="Arial" w:eastAsia="Arial" w:hAnsi="Arial"/>
          <w:sz w:val="18"/>
          <w:szCs w:val="18"/>
          <w:b w:val="1"/>
          <w:bCs w:val="1"/>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 and original issue discount: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costs associated with obtaining financing have been capitalized and are being amortized over the term of the financing agreement (see Note</w:t>
      </w:r>
    </w:p>
    <w:p>
      <w:pPr>
        <w:spacing w:after="0" w:line="46" w:lineRule="exact"/>
        <w:rPr>
          <w:sz w:val="20"/>
          <w:szCs w:val="20"/>
          <w:color w:val="auto"/>
        </w:rPr>
      </w:pPr>
    </w:p>
    <w:p>
      <w:pPr>
        <w:ind w:left="640" w:right="660" w:firstLine="4"/>
        <w:spacing w:after="0" w:line="323" w:lineRule="auto"/>
        <w:tabs>
          <w:tab w:leader="none" w:pos="8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using the effective interest method. Should the maturity of the debt become accelerated then the unamortized costs will be written off. Amortization expense is included in the accompanying consolidated statement of operations as a component of interest expense.</w:t>
      </w:r>
    </w:p>
    <w:p>
      <w:pPr>
        <w:spacing w:after="0" w:line="31" w:lineRule="exact"/>
        <w:rPr>
          <w:sz w:val="20"/>
          <w:szCs w:val="20"/>
          <w:color w:val="auto"/>
        </w:rPr>
      </w:pPr>
    </w:p>
    <w:p>
      <w:pPr>
        <w:ind w:left="640" w:right="340"/>
        <w:spacing w:after="0" w:line="259" w:lineRule="auto"/>
        <w:rPr>
          <w:sz w:val="20"/>
          <w:szCs w:val="20"/>
          <w:color w:val="auto"/>
        </w:rPr>
      </w:pPr>
      <w:r>
        <w:rPr>
          <w:rFonts w:ascii="Arial" w:cs="Arial" w:eastAsia="Arial" w:hAnsi="Arial"/>
          <w:sz w:val="18"/>
          <w:szCs w:val="18"/>
          <w:color w:val="auto"/>
        </w:rPr>
        <w:t xml:space="preserve">Effective January 1, 2014, the Company adopted Financial Accounting Standards Board (“FASB”) Accounting Standards Update (“ASU”)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xml:space="preserve"> (“ASU 2015-03”) which requires that debt issuance costs related to a recognized debt liability be presented in the balance sheet as a direct deduction from the carrying amount of that debt liability, consistent with debt discounts.</w:t>
      </w:r>
    </w:p>
    <w:p>
      <w:pPr>
        <w:spacing w:after="0" w:line="79"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original issue discount on the related party notes payable is being accreted to interest expense over the term of the loan using the effective interest method. The associated financing agreement was executed on December 30, 2013 and the accretion of the original issue discount commenced on December 31, 2013. At September 30, 2018, unamortized discount approximated $146,000. Subsequent to year end, the First Lien maturity date was extended to December 31, 2019.</w:t>
      </w:r>
    </w:p>
    <w:p>
      <w:pPr>
        <w:spacing w:after="0" w:line="79"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For the year ended September 30, 2018, amortization of debt issuance costs original issue discount approximated $552,000 and $542,000,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amortization of debt issuance costs and original issue discount approximates as follows:</w:t>
      </w: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w w:val="96"/>
              </w:rPr>
              <w:t>Years Ending</w:t>
            </w:r>
          </w:p>
        </w:tc>
        <w:tc>
          <w:tcPr>
            <w:tcW w:w="47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Debt Issuance</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Original Issue</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September 30,</w:t>
            </w:r>
          </w:p>
        </w:tc>
        <w:tc>
          <w:tcPr>
            <w:tcW w:w="474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Costs</w:t>
            </w: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Discount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474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  118,000</w:t>
            </w:r>
          </w:p>
        </w:tc>
        <w:tc>
          <w:tcPr>
            <w:tcW w:w="5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   116,000</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$234,000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6180" w:type="dxa"/>
            <w:vAlign w:val="bottom"/>
            <w:gridSpan w:val="3"/>
          </w:tcPr>
          <w:p>
            <w:pPr>
              <w:jc w:val="right"/>
              <w:ind w:right="580"/>
              <w:spacing w:after="0"/>
              <w:rPr>
                <w:sz w:val="20"/>
                <w:szCs w:val="20"/>
                <w:color w:val="auto"/>
              </w:rPr>
            </w:pPr>
            <w:r>
              <w:rPr>
                <w:rFonts w:ascii="Arial" w:cs="Arial" w:eastAsia="Arial" w:hAnsi="Arial"/>
                <w:sz w:val="18"/>
                <w:szCs w:val="18"/>
                <w:color w:val="auto"/>
              </w:rPr>
              <w:t>31,000</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121"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securing certain operating leases have been capitalized and are being amortized over the term of the lease on a straight-line basis. Depreciation and amortization expense is included in the accompanying consolidated statements of operations as a component of operating expenses.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80"/>
          </w:cols>
          <w:pgMar w:left="240" w:top="460"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tab/>
        <w:t>Deferred costs: (continued)</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Deferred costs are approximately as follows at September 30, 2018:</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costs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costs, net of accumulated amortization</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Amortization expense for the year ended September 30, 2018 was $35,000.</w:t>
            </w: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Arial" w:cs="Arial" w:eastAsia="Arial" w:hAnsi="Arial"/>
                <w:sz w:val="18"/>
                <w:szCs w:val="18"/>
                <w:color w:val="auto"/>
                <w:w w:val="94"/>
              </w:rPr>
              <w:t>Future amortization expense for each of the years ending September 30 is approximately as follows: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$ 35,000</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53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1340"/>
              <w:spacing w:after="0"/>
              <w:rPr>
                <w:sz w:val="20"/>
                <w:szCs w:val="20"/>
                <w:color w:val="auto"/>
              </w:rPr>
            </w:pPr>
            <w:r>
              <w:rPr>
                <w:rFonts w:ascii="Arial" w:cs="Arial" w:eastAsia="Arial" w:hAnsi="Arial"/>
                <w:sz w:val="18"/>
                <w:szCs w:val="18"/>
                <w:color w:val="auto"/>
              </w:rPr>
              <w:t>2020</w:t>
            </w:r>
          </w:p>
        </w:tc>
        <w:tc>
          <w:tcPr>
            <w:tcW w:w="53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2220" w:type="dxa"/>
            <w:vAlign w:val="bottom"/>
            <w:gridSpan w:val="2"/>
          </w:tcPr>
          <w:p>
            <w:pPr>
              <w:ind w:left="1340"/>
              <w:spacing w:after="0"/>
              <w:rPr>
                <w:sz w:val="20"/>
                <w:szCs w:val="20"/>
                <w:color w:val="auto"/>
              </w:rPr>
            </w:pPr>
            <w:r>
              <w:rPr>
                <w:rFonts w:ascii="Arial" w:cs="Arial" w:eastAsia="Arial" w:hAnsi="Arial"/>
                <w:sz w:val="18"/>
                <w:szCs w:val="18"/>
                <w:color w:val="auto"/>
              </w:rPr>
              <w:t>2021</w:t>
            </w:r>
          </w:p>
        </w:tc>
        <w:tc>
          <w:tcPr>
            <w:tcW w:w="538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right="1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Prior to December 30, 2013, SDD and Sign 5 were limited liability companies that had elected to be taxed as partnerships for federal and state income tax purposes. All income or losses were included in the members’ tax returns. On December 30, 2013, members of SDD and Sign 5 transferred their membership interest in SDD and Sign 5 to Holdings in exchange for shares of the Holdings stock. SDD and Sign 5 effectively became single member LLCs and disregarded entities for income tax purposes. All income and losses incurred for the year ended September 30, 2018 were included in Holdings’ tax returns. Holdings is taxed as a C Corporation for federal and state income tax purposes.</w:t>
      </w:r>
    </w:p>
    <w:p>
      <w:pPr>
        <w:spacing w:after="0" w:line="50" w:lineRule="exact"/>
        <w:rPr>
          <w:rFonts w:ascii="Arial" w:cs="Arial" w:eastAsia="Arial" w:hAnsi="Arial"/>
          <w:sz w:val="18"/>
          <w:szCs w:val="18"/>
          <w:b w:val="1"/>
          <w:bCs w:val="1"/>
          <w:color w:val="auto"/>
        </w:rPr>
      </w:pPr>
    </w:p>
    <w:p>
      <w:pPr>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applies the elements of FASB ASC 740-10 </w:t>
      </w:r>
      <w:r>
        <w:rPr>
          <w:rFonts w:ascii="Arial" w:cs="Arial" w:eastAsia="Arial" w:hAnsi="Arial"/>
          <w:sz w:val="17"/>
          <w:szCs w:val="17"/>
          <w:i w:val="1"/>
          <w:iCs w:val="1"/>
          <w:color w:val="auto"/>
        </w:rPr>
        <w:t>“Income Taxes – Overall”</w:t>
      </w:r>
      <w:r>
        <w:rPr>
          <w:rFonts w:ascii="Arial" w:cs="Arial" w:eastAsia="Arial" w:hAnsi="Arial"/>
          <w:sz w:val="17"/>
          <w:szCs w:val="17"/>
          <w:color w:val="auto"/>
        </w:rPr>
        <w:t xml:space="preserve">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The Company was organized 2013 and began operations in 2014. Tax years beginning in 2013 are generally subject to examination by taxing authorities, although net operating losses from all years are subject to examinations and adjustments for at least three years following the year in which the attributes are used.</w:t>
      </w:r>
    </w:p>
    <w:p>
      <w:pPr>
        <w:spacing w:after="0" w:line="323" w:lineRule="exact"/>
        <w:rPr>
          <w:rFonts w:ascii="Arial" w:cs="Arial" w:eastAsia="Arial" w:hAnsi="Arial"/>
          <w:sz w:val="18"/>
          <w:szCs w:val="18"/>
          <w:b w:val="1"/>
          <w:bCs w:val="1"/>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events subsequent to September 30, 2018 through November 13, 2018, the date that these consolidated financial statements were available to be issued.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rFonts w:ascii="Arial" w:cs="Arial" w:eastAsia="Arial" w:hAnsi="Arial"/>
          <w:sz w:val="18"/>
          <w:szCs w:val="18"/>
          <w:b w:val="1"/>
          <w:bCs w:val="1"/>
          <w:color w:val="auto"/>
        </w:rPr>
      </w:pPr>
    </w:p>
    <w:p>
      <w:pPr>
        <w:ind w:left="640" w:right="1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2014, the Financial Accounting Standards Board (“FASB”) issued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requires that an entity recognize the amount of revenue to which it expects to be entitled for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to its customers. In order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replace existing revenue recognition guidance under U.S. GAAP when it becomes effective for annual reporting periods beginning after December 15, 2018, with early adoption permitted as of the original effective date. The updated standard will permit the use of either the retrospective or cumulative effect transition method. The Company is currently evaluating the impact of this update on its consolidated financial statements, which will be effective for the Company for the fiscal year commencing on December 30, 2018.</w:t>
      </w:r>
    </w:p>
    <w:p>
      <w:pPr>
        <w:spacing w:after="0" w:line="58" w:lineRule="exact"/>
        <w:rPr>
          <w:rFonts w:ascii="Arial" w:cs="Arial" w:eastAsia="Arial" w:hAnsi="Arial"/>
          <w:sz w:val="18"/>
          <w:szCs w:val="18"/>
          <w:b w:val="1"/>
          <w:bCs w:val="1"/>
          <w:color w:val="auto"/>
        </w:rPr>
      </w:pPr>
    </w:p>
    <w:p>
      <w:pPr>
        <w:ind w:left="6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January of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generally requires companies to measure investments in equity securities, except those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at fair value and recognize any changes in fair value in net income. The new guidance must be applied using a modified-retrospective approach and is effective for periods beginning after December 15, 2018 and early adoption is not permitted. The Company is currently evaluating the impact on the consolidated financial statements.</w:t>
      </w:r>
    </w:p>
    <w:p>
      <w:pPr>
        <w:spacing w:after="0" w:line="64" w:lineRule="exact"/>
        <w:rPr>
          <w:rFonts w:ascii="Arial" w:cs="Arial" w:eastAsia="Arial" w:hAnsi="Arial"/>
          <w:sz w:val="18"/>
          <w:szCs w:val="18"/>
          <w:b w:val="1"/>
          <w:bCs w:val="1"/>
          <w:color w:val="auto"/>
        </w:rPr>
      </w:pPr>
    </w:p>
    <w:p>
      <w:pPr>
        <w:ind w:left="6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 February of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private companies, ASU 2016-02 is effective for annual reporting periods beginning after December 15, 2019, and interim periods within fiscal years beginning after December 15, 2020. Early adoption is permitted. The Company is in the process of evaluating the future impact of ASU 2016-02 on the consolidated financial statements.</w:t>
      </w:r>
    </w:p>
    <w:p>
      <w:pPr>
        <w:spacing w:after="0" w:line="69"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of 2016, the FASB issued ASU No. 2016-13</w:t>
      </w:r>
      <w:r>
        <w:rPr>
          <w:rFonts w:ascii="Arial" w:cs="Arial" w:eastAsia="Arial" w:hAnsi="Arial"/>
          <w:sz w:val="18"/>
          <w:szCs w:val="18"/>
          <w:i w:val="1"/>
          <w:iCs w:val="1"/>
          <w:color w:val="auto"/>
        </w:rPr>
        <w:t>, “Financial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replaces the incurred loss impairment methodology in current GAAP with a methodology that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and requires consideration of a broader range of reasonable and supportable information to inform credit loss estimates. The new guidance is effective for fiscal years beginning after December 15, 2020. The Company is in the process of evaluating the future impact of ASU 2016-13 on the consolidated financial statements.</w:t>
      </w:r>
    </w:p>
    <w:p>
      <w:pPr>
        <w:spacing w:after="0" w:line="80" w:lineRule="exact"/>
        <w:rPr>
          <w:rFonts w:ascii="Arial" w:cs="Arial" w:eastAsia="Arial" w:hAnsi="Arial"/>
          <w:sz w:val="18"/>
          <w:szCs w:val="18"/>
          <w:b w:val="1"/>
          <w:bCs w:val="1"/>
          <w:color w:val="auto"/>
        </w:rPr>
      </w:pPr>
    </w:p>
    <w:p>
      <w:pPr>
        <w:jc w:val="both"/>
        <w:ind w:left="6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of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clarifies how certain cash receipts and payments should be presented in the statement of cash flows. The guidance is effective for fiscal years beginning after December 15, 2018 with early adoption permitted. The Company is in the process of evaluating the future impact of ASU 2016-15 on the consolidated financial statements.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00"/>
          </w:cols>
          <w:pgMar w:left="24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(continued)</w:t>
      </w:r>
    </w:p>
    <w:p>
      <w:pPr>
        <w:spacing w:after="0" w:line="134"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provides guidance on the presentation of restricted cash or restricted cash equivalents in the statement of cash flows. ASU 2016-18 is effective for fiscal years beginning after December 15, 2018. The Company is in the process of evaluating the future impact of ASU 2016-18 on the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C - S</w:t>
      </w:r>
      <w:r>
        <w:rPr>
          <w:rFonts w:ascii="Arial" w:cs="Arial" w:eastAsia="Arial" w:hAnsi="Arial"/>
          <w:sz w:val="15"/>
          <w:szCs w:val="15"/>
          <w:b w:val="1"/>
          <w:bCs w:val="1"/>
          <w:color w:val="auto"/>
        </w:rPr>
        <w:t>IGNS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2018, signs and equipment approximated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Signs and equipment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20,050,000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(13,476,000)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Signs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6,574,000</w:t>
            </w:r>
          </w:p>
        </w:tc>
        <w:tc>
          <w:tcPr>
            <w:tcW w:w="4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for the year ended September 30, 2018 approximated $4,047,000.</w:t>
      </w:r>
    </w:p>
    <w:p>
      <w:pPr>
        <w:spacing w:after="0" w:line="225"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Through December 31, 2013, the Company placed its first digital display, Sign 5, located at 3 Times Square, into startup mode. During the year ended December 31, 2014, the Company placed an additional 3 signs, known as the Triple Play, and located at 729 Seventh Avenue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5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During the year ended September 30, 2018, in connection with the execution of a Settlement Agreement and Mutual Release with a supplier of the Company’s signs and equipment, outstanding obligations previously recorded under accounts payable on the accompanying consolidated balance sheet were released in the amount of approximately $191,000.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p>
    <w:p>
      <w:pPr>
        <w:spacing w:after="0" w:line="131"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w:t>
      </w:r>
    </w:p>
    <w:p>
      <w:pPr>
        <w:spacing w:after="0" w:line="121" w:lineRule="exact"/>
        <w:rPr>
          <w:rFonts w:ascii="Arial" w:cs="Arial" w:eastAsia="Arial" w:hAnsi="Arial"/>
          <w:sz w:val="18"/>
          <w:szCs w:val="18"/>
          <w:b w:val="1"/>
          <w:bCs w:val="1"/>
          <w:color w:val="auto"/>
        </w:rPr>
      </w:pPr>
    </w:p>
    <w:p>
      <w:pPr>
        <w:ind w:left="64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30, 2013, the Company entered into a First Lien Credit Agreement (the “First Lien”) with aggregate borrowings of $25,000,000 available for draw through February of 2015. As of February 2015, all available borrowings under the agreement were fully drawn, accruing interest at LIBOR plus 12.5% compounded quarterly, allowing the Company, in its discretion, to pay interest in kind at a rate of LIBOR plus 13%. In June of 2017 and March of 2018, the applicable margin was reduced to 9.00% and 5.50%, respectively, through amendments to the First Lien.</w:t>
      </w:r>
    </w:p>
    <w:p>
      <w:pPr>
        <w:spacing w:after="0" w:line="46"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Principal borrowings were scheduled to be repaid in consecutive quarterly installments, plus accrued interest, consistent with the terms of the agreement commencing June of 2016. The Company executed waivers and amendments to the First Lien, waiving all quarterly covenant violations and delaying required quarterly payments through December 31, 2018. In conjunction with an amendment executed in October of 2018, all quarterly debt covenant requirements were removed from the agreement and all remaining principal and interest is due upon maturity on December 31, 2019.</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00"/>
          </w:cols>
          <w:pgMar w:left="240" w:top="460"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 (continued)</w:t>
      </w:r>
    </w:p>
    <w:p>
      <w:pPr>
        <w:spacing w:after="0" w:line="134"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and June of 2018, the Company utilized proceeds of approximately $6,970,000 and $2,000,000, respectively, from the issuance of Series B Preferred Stock to repay principal and accrued interest on the First Lien.</w:t>
      </w:r>
    </w:p>
    <w:p>
      <w:pPr>
        <w:spacing w:after="0" w:line="62" w:lineRule="exact"/>
        <w:rPr>
          <w:rFonts w:ascii="Arial" w:cs="Arial" w:eastAsia="Arial" w:hAnsi="Arial"/>
          <w:sz w:val="18"/>
          <w:szCs w:val="18"/>
          <w:b w:val="1"/>
          <w:bCs w:val="1"/>
          <w:color w:val="auto"/>
        </w:rPr>
      </w:pPr>
    </w:p>
    <w:p>
      <w:pPr>
        <w:ind w:left="64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at its discretion, may pay interest in kind accrued at the applicable margin on a quarterly basis. During the year ended September 30, 2018, approximately $2,822,000 of interest was paid in kind of which $2,479,000 was expensed during the year ended September 30, 2018. As of September 30, 2018, approximately $460,000 of interest was accrued and included in accrued expenses and other current liabilities on the accompanying consolidated balance sheet.</w:t>
      </w:r>
    </w:p>
    <w:p>
      <w:pPr>
        <w:spacing w:after="0" w:line="18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Related party notes payable at September 30, 2018 approximated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Principal borrowings: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First lien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$ 23,209,000</w:t>
            </w:r>
          </w:p>
        </w:tc>
        <w:tc>
          <w:tcPr>
            <w:tcW w:w="6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Unamortized original issue discount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(146,000)</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Unamortized debt issuance costs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(149,000)</w:t>
            </w: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Related party notes payable less unamortized discount and debt issuance costs</w:t>
            </w:r>
          </w:p>
        </w:tc>
        <w:tc>
          <w:tcPr>
            <w:tcW w:w="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22,914,000</w:t>
            </w:r>
          </w:p>
        </w:tc>
        <w:tc>
          <w:tcPr>
            <w:tcW w:w="6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Related party notes payable, net of current portion</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$ 22,914,000</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Based on principal advanced under the First Lien facility, as of September 30, 2018, future principal payments on related party notes payable are approximately as follows: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Year Ending</w:t>
      </w:r>
    </w:p>
    <w:p>
      <w:pPr>
        <w:ind w:left="19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88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84"/>
              </w:rPr>
              <w:t>2019</w:t>
            </w:r>
          </w:p>
        </w:tc>
        <w:tc>
          <w:tcPr>
            <w:tcW w:w="57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84"/>
              </w:rPr>
              <w:t>2020</w:t>
            </w:r>
          </w:p>
        </w:tc>
        <w:tc>
          <w:tcPr>
            <w:tcW w:w="5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23,209,000</w:t>
            </w:r>
          </w:p>
        </w:tc>
      </w:tr>
    </w:tbl>
    <w:p>
      <w:pPr>
        <w:spacing w:after="0" w:line="346"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an Amended and Restated Management Agreement (the “Agreement”) with a shareholder during the year ended December 31, 2013. This Agreement assigns the right to a monthly fee equal to the total of 1.5% of the Company’s gross revenues generated from each of the five commercial signs to be erected in the Company’s Times Square location. This amended agreement became effective during the first full month for which each sign was installed and operated and expires December 31, 2023. For the year ended September 30, 2018, management expense approximated $16,000 and is recorded under operating expenses on the accompanying consolidated statement of operations. As of September 30, 2018, approximately $25,000 is included under accrued expenses and other current liabilities on the accompanying consolidated balance sheet.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E - 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AYABLE</w:t>
      </w:r>
    </w:p>
    <w:p>
      <w:pPr>
        <w:spacing w:after="0" w:line="12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During the year ended September 30, 2018, the Company entered into an agreement to finance the cost of certain insurance policies. The financing required 10 monthly installments of principal and interest in the amount of $18,905 and had an effective rate of interest of 7.93%. Final payment was made September 4,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F - 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was as follows for the year ended September 30, 2018:</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Related party notes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2,479,000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Original issue discount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Debt issuance costs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552,000</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3,578,000</w:t>
            </w: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G -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D</w:t>
      </w:r>
      <w:r>
        <w:rPr>
          <w:rFonts w:ascii="Arial" w:cs="Arial" w:eastAsia="Arial" w:hAnsi="Arial"/>
          <w:sz w:val="15"/>
          <w:szCs w:val="15"/>
          <w:b w:val="1"/>
          <w:bCs w:val="1"/>
          <w:color w:val="auto"/>
        </w:rPr>
        <w:t>EFICIT</w:t>
      </w:r>
    </w:p>
    <w:p>
      <w:pPr>
        <w:spacing w:after="0" w:line="121"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On June 12, 2017, the Board approved an amendment to the Certificate of Incorporation of Holdings increasing the number of authorized shares to a total of 678,775 shares of common stock with a par value of $0.01 per share and 648,775 shares of a convertible preferred stock with a par value of $0.01 per share, of which 38,000 are designated as Series A Convertible Preferred Stock and 610,775 shares designated as Series B Convertible Preferred Stock.</w:t>
      </w:r>
    </w:p>
    <w:p>
      <w:pPr>
        <w:spacing w:after="0" w:line="187"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On March 15, 2018, the Board approved an amendment to the Certificate of Incorporation of Holdings increasing the number of authorized shares to a total of 1,078,775 shares of common stock with a par value of $0.01 per share and 1,048,775 shares of a convertible preferred stock with a par value of $0.01 per share, of which 38,000 are designated as Series A Preferred Stock and 1,010,775 shares designated as Series B Preferred Stock.</w:t>
      </w:r>
    </w:p>
    <w:p>
      <w:pPr>
        <w:spacing w:after="0" w:line="147"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Series A Convertible Preferred Stock and Series B Convertible Preferred Stock accrue dividends annually at a rate of 15% whether or not declared by the Board and shall be cumulative and compounded annually. There were no dividends declared by the Board for the year ended September 30, 2018. Each share of preferred stock shall be convertible at the option of the holder at any time to pro-rated shares of Common Stock based on original issue price.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October 2, 2017, 25,076 Series B Convertible Preferred Stock shares were sold for approximately $750,000.</w:t>
      </w:r>
    </w:p>
    <w:p>
      <w:pPr>
        <w:spacing w:after="0" w:line="225"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In March and June of 2018, the Company issued 250,762 and 80,244 Series B Convertible Preferred Stock shares, respectively, for approximately $7,500,000 and $2,430,000, respectively, for working capital needs and partial repayment of accrued interest and outstanding principal on the Company’s First Lien.</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of September 30, 2018, the issued and outstanding common stock represented 2.2%, the issued and outstanding Series A Convertible Preferred Stock represent 4.1% and the Series B Convertible Preferred Stock represented 92.5% of the fully diluted stock of the Company. The remaining 1.2% represents shares reserved for the Management Employee Incentive Program.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H -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ROGRAM</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March of 2015, an Equity Incentive Plan was approved by the Board of Directors and existing stockholders. A maximum of 10,030 shares are available under the Equity Incentive Plan. At September 30, 2018, a total of 10,030 shares were reserved under the Equity Incentive Plan. At September 30, 2018, a total of 3,343 shares were vested and issued under the Plan and all remaining shares were forfeited. The purchase of the forfeited shares will be refunded by the Company for a total of $2,500. Such amounts are accrued as of September 30, 2018 on the accompanying consolidated Balance Sheet.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00"/>
          </w:cols>
          <w:pgMar w:left="240" w:top="460"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I - I</w:t>
      </w:r>
      <w:r>
        <w:rPr>
          <w:rFonts w:ascii="Arial" w:cs="Arial" w:eastAsia="Arial" w:hAnsi="Arial"/>
          <w:sz w:val="15"/>
          <w:szCs w:val="15"/>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at September 30, 2018 are approximately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(1,080,000)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Federal net operating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9,929,000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5,136,000</w:t>
            </w:r>
          </w:p>
        </w:tc>
        <w:tc>
          <w:tcPr>
            <w:tcW w:w="40" w:type="dxa"/>
            <w:vAlign w:val="bottom"/>
          </w:tcPr>
          <w:p>
            <w:pPr>
              <w:spacing w:after="0"/>
              <w:rPr>
                <w:sz w:val="20"/>
                <w:szCs w:val="20"/>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14,736,000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(14,736,000)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At September 30, 2018, the Company has recorded a full valuation allowance against its net deferred tax assets of approximately $14,736,000.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w:t>
      </w:r>
    </w:p>
    <w:p>
      <w:pPr>
        <w:spacing w:after="0" w:line="18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As of September 30, 2018, the Company has approximately $47,284,000 and $46,559,000 of federal and state net operating loss carryforwards, respectively. The federal and state net operating loss carryforwards begin to expire in 2034.</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and implemented an interest limitation. As a result, the Company has revalued their deferred tax assets as of December 31, 2017 at the 21% rate. In addition, the interest expense incurred by the Company has been disallowed from the period of January 1, 2018 to September 30, 2018. The interest will be carried forward indefinitely until the Company has enough income to incur the loss.</w:t>
      </w:r>
    </w:p>
    <w:p>
      <w:pPr>
        <w:spacing w:after="0" w:line="188"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income tax benefit for the year ended September 30, 2018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p>
    <w:p>
      <w:pPr>
        <w:spacing w:after="0" w:line="131"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6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 lease agreement during April of 2011, as periodically amended, with respect to certain portions of the exterior of a building suitable for construction of five digital displays. The lease calls for fixed monthly rental payments in the amount of $5,000 per month for a term of 10 years for each active sign location.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00"/>
          </w:cols>
          <w:pgMar w:left="240" w:top="460"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(continued)</w:t>
      </w:r>
    </w:p>
    <w:p>
      <w:pPr>
        <w:spacing w:after="0" w:line="121" w:lineRule="exact"/>
        <w:rPr>
          <w:rFonts w:ascii="Arial" w:cs="Arial" w:eastAsia="Arial" w:hAnsi="Arial"/>
          <w:sz w:val="18"/>
          <w:szCs w:val="18"/>
          <w:b w:val="1"/>
          <w:bCs w:val="1"/>
          <w:color w:val="auto"/>
        </w:rPr>
      </w:pPr>
    </w:p>
    <w:p>
      <w:pPr>
        <w:ind w:left="6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lease has two five-year options to renew. In addition to fixed rent, the Company is required to make percentage rent payments equal to an agreed-upon percentage of the gross revenues generated by each sign area.</w:t>
      </w:r>
    </w:p>
    <w:p>
      <w:pPr>
        <w:spacing w:after="0" w:line="62"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November of 2012, the lease was amended, segregating sign areas 1 through 4 to a new lease with terms consistent with the original lease. Rent payments per this agreement are $5,000 per month for each active sign area. The Company paid contingent rent based on total revenues generated by Sign 5 equal to 50% of monthly revenue with a minimum monthly guaranteed rent share on Sign 5 equal to $62,500 per month payable to the landlord in addition to the $5,000 per month base rent.</w:t>
      </w:r>
    </w:p>
    <w:p>
      <w:pPr>
        <w:spacing w:after="0" w:line="78" w:lineRule="exact"/>
        <w:rPr>
          <w:rFonts w:ascii="Arial" w:cs="Arial" w:eastAsia="Arial" w:hAnsi="Arial"/>
          <w:sz w:val="18"/>
          <w:szCs w:val="18"/>
          <w:b w:val="1"/>
          <w:bCs w:val="1"/>
          <w:color w:val="auto"/>
        </w:rPr>
      </w:pPr>
    </w:p>
    <w:p>
      <w:pPr>
        <w:ind w:left="6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May 1, 2017, the leases were amended transferring Sign 4 from the Sign 1 - 4 lease to the Sign 5 lease. This transfer allows the revenue share from Signs 4 and 5 to be applied against the minimum revenue share of $62,500 per month as contingent rent. The Company also has a minimum monthly guaranteed rent share on Signs 1 - 3 equal to 50% of monthly revenue payable to the landlord in addition to the $5,000 per month base rent per sign.</w:t>
      </w:r>
    </w:p>
    <w:p>
      <w:pPr>
        <w:spacing w:after="0" w:line="78"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December of 2012, the Company entered into an additional lease agreement for a second advertising location. The lease commenced on January 1, 2013 and continues for a twenty-year period expiring on December 31, 2032. The lease terms contain one ten-year renewal option. The lease contains escalating rent provisions and certain rent holidays accounted for on a straight-line basis over the term of the lease. In addition to scheduled monthly rental payments, the Company is required to make percentage rental payments equal to the agreed-upon formula contained in the lease agreement.</w:t>
      </w:r>
    </w:p>
    <w:p>
      <w:pPr>
        <w:spacing w:after="0" w:line="80"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rental payments required under operating leases for sign space that have initial or remaining non-cancelable lease terms in excess of one year and are fixed and determinable as of September 30, 2018 are approximately:</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Year Ending</w:t>
      </w:r>
    </w:p>
    <w:p>
      <w:pPr>
        <w:ind w:left="19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5600" w:type="dxa"/>
            <w:vAlign w:val="bottom"/>
          </w:tcPr>
          <w:p>
            <w:pPr>
              <w:spacing w:after="0"/>
              <w:rPr>
                <w:sz w:val="16"/>
                <w:szCs w:val="16"/>
                <w:color w:val="auto"/>
              </w:rPr>
            </w:pPr>
          </w:p>
        </w:tc>
        <w:tc>
          <w:tcPr>
            <w:tcW w:w="1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92"/>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2022</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2,664,000</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minimum rentals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6,489,000</w:t>
            </w: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Rent expense for the year ended September 30, 2018 was approximately $1,590,000 and is included in operating expenses on the accompanying consolidated statement of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employment agreements with certain executive officers. As applicable, the agreements include an annual compensation amount, sales commissions, and the terms of an annual incentive bonus under the Company’s Management Bonus Plan as further defined in the agreements.</w:t>
      </w:r>
    </w:p>
    <w:p>
      <w:pPr>
        <w:spacing w:after="0" w:line="73"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31, 2017, the Company entered into a separation agreement that calls for continuation of compensation as severance pay for 12 months.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K - M</w:t>
      </w:r>
      <w:r>
        <w:rPr>
          <w:rFonts w:ascii="Arial" w:cs="Arial" w:eastAsia="Arial" w:hAnsi="Arial"/>
          <w:sz w:val="15"/>
          <w:szCs w:val="15"/>
          <w:b w:val="1"/>
          <w:bCs w:val="1"/>
          <w:color w:val="auto"/>
        </w:rPr>
        <w:t>AJOR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USTOMERS</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For the year ended September 30, 2018, two customers accounted for approximately 54% of the Company’s total revenues. These same customers accounted for approximately 43% of accounts receivable as of September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648970</wp:posOffset>
            </wp:positionV>
            <wp:extent cx="1637665" cy="394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1637665" cy="3943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0"/>
        <w:spacing w:after="0"/>
        <w:rPr>
          <w:sz w:val="20"/>
          <w:szCs w:val="20"/>
          <w:color w:val="auto"/>
        </w:rPr>
      </w:pPr>
      <w:r>
        <w:rPr>
          <w:rFonts w:ascii="Arial" w:cs="Arial" w:eastAsia="Arial" w:hAnsi="Arial"/>
          <w:sz w:val="29"/>
          <w:szCs w:val="29"/>
          <w:b w:val="1"/>
          <w:bCs w:val="1"/>
          <w:color w:val="auto"/>
        </w:rPr>
        <w:t>$75,000,000</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5.50%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1400175</wp:posOffset>
            </wp:positionV>
            <wp:extent cx="39878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241300</wp:posOffset>
            </wp:positionV>
            <wp:extent cx="39878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Keefe, Bruyette &amp; Woods</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14"/>
          <w:szCs w:val="14"/>
          <w:b w:val="1"/>
          <w:bCs w:val="1"/>
          <w:i w:val="1"/>
          <w:iCs w:val="1"/>
          <w:color w:val="auto"/>
        </w:rPr>
        <w:t>A Stifel Company</w:t>
      </w:r>
    </w:p>
    <w:p>
      <w:pPr>
        <w:spacing w:after="0" w:line="7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Co-Managers</w:t>
      </w:r>
    </w:p>
    <w:p>
      <w:pPr>
        <w:spacing w:after="0" w:line="10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BB&amp;T Capital Markets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Janney Montgomery Scott</w:t>
      </w:r>
    </w:p>
    <w:p>
      <w:pPr>
        <w:jc w:val="center"/>
        <w:ind w:right="-1220"/>
        <w:spacing w:after="0" w:line="230" w:lineRule="auto"/>
        <w:rPr>
          <w:sz w:val="20"/>
          <w:szCs w:val="20"/>
          <w:color w:val="auto"/>
        </w:rPr>
      </w:pPr>
      <w:r>
        <w:rPr>
          <w:rFonts w:ascii="Arial" w:cs="Arial" w:eastAsia="Arial" w:hAnsi="Arial"/>
          <w:sz w:val="22"/>
          <w:szCs w:val="22"/>
          <w:b w:val="1"/>
          <w:bCs w:val="1"/>
          <w:color w:val="auto"/>
        </w:rPr>
        <w:t>Ladenburg Thalmann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upperLetter"/>
      <w:start w:val="2"/>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1)"/>
      <w:numFmt w:val="lowerRoman"/>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7"/>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1."/>
      <w:numFmt w:val="decimal"/>
      <w:start w:val="1"/>
    </w:lvl>
  </w:abstractNum>
  <w:abstractNum w:abstractNumId="16">
    <w:nsid w:val="6B94764"/>
    <w:multiLevelType w:val="hybridMultilevel"/>
    <w:lvl w:ilvl="0">
      <w:lvlJc w:val="left"/>
      <w:lvlText w:val="%1."/>
      <w:numFmt w:val="decimal"/>
      <w:start w:val="2"/>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upperLetter"/>
      <w:start w:val="2"/>
    </w:lvl>
  </w:abstractNum>
  <w:abstractNum w:abstractNumId="25">
    <w:nsid w:val="613EFDC5"/>
    <w:multiLevelType w:val="hybridMultilevel"/>
    <w:lvl w:ilvl="0">
      <w:lvlJc w:val="left"/>
      <w:lvlText w:val="(%1)"/>
      <w:numFmt w:val="decimal"/>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1)"/>
      <w:numFmt w:val="decimal"/>
      <w:start w:val="4"/>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1)"/>
      <w:numFmt w:val="decimal"/>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lowerLetter"/>
      <w:start w:val="2"/>
    </w:lvl>
    <w:lvl w:ilvl="1">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lvl w:ilvl="1">
      <w:lvlJc w:val="left"/>
      <w:lvlText w:val="="/>
      <w:numFmt w:val="bullet"/>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1)"/>
      <w:numFmt w:val="decimal"/>
      <w:start w:val="3"/>
    </w:lvl>
  </w:abstractNum>
  <w:abstractNum w:abstractNumId="83">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53299938"/>
    <w:multiLevelType w:val="hybridMultilevel"/>
    <w:lvl w:ilvl="0">
      <w:lvlJc w:val="left"/>
      <w:lvlText w:val="(%1)"/>
      <w:numFmt w:val="decimal"/>
      <w:start w:val="2"/>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lvl w:ilvl="1">
      <w:lvlJc w:val="left"/>
      <w:lvlText w:val="%2)"/>
      <w:numFmt w:val="decimal"/>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7"/>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decimal"/>
      <w:start w:val="1"/>
    </w:lvl>
  </w:abstractNum>
  <w:abstractNum w:abstractNumId="95">
    <w:nsid w:val="53584BCB"/>
    <w:multiLevelType w:val="hybridMultilevel"/>
    <w:lvl w:ilvl="0">
      <w:lvlJc w:val="left"/>
      <w:lvlText w:val="(%1)"/>
      <w:numFmt w:val="decimal"/>
      <w:start w:val="1"/>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7"/>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11"/>
    </w:lvl>
  </w:abstractNum>
  <w:abstractNum w:abstractNumId="104">
    <w:nsid w:val="78DF6A55"/>
    <w:multiLevelType w:val="hybridMultilevel"/>
    <w:lvl w:ilvl="0">
      <w:lvlJc w:val="left"/>
      <w:lvlText w:val="(%1)"/>
      <w:numFmt w:val="decimal"/>
      <w:start w:val="1"/>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8"/>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decimal"/>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6"/>
    </w:lvl>
  </w:abstractNum>
  <w:abstractNum w:abstractNumId="115">
    <w:nsid w:val="3DD15094"/>
    <w:multiLevelType w:val="hybridMultilevel"/>
    <w:lvl w:ilvl="0">
      <w:lvlJc w:val="left"/>
      <w:lvlText w:val="%1)"/>
      <w:numFmt w:val="upperLetter"/>
      <w:start w:val="4"/>
    </w:lvl>
  </w:abstractNum>
  <w:abstractNum w:abstractNumId="116">
    <w:nsid w:val="3DB012B3"/>
    <w:multiLevelType w:val="hybridMultilevel"/>
    <w:lvl w:ilvl="0">
      <w:lvlJc w:val="left"/>
      <w:lvlText w:val="[%1]"/>
      <w:numFmt w:val="decimal"/>
      <w:start w:val="9"/>
    </w:lvl>
  </w:abstractNum>
  <w:abstractNum w:abstractNumId="117">
    <w:nsid w:val="2708C9AF"/>
    <w:multiLevelType w:val="hybridMultilevel"/>
    <w:lvl w:ilvl="0">
      <w:lvlJc w:val="left"/>
      <w:lvlText w:val="[%1]"/>
      <w:numFmt w:val="decimal"/>
      <w:start w:val="10"/>
    </w:lvl>
  </w:abstractNum>
  <w:abstractNum w:abstractNumId="118">
    <w:nsid w:val="5B25ACE2"/>
    <w:multiLevelType w:val="hybridMultilevel"/>
    <w:lvl w:ilvl="0">
      <w:lvlJc w:val="left"/>
      <w:lvlText w:val="[%1]"/>
      <w:numFmt w:val="decimal"/>
      <w:start w:val="12"/>
    </w:lvl>
  </w:abstractNum>
  <w:abstractNum w:abstractNumId="119">
    <w:nsid w:val="175DFCF0"/>
    <w:multiLevelType w:val="hybridMultilevel"/>
    <w:lvl w:ilvl="0">
      <w:lvlJc w:val="left"/>
      <w:lvlText w:val="[%1]"/>
      <w:numFmt w:val="decimal"/>
      <w:start w:val="12"/>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1]"/>
      <w:numFmt w:val="decimal"/>
      <w:start w:val="2"/>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jpe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jpe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jpeg"/><Relationship Id="rId316" Type="http://schemas.openxmlformats.org/officeDocument/2006/relationships/image" Target="media/image306.jpeg"/><Relationship Id="rId317" Type="http://schemas.openxmlformats.org/officeDocument/2006/relationships/image" Target="media/image307.png"/><Relationship Id="rId318" Type="http://schemas.openxmlformats.org/officeDocument/2006/relationships/image" Target="media/image308.jpeg"/><Relationship Id="rId319" Type="http://schemas.openxmlformats.org/officeDocument/2006/relationships/image" Target="media/image309.jpe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jpe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48" Type="http://schemas.openxmlformats.org/officeDocument/2006/relationships/hyperlink" Target="http://www.sec.gov/Archives/edgar/data/1383414/000156459019017975/pnnt-10q_20190331.htm" TargetMode="External"/><Relationship Id="rId49" Type="http://schemas.openxmlformats.org/officeDocument/2006/relationships/hyperlink" Target="http://www.sec.gov/Archives/edgar/data/1383414/000156459019030141/pnnt-10q_20190630.htm" TargetMode="External"/><Relationship Id="rId50" Type="http://schemas.openxmlformats.org/officeDocument/2006/relationships/hyperlink" Target="http://www.sec.gov/Archives/edgar/data/1383414/000119312519240958/d7619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2019-12-15T16:01:35Z</dcterms:created>
  <dcterms:modified xsi:type="dcterms:W3CDTF">2019-12-15T16:01:35Z</dcterms:modified>
</cp:coreProperties>
</file>