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146050</wp:posOffset>
            </wp:positionV>
            <wp:extent cx="130746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7465" cy="209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158750</wp:posOffset>
            </wp:positionV>
            <wp:extent cx="130746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07465" cy="209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ind w:left="39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ind w:left="268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February 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2917825</wp:posOffset>
            </wp:positionH>
            <wp:positionV relativeFrom="paragraph">
              <wp:posOffset>146050</wp:posOffset>
            </wp:positionV>
            <wp:extent cx="130746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7465"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PennantPark Investment Corporation</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8" w:lineRule="exact"/>
        <w:rPr>
          <w:sz w:val="24"/>
          <w:szCs w:val="24"/>
          <w:color w:val="auto"/>
        </w:rPr>
      </w:pPr>
    </w:p>
    <w:p>
      <w:pPr>
        <w:ind w:left="1440"/>
        <w:spacing w:after="0"/>
        <w:tabs>
          <w:tab w:leader="none" w:pos="5340" w:val="left"/>
          <w:tab w:leader="none" w:pos="9100" w:val="left"/>
        </w:tabs>
        <w:rPr>
          <w:sz w:val="20"/>
          <w:szCs w:val="20"/>
          <w:color w:val="auto"/>
        </w:rPr>
      </w:pPr>
      <w:r>
        <w:rPr>
          <w:rFonts w:ascii="Arial" w:cs="Arial" w:eastAsia="Arial" w:hAnsi="Arial"/>
          <w:sz w:val="18"/>
          <w:szCs w:val="18"/>
          <w:b w:val="1"/>
          <w:bCs w:val="1"/>
          <w:color w:val="auto"/>
        </w:rPr>
        <w:t>Maryland</w:t>
      </w:r>
      <w:r>
        <w:rPr>
          <w:sz w:val="20"/>
          <w:szCs w:val="20"/>
          <w:color w:val="auto"/>
        </w:rPr>
        <w:tab/>
      </w:r>
      <w:r>
        <w:rPr>
          <w:rFonts w:ascii="Arial" w:cs="Arial" w:eastAsia="Arial" w:hAnsi="Arial"/>
          <w:sz w:val="18"/>
          <w:szCs w:val="18"/>
          <w:b w:val="1"/>
          <w:bCs w:val="1"/>
          <w:color w:val="auto"/>
        </w:rPr>
        <w:t>814-00736</w:t>
      </w:r>
      <w:r>
        <w:rPr>
          <w:sz w:val="20"/>
          <w:szCs w:val="20"/>
          <w:color w:val="auto"/>
        </w:rPr>
        <w:tab/>
      </w:r>
      <w:r>
        <w:rPr>
          <w:rFonts w:ascii="Arial" w:cs="Arial" w:eastAsia="Arial" w:hAnsi="Arial"/>
          <w:sz w:val="16"/>
          <w:szCs w:val="16"/>
          <w:b w:val="1"/>
          <w:bCs w:val="1"/>
          <w:color w:val="auto"/>
        </w:rPr>
        <w:t>20-8250744</w:t>
      </w:r>
    </w:p>
    <w:p>
      <w:pPr>
        <w:spacing w:after="0" w:line="21" w:lineRule="exact"/>
        <w:rPr>
          <w:sz w:val="24"/>
          <w:szCs w:val="24"/>
          <w:color w:val="auto"/>
        </w:rPr>
      </w:pPr>
    </w:p>
    <w:p>
      <w:pPr>
        <w:ind w:left="880"/>
        <w:spacing w:after="0"/>
        <w:tabs>
          <w:tab w:leader="none" w:pos="4760" w:val="left"/>
          <w:tab w:leader="none" w:pos="8320" w:val="left"/>
        </w:tabs>
        <w:rPr>
          <w:sz w:val="20"/>
          <w:szCs w:val="20"/>
          <w:color w:val="auto"/>
        </w:rPr>
      </w:pPr>
      <w:r>
        <w:rPr>
          <w:rFonts w:ascii="Arial" w:cs="Arial" w:eastAsia="Arial" w:hAnsi="Arial"/>
          <w:sz w:val="18"/>
          <w:szCs w:val="18"/>
          <w:color w:val="auto"/>
        </w:rPr>
        <w:t>(State or other jurisdiction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 No.)</w:t>
      </w:r>
    </w:p>
    <w:p>
      <w:pPr>
        <w:spacing w:after="0" w:line="9"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3000"/>
        <w:spacing w:after="0"/>
        <w:tabs>
          <w:tab w:leader="none" w:pos="8140" w:val="left"/>
        </w:tabs>
        <w:rPr>
          <w:sz w:val="20"/>
          <w:szCs w:val="20"/>
          <w:color w:val="auto"/>
        </w:rPr>
      </w:pPr>
      <w:r>
        <w:rPr>
          <w:rFonts w:ascii="Arial" w:cs="Arial" w:eastAsia="Arial" w:hAnsi="Arial"/>
          <w:sz w:val="18"/>
          <w:szCs w:val="18"/>
          <w:b w:val="1"/>
          <w:bCs w:val="1"/>
          <w:color w:val="auto"/>
        </w:rPr>
        <w:t>590 Madison Avenue, 15th Floor, New York, NY</w:t>
      </w:r>
      <w:r>
        <w:rPr>
          <w:sz w:val="20"/>
          <w:szCs w:val="20"/>
          <w:color w:val="auto"/>
        </w:rPr>
        <w:tab/>
      </w:r>
      <w:r>
        <w:rPr>
          <w:rFonts w:ascii="Arial" w:cs="Arial" w:eastAsia="Arial" w:hAnsi="Arial"/>
          <w:sz w:val="15"/>
          <w:szCs w:val="15"/>
          <w:b w:val="1"/>
          <w:bCs w:val="1"/>
          <w:color w:val="auto"/>
        </w:rPr>
        <w:t>10022</w:t>
      </w:r>
    </w:p>
    <w:p>
      <w:pPr>
        <w:spacing w:after="0" w:line="21" w:lineRule="exact"/>
        <w:rPr>
          <w:sz w:val="24"/>
          <w:szCs w:val="24"/>
          <w:color w:val="auto"/>
        </w:rPr>
      </w:pPr>
    </w:p>
    <w:p>
      <w:pPr>
        <w:ind w:left="3400"/>
        <w:spacing w:after="0"/>
        <w:tabs>
          <w:tab w:leader="none" w:pos="79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40" w:lineRule="exact"/>
        <w:rPr>
          <w:sz w:val="24"/>
          <w:szCs w:val="24"/>
          <w:color w:val="auto"/>
        </w:rPr>
      </w:pPr>
    </w:p>
    <w:p>
      <w:pPr>
        <w:jc w:val="center"/>
        <w:ind w:right="-39"/>
        <w:spacing w:after="0"/>
        <w:tabs>
          <w:tab w:leader="none" w:pos="100" w:val="left"/>
        </w:tabs>
        <w:rPr>
          <w:sz w:val="20"/>
          <w:szCs w:val="20"/>
          <w:color w:val="auto"/>
        </w:rPr>
      </w:pPr>
      <w:r>
        <w:rPr>
          <w:rFonts w:ascii="Arial" w:cs="Arial" w:eastAsia="Arial" w:hAnsi="Arial"/>
          <w:sz w:val="18"/>
          <w:szCs w:val="18"/>
          <w:color w:val="auto"/>
        </w:rPr>
        <w:t>Registrant's telephone number, including area code:</w:t>
      </w:r>
      <w:r>
        <w:rPr>
          <w:sz w:val="20"/>
          <w:szCs w:val="20"/>
          <w:color w:val="auto"/>
        </w:rPr>
        <w:tab/>
      </w:r>
      <w:r>
        <w:rPr>
          <w:rFonts w:ascii="Arial" w:cs="Arial" w:eastAsia="Arial" w:hAnsi="Arial"/>
          <w:sz w:val="16"/>
          <w:szCs w:val="16"/>
          <w:b w:val="1"/>
          <w:bCs w:val="1"/>
          <w:color w:val="auto"/>
        </w:rPr>
        <w:t>212-905-1000</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right="180"/>
        <w:spacing w:after="0" w:line="25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9"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6"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6" w:lineRule="exact"/>
        <w:rPr>
          <w:rFonts w:ascii="Arial" w:cs="Arial" w:eastAsia="Arial" w:hAnsi="Arial"/>
          <w:sz w:val="18"/>
          <w:szCs w:val="18"/>
          <w:color w:val="auto"/>
        </w:rPr>
      </w:pPr>
    </w:p>
    <w:p>
      <w:pPr>
        <w:ind w:left="460" w:hanging="23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94615</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pacing w:after="0" w:line="3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On February 3, 2010, PennantPark Investment Corporation issued a press release announcing its financial results for quarter ended December 31, 2009. A copy of the press release is furnished as exhibit 99.1 to this report pursuant to Item 2.02 and Regulation FD.</w:t>
      </w:r>
    </w:p>
    <w:p>
      <w:pPr>
        <w:spacing w:after="0" w:line="16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9" w:lineRule="exact"/>
        <w:rPr>
          <w:sz w:val="24"/>
          <w:szCs w:val="24"/>
          <w:color w:val="auto"/>
        </w:rPr>
      </w:pPr>
    </w:p>
    <w:p>
      <w:pPr>
        <w:ind w:left="220" w:right="9340" w:hanging="212"/>
        <w:spacing w:after="0" w:line="275" w:lineRule="auto"/>
        <w:tabs>
          <w:tab w:leader="none" w:pos="24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spacing w:after="0" w:line="173" w:lineRule="exact"/>
        <w:rPr>
          <w:rFonts w:ascii="Arial" w:cs="Arial" w:eastAsia="Arial" w:hAnsi="Arial"/>
          <w:sz w:val="18"/>
          <w:szCs w:val="18"/>
          <w:b w:val="1"/>
          <w:bCs w:val="1"/>
          <w:color w:val="auto"/>
        </w:rPr>
      </w:pPr>
    </w:p>
    <w:p>
      <w:pPr>
        <w:ind w:left="220" w:right="8460" w:hanging="212"/>
        <w:spacing w:after="0" w:line="275" w:lineRule="auto"/>
        <w:tabs>
          <w:tab w:leader="none" w:pos="25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33" w:lineRule="exact"/>
        <w:rPr>
          <w:rFonts w:ascii="Arial" w:cs="Arial" w:eastAsia="Arial" w:hAnsi="Arial"/>
          <w:sz w:val="18"/>
          <w:szCs w:val="18"/>
          <w:b w:val="1"/>
          <w:bCs w:val="1"/>
          <w:color w:val="auto"/>
        </w:rPr>
      </w:pPr>
    </w:p>
    <w:p>
      <w:pPr>
        <w:ind w:left="220" w:right="8840" w:hanging="212"/>
        <w:spacing w:after="0" w:line="275" w:lineRule="auto"/>
        <w:tabs>
          <w:tab w:leader="none" w:pos="23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33" w:lineRule="exact"/>
        <w:rPr>
          <w:rFonts w:ascii="Arial" w:cs="Arial" w:eastAsia="Arial" w:hAnsi="Arial"/>
          <w:sz w:val="18"/>
          <w:szCs w:val="18"/>
          <w:b w:val="1"/>
          <w:bCs w:val="1"/>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 w:lineRule="exact"/>
        <w:rPr>
          <w:sz w:val="24"/>
          <w:szCs w:val="24"/>
          <w:color w:val="auto"/>
        </w:rPr>
      </w:pPr>
    </w:p>
    <w:p>
      <w:pPr>
        <w:ind w:left="220"/>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PennantPark Investment Corporation dated February 3,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ectPr>
          <w:pgSz w:w="11900" w:h="16859" w:orient="portrait"/>
          <w:cols w:equalWidth="0" w:num="1">
            <w:col w:w="11200"/>
          </w:cols>
          <w:pgMar w:left="320" w:top="206" w:right="379" w:bottom="0" w:gutter="0" w:footer="0" w:header="0"/>
        </w:sectPr>
      </w:pPr>
    </w:p>
    <w:p>
      <w:pPr>
        <w:spacing w:after="0" w:line="225" w:lineRule="exact"/>
        <w:rPr>
          <w:sz w:val="24"/>
          <w:szCs w:val="24"/>
          <w:color w:val="auto"/>
        </w:rPr>
      </w:pPr>
    </w:p>
    <w:p>
      <w:pPr>
        <w:ind w:right="20" w:firstLine="175"/>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ectPr>
          <w:pgSz w:w="11900" w:h="16859" w:orient="portrait"/>
          <w:cols w:equalWidth="0" w:num="1">
            <w:col w:w="11200"/>
          </w:cols>
          <w:pgMar w:left="320" w:top="206" w:right="3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5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89"/>
              </w:rPr>
              <w:t>PennantPark Investment Corporation</w:t>
            </w:r>
          </w:p>
        </w:tc>
      </w:tr>
      <w:tr>
        <w:trPr>
          <w:trHeight w:val="120"/>
        </w:trPr>
        <w:tc>
          <w:tcPr>
            <w:tcW w:w="5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r>
      <w:tr>
        <w:trPr>
          <w:trHeight w:val="319"/>
        </w:trPr>
        <w:tc>
          <w:tcPr>
            <w:tcW w:w="5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40" w:type="dxa"/>
            <w:vAlign w:val="bottom"/>
          </w:tcPr>
          <w:p>
            <w:pPr>
              <w:jc w:val="center"/>
              <w:spacing w:after="0"/>
              <w:rPr>
                <w:sz w:val="20"/>
                <w:szCs w:val="20"/>
                <w:color w:val="auto"/>
              </w:rPr>
            </w:pPr>
            <w:r>
              <w:rPr>
                <w:rFonts w:ascii="Arial" w:cs="Arial" w:eastAsia="Arial" w:hAnsi="Arial"/>
                <w:sz w:val="18"/>
                <w:szCs w:val="18"/>
                <w:color w:val="auto"/>
                <w:w w:val="89"/>
              </w:rPr>
              <w:t>(Registrant)</w:t>
            </w:r>
          </w:p>
        </w:tc>
      </w:tr>
      <w:tr>
        <w:trPr>
          <w:trHeight w:val="432"/>
        </w:trPr>
        <w:tc>
          <w:tcPr>
            <w:tcW w:w="59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0"/>
              </w:rPr>
              <w:t>February 3, 2010</w:t>
            </w: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7"/>
              </w:rPr>
              <w:t>/s/  AVIV EFRAT</w:t>
            </w:r>
          </w:p>
        </w:tc>
      </w:tr>
      <w:tr>
        <w:trPr>
          <w:trHeight w:val="120"/>
        </w:trPr>
        <w:tc>
          <w:tcPr>
            <w:tcW w:w="5340" w:type="dxa"/>
            <w:vAlign w:val="bottom"/>
            <w:tcBorders>
              <w:bottom w:val="single" w:sz="8" w:color="808080"/>
            </w:tcBorders>
          </w:tcPr>
          <w:p>
            <w:pPr>
              <w:spacing w:after="0"/>
              <w:rPr>
                <w:sz w:val="10"/>
                <w:szCs w:val="10"/>
                <w:color w:val="auto"/>
              </w:rPr>
            </w:pPr>
          </w:p>
        </w:tc>
        <w:tc>
          <w:tcPr>
            <w:tcW w:w="56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r>
      <w:tr>
        <w:trPr>
          <w:trHeight w:val="312"/>
        </w:trPr>
        <w:tc>
          <w:tcPr>
            <w:tcW w:w="5900" w:type="dxa"/>
            <w:vAlign w:val="bottom"/>
            <w:gridSpan w:val="2"/>
          </w:tcPr>
          <w:p>
            <w:pPr>
              <w:jc w:val="center"/>
              <w:ind w:right="540"/>
              <w:spacing w:after="0"/>
              <w:rPr>
                <w:sz w:val="20"/>
                <w:szCs w:val="20"/>
                <w:color w:val="auto"/>
              </w:rPr>
            </w:pPr>
            <w:r>
              <w:rPr>
                <w:rFonts w:ascii="Arial" w:cs="Arial" w:eastAsia="Arial" w:hAnsi="Arial"/>
                <w:sz w:val="18"/>
                <w:szCs w:val="18"/>
                <w:color w:val="auto"/>
                <w:w w:val="87"/>
              </w:rPr>
              <w:t>(Date)</w:t>
            </w:r>
          </w:p>
        </w:tc>
        <w:tc>
          <w:tcPr>
            <w:tcW w:w="5340" w:type="dxa"/>
            <w:vAlign w:val="bottom"/>
          </w:tcPr>
          <w:p>
            <w:pPr>
              <w:jc w:val="center"/>
              <w:spacing w:after="0"/>
              <w:rPr>
                <w:sz w:val="20"/>
                <w:szCs w:val="20"/>
                <w:color w:val="auto"/>
              </w:rPr>
            </w:pPr>
            <w:r>
              <w:rPr>
                <w:rFonts w:ascii="Arial" w:cs="Arial" w:eastAsia="Arial" w:hAnsi="Arial"/>
                <w:sz w:val="18"/>
                <w:szCs w:val="18"/>
                <w:color w:val="auto"/>
                <w:w w:val="96"/>
              </w:rPr>
              <w:t>Aviv Efrat</w:t>
            </w:r>
          </w:p>
        </w:tc>
      </w:tr>
      <w:tr>
        <w:trPr>
          <w:trHeight w:val="222"/>
        </w:trPr>
        <w:tc>
          <w:tcPr>
            <w:tcW w:w="5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Arial" w:cs="Arial" w:eastAsia="Arial" w:hAnsi="Arial"/>
                <w:sz w:val="18"/>
                <w:szCs w:val="18"/>
                <w:i w:val="1"/>
                <w:iCs w:val="1"/>
                <w:color w:val="auto"/>
                <w:w w:val="91"/>
              </w:rPr>
              <w:t>Chief Financial Officer &amp; Treasurer</w:t>
            </w:r>
          </w:p>
        </w:tc>
      </w:tr>
      <w:tr>
        <w:trPr>
          <w:trHeight w:val="117"/>
        </w:trPr>
        <w:tc>
          <w:tcPr>
            <w:tcW w:w="53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-1006475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-1006475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-440690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-440690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-440690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-440690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INDEX</w:t>
      </w:r>
    </w:p>
    <w:p>
      <w:pPr>
        <w:spacing w:after="0" w:line="246" w:lineRule="exact"/>
        <w:rPr>
          <w:sz w:val="20"/>
          <w:szCs w:val="20"/>
          <w:color w:val="auto"/>
        </w:rPr>
      </w:pPr>
    </w:p>
    <w:p>
      <w:pPr>
        <w:ind w:left="40"/>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42"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PennantPark Investment Corporation dated February 3, 2010</w:t>
      </w:r>
    </w:p>
    <w:p>
      <w:pPr>
        <w:sectPr>
          <w:pgSz w:w="11900" w:h="16838" w:orient="portrait"/>
          <w:cols w:equalWidth="0" w:num="1">
            <w:col w:w="11240"/>
          </w:cols>
          <w:pgMar w:left="320" w:top="125" w:right="339" w:bottom="1440" w:gutter="0" w:footer="0" w:header="0"/>
        </w:sectPr>
      </w:pPr>
    </w:p>
    <w:bookmarkStart w:id="2" w:name="page3"/>
    <w:bookmarkEnd w:id="2"/>
    <w:p>
      <w:pPr>
        <w:ind w:left="9940"/>
        <w:spacing w:after="0"/>
        <w:rPr>
          <w:sz w:val="20"/>
          <w:szCs w:val="20"/>
          <w:color w:val="auto"/>
        </w:rPr>
      </w:pPr>
      <w:r>
        <w:rPr>
          <w:rFonts w:ascii="Arial" w:cs="Arial" w:eastAsia="Arial" w:hAnsi="Arial"/>
          <w:sz w:val="21"/>
          <w:szCs w:val="21"/>
          <w:color w:val="auto"/>
        </w:rPr>
        <w:t>EXHIBIT 99.1</w:t>
      </w:r>
    </w:p>
    <w:p>
      <w:pPr>
        <w:spacing w:after="0" w:line="256" w:lineRule="exact"/>
        <w:rPr>
          <w:sz w:val="20"/>
          <w:szCs w:val="20"/>
          <w:color w:val="auto"/>
        </w:rPr>
      </w:pPr>
    </w:p>
    <w:p>
      <w:pPr>
        <w:jc w:val="center"/>
        <w:ind w:left="340" w:right="140"/>
        <w:spacing w:after="0" w:line="282" w:lineRule="auto"/>
        <w:rPr>
          <w:sz w:val="20"/>
          <w:szCs w:val="20"/>
          <w:color w:val="auto"/>
        </w:rPr>
      </w:pPr>
      <w:r>
        <w:rPr>
          <w:rFonts w:ascii="Arial" w:cs="Arial" w:eastAsia="Arial" w:hAnsi="Arial"/>
          <w:sz w:val="25"/>
          <w:szCs w:val="25"/>
          <w:b w:val="1"/>
          <w:bCs w:val="1"/>
          <w:color w:val="auto"/>
        </w:rPr>
        <w:t>PennantPark Investment Corporation Announces Financial Results for the Quarter Ended December 31, 2009</w:t>
      </w:r>
    </w:p>
    <w:p>
      <w:pPr>
        <w:spacing w:after="0" w:line="164"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NEW YORK, Feb. 3, 2010 (GLOBE NEWSWIRE) -- PennantPark Investment Corporation (Nasdaq:PNNT) today announces financial results for its first fiscal quarter ended December 31, 2009.</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80"/>
        <w:spacing w:after="0"/>
        <w:rPr>
          <w:sz w:val="20"/>
          <w:szCs w:val="20"/>
          <w:color w:val="auto"/>
        </w:rPr>
      </w:pPr>
      <w:r>
        <w:rPr>
          <w:rFonts w:ascii="Arial" w:cs="Arial" w:eastAsia="Arial" w:hAnsi="Arial"/>
          <w:sz w:val="16"/>
          <w:szCs w:val="16"/>
          <w:color w:val="auto"/>
        </w:rPr>
        <w:t>Quarter Ended December 31, 2009</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 in millions, except per share amounts)</w:t>
      </w:r>
    </w:p>
    <w:p>
      <w:pPr>
        <w:spacing w:after="0" w:line="356"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3960" w:type="dxa"/>
            <w:vAlign w:val="bottom"/>
          </w:tcPr>
          <w:p>
            <w:pPr>
              <w:spacing w:after="0"/>
              <w:rPr>
                <w:sz w:val="20"/>
                <w:szCs w:val="20"/>
                <w:color w:val="auto"/>
              </w:rPr>
            </w:pPr>
            <w:r>
              <w:rPr>
                <w:rFonts w:ascii="Arial" w:cs="Arial" w:eastAsia="Arial" w:hAnsi="Arial"/>
                <w:sz w:val="16"/>
                <w:szCs w:val="16"/>
                <w:color w:val="auto"/>
              </w:rPr>
              <w:t>Investment portfolio</w:t>
            </w:r>
          </w:p>
        </w:tc>
        <w:tc>
          <w:tcPr>
            <w:tcW w:w="560" w:type="dxa"/>
            <w:vAlign w:val="bottom"/>
          </w:tcPr>
          <w:p>
            <w:pPr>
              <w:jc w:val="right"/>
              <w:spacing w:after="0"/>
              <w:rPr>
                <w:sz w:val="20"/>
                <w:szCs w:val="20"/>
                <w:color w:val="auto"/>
              </w:rPr>
            </w:pPr>
            <w:r>
              <w:rPr>
                <w:rFonts w:ascii="Arial" w:cs="Arial" w:eastAsia="Arial" w:hAnsi="Arial"/>
                <w:sz w:val="16"/>
                <w:szCs w:val="16"/>
                <w:color w:val="auto"/>
              </w:rPr>
              <w:t>$513.1</w:t>
            </w:r>
          </w:p>
        </w:tc>
      </w:tr>
      <w:tr>
        <w:trPr>
          <w:trHeight w:val="270"/>
        </w:trPr>
        <w:tc>
          <w:tcPr>
            <w:tcW w:w="3960" w:type="dxa"/>
            <w:vAlign w:val="bottom"/>
          </w:tcPr>
          <w:p>
            <w:pPr>
              <w:spacing w:after="0"/>
              <w:rPr>
                <w:sz w:val="20"/>
                <w:szCs w:val="20"/>
                <w:color w:val="auto"/>
              </w:rPr>
            </w:pPr>
            <w:r>
              <w:rPr>
                <w:rFonts w:ascii="Arial" w:cs="Arial" w:eastAsia="Arial" w:hAnsi="Arial"/>
                <w:sz w:val="16"/>
                <w:szCs w:val="16"/>
                <w:color w:val="auto"/>
              </w:rPr>
              <w:t>Net assets</w:t>
            </w:r>
          </w:p>
        </w:tc>
        <w:tc>
          <w:tcPr>
            <w:tcW w:w="560" w:type="dxa"/>
            <w:vAlign w:val="bottom"/>
          </w:tcPr>
          <w:p>
            <w:pPr>
              <w:jc w:val="right"/>
              <w:spacing w:after="0"/>
              <w:rPr>
                <w:sz w:val="20"/>
                <w:szCs w:val="20"/>
                <w:color w:val="auto"/>
              </w:rPr>
            </w:pPr>
            <w:r>
              <w:rPr>
                <w:rFonts w:ascii="Arial" w:cs="Arial" w:eastAsia="Arial" w:hAnsi="Arial"/>
                <w:sz w:val="16"/>
                <w:szCs w:val="16"/>
                <w:color w:val="auto"/>
              </w:rPr>
              <w:t>$306.1</w:t>
            </w:r>
          </w:p>
        </w:tc>
      </w:tr>
      <w:tr>
        <w:trPr>
          <w:trHeight w:val="270"/>
        </w:trPr>
        <w:tc>
          <w:tcPr>
            <w:tcW w:w="3960" w:type="dxa"/>
            <w:vAlign w:val="bottom"/>
          </w:tcPr>
          <w:p>
            <w:pPr>
              <w:spacing w:after="0"/>
              <w:rPr>
                <w:sz w:val="20"/>
                <w:szCs w:val="20"/>
                <w:color w:val="auto"/>
              </w:rPr>
            </w:pPr>
            <w:r>
              <w:rPr>
                <w:rFonts w:ascii="Arial" w:cs="Arial" w:eastAsia="Arial" w:hAnsi="Arial"/>
                <w:sz w:val="16"/>
                <w:szCs w:val="16"/>
                <w:color w:val="auto"/>
              </w:rPr>
              <w:t>Net asset value per share</w:t>
            </w:r>
          </w:p>
        </w:tc>
        <w:tc>
          <w:tcPr>
            <w:tcW w:w="560" w:type="dxa"/>
            <w:vAlign w:val="bottom"/>
          </w:tcPr>
          <w:p>
            <w:pPr>
              <w:jc w:val="right"/>
              <w:spacing w:after="0"/>
              <w:rPr>
                <w:sz w:val="20"/>
                <w:szCs w:val="20"/>
                <w:color w:val="auto"/>
              </w:rPr>
            </w:pPr>
            <w:r>
              <w:rPr>
                <w:rFonts w:ascii="Arial" w:cs="Arial" w:eastAsia="Arial" w:hAnsi="Arial"/>
                <w:sz w:val="16"/>
                <w:szCs w:val="16"/>
                <w:color w:val="auto"/>
              </w:rPr>
              <w:t>$11.86</w:t>
            </w:r>
          </w:p>
        </w:tc>
      </w:tr>
      <w:tr>
        <w:trPr>
          <w:trHeight w:val="540"/>
        </w:trPr>
        <w:tc>
          <w:tcPr>
            <w:tcW w:w="3960" w:type="dxa"/>
            <w:vAlign w:val="bottom"/>
          </w:tcPr>
          <w:p>
            <w:pPr>
              <w:spacing w:after="0"/>
              <w:rPr>
                <w:sz w:val="20"/>
                <w:szCs w:val="20"/>
                <w:color w:val="auto"/>
              </w:rPr>
            </w:pPr>
            <w:r>
              <w:rPr>
                <w:rFonts w:ascii="Arial" w:cs="Arial" w:eastAsia="Arial" w:hAnsi="Arial"/>
                <w:sz w:val="16"/>
                <w:szCs w:val="16"/>
                <w:color w:val="auto"/>
              </w:rPr>
              <w:t>Credit Facility (cost $245.7)</w:t>
            </w:r>
          </w:p>
        </w:tc>
        <w:tc>
          <w:tcPr>
            <w:tcW w:w="560" w:type="dxa"/>
            <w:vAlign w:val="bottom"/>
          </w:tcPr>
          <w:p>
            <w:pPr>
              <w:jc w:val="right"/>
              <w:spacing w:after="0"/>
              <w:rPr>
                <w:sz w:val="20"/>
                <w:szCs w:val="20"/>
                <w:color w:val="auto"/>
              </w:rPr>
            </w:pPr>
            <w:r>
              <w:rPr>
                <w:rFonts w:ascii="Arial" w:cs="Arial" w:eastAsia="Arial" w:hAnsi="Arial"/>
                <w:sz w:val="16"/>
                <w:szCs w:val="16"/>
                <w:color w:val="auto"/>
              </w:rPr>
              <w:t>$201.9</w:t>
            </w:r>
          </w:p>
        </w:tc>
      </w:tr>
      <w:tr>
        <w:trPr>
          <w:trHeight w:val="540"/>
        </w:trPr>
        <w:tc>
          <w:tcPr>
            <w:tcW w:w="3960" w:type="dxa"/>
            <w:vAlign w:val="bottom"/>
          </w:tcPr>
          <w:p>
            <w:pPr>
              <w:spacing w:after="0"/>
              <w:rPr>
                <w:sz w:val="20"/>
                <w:szCs w:val="20"/>
                <w:color w:val="auto"/>
              </w:rPr>
            </w:pPr>
            <w:r>
              <w:rPr>
                <w:rFonts w:ascii="Arial" w:cs="Arial" w:eastAsia="Arial" w:hAnsi="Arial"/>
                <w:sz w:val="16"/>
                <w:szCs w:val="16"/>
                <w:color w:val="auto"/>
              </w:rPr>
              <w:t>Investment portfolio composition and yield:</w:t>
            </w:r>
          </w:p>
        </w:tc>
        <w:tc>
          <w:tcPr>
            <w:tcW w:w="560" w:type="dxa"/>
            <w:vAlign w:val="bottom"/>
          </w:tcPr>
          <w:p>
            <w:pPr>
              <w:spacing w:after="0"/>
              <w:rPr>
                <w:sz w:val="24"/>
                <w:szCs w:val="24"/>
                <w:color w:val="auto"/>
              </w:rPr>
            </w:pPr>
          </w:p>
        </w:tc>
      </w:tr>
      <w:tr>
        <w:trPr>
          <w:trHeight w:val="534"/>
        </w:trPr>
        <w:tc>
          <w:tcPr>
            <w:tcW w:w="3960" w:type="dxa"/>
            <w:vAlign w:val="bottom"/>
          </w:tcPr>
          <w:p>
            <w:pPr>
              <w:ind w:left="140"/>
              <w:spacing w:after="0"/>
              <w:rPr>
                <w:sz w:val="20"/>
                <w:szCs w:val="20"/>
                <w:color w:val="auto"/>
              </w:rPr>
            </w:pPr>
            <w:r>
              <w:rPr>
                <w:rFonts w:ascii="Arial" w:cs="Arial" w:eastAsia="Arial" w:hAnsi="Arial"/>
                <w:sz w:val="16"/>
                <w:szCs w:val="16"/>
                <w:color w:val="auto"/>
              </w:rPr>
              <w:t>Subordinated debt, second lien secured debt, senior</w:t>
            </w:r>
          </w:p>
        </w:tc>
        <w:tc>
          <w:tcPr>
            <w:tcW w:w="560" w:type="dxa"/>
            <w:vAlign w:val="bottom"/>
          </w:tcPr>
          <w:p>
            <w:pPr>
              <w:spacing w:after="0"/>
              <w:rPr>
                <w:sz w:val="24"/>
                <w:szCs w:val="24"/>
                <w:color w:val="auto"/>
              </w:rPr>
            </w:pPr>
          </w:p>
        </w:tc>
      </w:tr>
      <w:tr>
        <w:trPr>
          <w:trHeight w:val="195"/>
        </w:trPr>
        <w:tc>
          <w:tcPr>
            <w:tcW w:w="3960" w:type="dxa"/>
            <w:vAlign w:val="bottom"/>
          </w:tcPr>
          <w:p>
            <w:pPr>
              <w:ind w:left="180"/>
              <w:spacing w:after="0"/>
              <w:rPr>
                <w:sz w:val="20"/>
                <w:szCs w:val="20"/>
                <w:color w:val="auto"/>
              </w:rPr>
            </w:pPr>
            <w:r>
              <w:rPr>
                <w:rFonts w:ascii="Arial" w:cs="Arial" w:eastAsia="Arial" w:hAnsi="Arial"/>
                <w:sz w:val="16"/>
                <w:szCs w:val="16"/>
                <w:color w:val="auto"/>
              </w:rPr>
              <w:t>secured debt and equity (core)</w:t>
            </w:r>
          </w:p>
        </w:tc>
        <w:tc>
          <w:tcPr>
            <w:tcW w:w="560" w:type="dxa"/>
            <w:vAlign w:val="bottom"/>
          </w:tcPr>
          <w:p>
            <w:pPr>
              <w:jc w:val="right"/>
              <w:spacing w:after="0"/>
              <w:rPr>
                <w:sz w:val="20"/>
                <w:szCs w:val="20"/>
                <w:color w:val="auto"/>
              </w:rPr>
            </w:pPr>
            <w:r>
              <w:rPr>
                <w:rFonts w:ascii="Arial" w:cs="Arial" w:eastAsia="Arial" w:hAnsi="Arial"/>
                <w:sz w:val="16"/>
                <w:szCs w:val="16"/>
                <w:color w:val="auto"/>
              </w:rPr>
              <w:t>$478.2</w:t>
            </w:r>
          </w:p>
        </w:tc>
      </w:tr>
      <w:tr>
        <w:trPr>
          <w:trHeight w:val="270"/>
        </w:trPr>
        <w:tc>
          <w:tcPr>
            <w:tcW w:w="3960" w:type="dxa"/>
            <w:vAlign w:val="bottom"/>
          </w:tcPr>
          <w:p>
            <w:pPr>
              <w:ind w:left="140"/>
              <w:spacing w:after="0"/>
              <w:rPr>
                <w:sz w:val="20"/>
                <w:szCs w:val="20"/>
                <w:color w:val="auto"/>
              </w:rPr>
            </w:pPr>
            <w:r>
              <w:rPr>
                <w:rFonts w:ascii="Arial" w:cs="Arial" w:eastAsia="Arial" w:hAnsi="Arial"/>
                <w:sz w:val="16"/>
                <w:szCs w:val="16"/>
                <w:color w:val="auto"/>
              </w:rPr>
              <w:t>Senior secured debt (non-core)</w:t>
            </w:r>
          </w:p>
        </w:tc>
        <w:tc>
          <w:tcPr>
            <w:tcW w:w="560" w:type="dxa"/>
            <w:vAlign w:val="bottom"/>
          </w:tcPr>
          <w:p>
            <w:pPr>
              <w:jc w:val="right"/>
              <w:spacing w:after="0"/>
              <w:rPr>
                <w:sz w:val="20"/>
                <w:szCs w:val="20"/>
                <w:color w:val="auto"/>
              </w:rPr>
            </w:pPr>
            <w:r>
              <w:rPr>
                <w:rFonts w:ascii="Arial" w:cs="Arial" w:eastAsia="Arial" w:hAnsi="Arial"/>
                <w:sz w:val="16"/>
                <w:szCs w:val="16"/>
                <w:color w:val="auto"/>
              </w:rPr>
              <w:t>$34.9</w:t>
            </w:r>
          </w:p>
        </w:tc>
      </w:tr>
      <w:tr>
        <w:trPr>
          <w:trHeight w:val="270"/>
        </w:trPr>
        <w:tc>
          <w:tcPr>
            <w:tcW w:w="3960" w:type="dxa"/>
            <w:vAlign w:val="bottom"/>
          </w:tcPr>
          <w:p>
            <w:pPr>
              <w:ind w:left="140"/>
              <w:spacing w:after="0"/>
              <w:rPr>
                <w:sz w:val="20"/>
                <w:szCs w:val="20"/>
                <w:color w:val="auto"/>
              </w:rPr>
            </w:pPr>
            <w:r>
              <w:rPr>
                <w:rFonts w:ascii="Arial" w:cs="Arial" w:eastAsia="Arial" w:hAnsi="Arial"/>
                <w:sz w:val="16"/>
                <w:szCs w:val="16"/>
                <w:color w:val="auto"/>
              </w:rPr>
              <w:t>Weighted average yield on debt investments</w:t>
            </w:r>
          </w:p>
        </w:tc>
        <w:tc>
          <w:tcPr>
            <w:tcW w:w="56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70"/>
        </w:trPr>
        <w:tc>
          <w:tcPr>
            <w:tcW w:w="3960" w:type="dxa"/>
            <w:vAlign w:val="bottom"/>
          </w:tcPr>
          <w:p>
            <w:pPr>
              <w:ind w:left="140"/>
              <w:spacing w:after="0"/>
              <w:rPr>
                <w:sz w:val="20"/>
                <w:szCs w:val="20"/>
                <w:color w:val="auto"/>
              </w:rPr>
            </w:pPr>
            <w:r>
              <w:rPr>
                <w:rFonts w:ascii="Arial" w:cs="Arial" w:eastAsia="Arial" w:hAnsi="Arial"/>
                <w:sz w:val="16"/>
                <w:szCs w:val="16"/>
                <w:color w:val="auto"/>
              </w:rPr>
              <w:t>Weighted average yield on core investments</w:t>
            </w:r>
          </w:p>
        </w:tc>
        <w:tc>
          <w:tcPr>
            <w:tcW w:w="56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70"/>
        </w:trPr>
        <w:tc>
          <w:tcPr>
            <w:tcW w:w="3960" w:type="dxa"/>
            <w:vAlign w:val="bottom"/>
          </w:tcPr>
          <w:p>
            <w:pPr>
              <w:ind w:left="140"/>
              <w:spacing w:after="0"/>
              <w:rPr>
                <w:sz w:val="20"/>
                <w:szCs w:val="20"/>
                <w:color w:val="auto"/>
              </w:rPr>
            </w:pPr>
            <w:r>
              <w:rPr>
                <w:rFonts w:ascii="Arial" w:cs="Arial" w:eastAsia="Arial" w:hAnsi="Arial"/>
                <w:sz w:val="16"/>
                <w:szCs w:val="16"/>
                <w:color w:val="auto"/>
              </w:rPr>
              <w:t>Weighted average yield on non-core investments</w:t>
            </w:r>
          </w:p>
        </w:tc>
        <w:tc>
          <w:tcPr>
            <w:tcW w:w="5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540"/>
        </w:trPr>
        <w:tc>
          <w:tcPr>
            <w:tcW w:w="3960" w:type="dxa"/>
            <w:vAlign w:val="bottom"/>
          </w:tcPr>
          <w:p>
            <w:pPr>
              <w:spacing w:after="0"/>
              <w:rPr>
                <w:sz w:val="20"/>
                <w:szCs w:val="20"/>
                <w:color w:val="auto"/>
              </w:rPr>
            </w:pPr>
            <w:r>
              <w:rPr>
                <w:rFonts w:ascii="Arial" w:cs="Arial" w:eastAsia="Arial" w:hAnsi="Arial"/>
                <w:sz w:val="16"/>
                <w:szCs w:val="16"/>
                <w:color w:val="auto"/>
              </w:rPr>
              <w:t>Operating Results:</w:t>
            </w:r>
          </w:p>
        </w:tc>
        <w:tc>
          <w:tcPr>
            <w:tcW w:w="560" w:type="dxa"/>
            <w:vAlign w:val="bottom"/>
          </w:tcPr>
          <w:p>
            <w:pPr>
              <w:spacing w:after="0"/>
              <w:rPr>
                <w:sz w:val="24"/>
                <w:szCs w:val="24"/>
                <w:color w:val="auto"/>
              </w:rPr>
            </w:pPr>
          </w:p>
        </w:tc>
      </w:tr>
      <w:tr>
        <w:trPr>
          <w:trHeight w:val="270"/>
        </w:trPr>
        <w:tc>
          <w:tcPr>
            <w:tcW w:w="3960" w:type="dxa"/>
            <w:vAlign w:val="bottom"/>
          </w:tcPr>
          <w:p>
            <w:pPr>
              <w:ind w:left="140"/>
              <w:spacing w:after="0"/>
              <w:rPr>
                <w:sz w:val="20"/>
                <w:szCs w:val="20"/>
                <w:color w:val="auto"/>
              </w:rPr>
            </w:pPr>
            <w:r>
              <w:rPr>
                <w:rFonts w:ascii="Arial" w:cs="Arial" w:eastAsia="Arial" w:hAnsi="Arial"/>
                <w:sz w:val="16"/>
                <w:szCs w:val="16"/>
                <w:color w:val="auto"/>
              </w:rPr>
              <w:t>Net investment income</w:t>
            </w:r>
          </w:p>
        </w:tc>
        <w:tc>
          <w:tcPr>
            <w:tcW w:w="56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70"/>
        </w:trPr>
        <w:tc>
          <w:tcPr>
            <w:tcW w:w="3960" w:type="dxa"/>
            <w:vAlign w:val="bottom"/>
          </w:tcPr>
          <w:p>
            <w:pPr>
              <w:ind w:left="140"/>
              <w:spacing w:after="0"/>
              <w:rPr>
                <w:sz w:val="20"/>
                <w:szCs w:val="20"/>
                <w:color w:val="auto"/>
              </w:rPr>
            </w:pPr>
            <w:r>
              <w:rPr>
                <w:rFonts w:ascii="Arial" w:cs="Arial" w:eastAsia="Arial" w:hAnsi="Arial"/>
                <w:sz w:val="16"/>
                <w:szCs w:val="16"/>
                <w:color w:val="auto"/>
              </w:rPr>
              <w:t>Net investment income per share</w:t>
            </w:r>
          </w:p>
        </w:tc>
        <w:tc>
          <w:tcPr>
            <w:tcW w:w="560" w:type="dxa"/>
            <w:vAlign w:val="bottom"/>
          </w:tcPr>
          <w:p>
            <w:pPr>
              <w:jc w:val="right"/>
              <w:spacing w:after="0"/>
              <w:rPr>
                <w:sz w:val="20"/>
                <w:szCs w:val="20"/>
                <w:color w:val="auto"/>
              </w:rPr>
            </w:pPr>
            <w:r>
              <w:rPr>
                <w:rFonts w:ascii="Arial" w:cs="Arial" w:eastAsia="Arial" w:hAnsi="Arial"/>
                <w:sz w:val="16"/>
                <w:szCs w:val="16"/>
                <w:color w:val="auto"/>
              </w:rPr>
              <w:t>$0.28</w:t>
            </w:r>
          </w:p>
        </w:tc>
      </w:tr>
      <w:tr>
        <w:trPr>
          <w:trHeight w:val="270"/>
        </w:trPr>
        <w:tc>
          <w:tcPr>
            <w:tcW w:w="3960" w:type="dxa"/>
            <w:vAlign w:val="bottom"/>
          </w:tcPr>
          <w:p>
            <w:pPr>
              <w:ind w:left="140"/>
              <w:spacing w:after="0"/>
              <w:rPr>
                <w:sz w:val="20"/>
                <w:szCs w:val="20"/>
                <w:color w:val="auto"/>
              </w:rPr>
            </w:pPr>
            <w:r>
              <w:rPr>
                <w:rFonts w:ascii="Arial" w:cs="Arial" w:eastAsia="Arial" w:hAnsi="Arial"/>
                <w:sz w:val="16"/>
                <w:szCs w:val="16"/>
                <w:color w:val="auto"/>
              </w:rPr>
              <w:t>Distributions declared per share</w:t>
            </w:r>
          </w:p>
        </w:tc>
        <w:tc>
          <w:tcPr>
            <w:tcW w:w="560" w:type="dxa"/>
            <w:vAlign w:val="bottom"/>
          </w:tcPr>
          <w:p>
            <w:pPr>
              <w:jc w:val="right"/>
              <w:spacing w:after="0"/>
              <w:rPr>
                <w:sz w:val="20"/>
                <w:szCs w:val="20"/>
                <w:color w:val="auto"/>
              </w:rPr>
            </w:pPr>
            <w:r>
              <w:rPr>
                <w:rFonts w:ascii="Arial" w:cs="Arial" w:eastAsia="Arial" w:hAnsi="Arial"/>
                <w:sz w:val="16"/>
                <w:szCs w:val="16"/>
                <w:color w:val="auto"/>
              </w:rPr>
              <w:t>$0.25</w:t>
            </w:r>
          </w:p>
        </w:tc>
      </w:tr>
      <w:tr>
        <w:trPr>
          <w:trHeight w:val="540"/>
        </w:trPr>
        <w:tc>
          <w:tcPr>
            <w:tcW w:w="3960" w:type="dxa"/>
            <w:vAlign w:val="bottom"/>
          </w:tcPr>
          <w:p>
            <w:pPr>
              <w:spacing w:after="0"/>
              <w:rPr>
                <w:sz w:val="20"/>
                <w:szCs w:val="20"/>
                <w:color w:val="auto"/>
              </w:rPr>
            </w:pPr>
            <w:r>
              <w:rPr>
                <w:rFonts w:ascii="Arial" w:cs="Arial" w:eastAsia="Arial" w:hAnsi="Arial"/>
                <w:sz w:val="16"/>
                <w:szCs w:val="16"/>
                <w:color w:val="auto"/>
              </w:rPr>
              <w:t>Portfolio Activity:</w:t>
            </w:r>
          </w:p>
        </w:tc>
        <w:tc>
          <w:tcPr>
            <w:tcW w:w="560" w:type="dxa"/>
            <w:vAlign w:val="bottom"/>
          </w:tcPr>
          <w:p>
            <w:pPr>
              <w:spacing w:after="0"/>
              <w:rPr>
                <w:sz w:val="24"/>
                <w:szCs w:val="24"/>
                <w:color w:val="auto"/>
              </w:rPr>
            </w:pPr>
          </w:p>
        </w:tc>
      </w:tr>
      <w:tr>
        <w:trPr>
          <w:trHeight w:val="270"/>
        </w:trPr>
        <w:tc>
          <w:tcPr>
            <w:tcW w:w="3960" w:type="dxa"/>
            <w:vAlign w:val="bottom"/>
          </w:tcPr>
          <w:p>
            <w:pPr>
              <w:ind w:left="140"/>
              <w:spacing w:after="0"/>
              <w:rPr>
                <w:sz w:val="20"/>
                <w:szCs w:val="20"/>
                <w:color w:val="auto"/>
              </w:rPr>
            </w:pPr>
            <w:r>
              <w:rPr>
                <w:rFonts w:ascii="Arial" w:cs="Arial" w:eastAsia="Arial" w:hAnsi="Arial"/>
                <w:sz w:val="16"/>
                <w:szCs w:val="16"/>
                <w:color w:val="auto"/>
              </w:rPr>
              <w:t>Purchase of long-term investments</w:t>
            </w:r>
          </w:p>
        </w:tc>
        <w:tc>
          <w:tcPr>
            <w:tcW w:w="560" w:type="dxa"/>
            <w:vAlign w:val="bottom"/>
          </w:tcPr>
          <w:p>
            <w:pPr>
              <w:jc w:val="right"/>
              <w:spacing w:after="0"/>
              <w:rPr>
                <w:sz w:val="20"/>
                <w:szCs w:val="20"/>
                <w:color w:val="auto"/>
              </w:rPr>
            </w:pPr>
            <w:r>
              <w:rPr>
                <w:rFonts w:ascii="Arial" w:cs="Arial" w:eastAsia="Arial" w:hAnsi="Arial"/>
                <w:sz w:val="16"/>
                <w:szCs w:val="16"/>
                <w:color w:val="auto"/>
              </w:rPr>
              <w:t>$50.5</w:t>
            </w:r>
          </w:p>
        </w:tc>
      </w:tr>
      <w:tr>
        <w:trPr>
          <w:trHeight w:val="270"/>
        </w:trPr>
        <w:tc>
          <w:tcPr>
            <w:tcW w:w="3960" w:type="dxa"/>
            <w:vAlign w:val="bottom"/>
          </w:tcPr>
          <w:p>
            <w:pPr>
              <w:ind w:left="140"/>
              <w:spacing w:after="0"/>
              <w:rPr>
                <w:sz w:val="20"/>
                <w:szCs w:val="20"/>
                <w:color w:val="auto"/>
              </w:rPr>
            </w:pPr>
            <w:r>
              <w:rPr>
                <w:rFonts w:ascii="Arial" w:cs="Arial" w:eastAsia="Arial" w:hAnsi="Arial"/>
                <w:sz w:val="16"/>
                <w:szCs w:val="16"/>
                <w:color w:val="auto"/>
              </w:rPr>
              <w:t>Sales and repayments of long-term investment</w:t>
            </w:r>
          </w:p>
        </w:tc>
        <w:tc>
          <w:tcPr>
            <w:tcW w:w="56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540"/>
        </w:trPr>
        <w:tc>
          <w:tcPr>
            <w:tcW w:w="3960" w:type="dxa"/>
            <w:vAlign w:val="bottom"/>
          </w:tcPr>
          <w:p>
            <w:pPr>
              <w:ind w:left="140"/>
              <w:spacing w:after="0"/>
              <w:rPr>
                <w:sz w:val="20"/>
                <w:szCs w:val="20"/>
                <w:color w:val="auto"/>
              </w:rPr>
            </w:pPr>
            <w:r>
              <w:rPr>
                <w:rFonts w:ascii="Arial" w:cs="Arial" w:eastAsia="Arial" w:hAnsi="Arial"/>
                <w:sz w:val="16"/>
                <w:szCs w:val="16"/>
                <w:color w:val="auto"/>
              </w:rPr>
              <w:t>Number of new portfolio companies invested</w:t>
            </w: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70"/>
        </w:trPr>
        <w:tc>
          <w:tcPr>
            <w:tcW w:w="3960" w:type="dxa"/>
            <w:vAlign w:val="bottom"/>
          </w:tcPr>
          <w:p>
            <w:pPr>
              <w:ind w:left="140"/>
              <w:spacing w:after="0"/>
              <w:rPr>
                <w:sz w:val="20"/>
                <w:szCs w:val="20"/>
                <w:color w:val="auto"/>
              </w:rPr>
            </w:pPr>
            <w:r>
              <w:rPr>
                <w:rFonts w:ascii="Arial" w:cs="Arial" w:eastAsia="Arial" w:hAnsi="Arial"/>
                <w:sz w:val="16"/>
                <w:szCs w:val="16"/>
                <w:color w:val="auto"/>
              </w:rPr>
              <w:t>Number of existing portfolio companies invested</w:t>
            </w: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3960" w:type="dxa"/>
            <w:vAlign w:val="bottom"/>
          </w:tcPr>
          <w:p>
            <w:pPr>
              <w:ind w:left="140"/>
              <w:spacing w:after="0"/>
              <w:rPr>
                <w:sz w:val="20"/>
                <w:szCs w:val="20"/>
                <w:color w:val="auto"/>
              </w:rPr>
            </w:pPr>
            <w:r>
              <w:rPr>
                <w:rFonts w:ascii="Arial" w:cs="Arial" w:eastAsia="Arial" w:hAnsi="Arial"/>
                <w:sz w:val="16"/>
                <w:szCs w:val="16"/>
                <w:color w:val="auto"/>
              </w:rPr>
              <w:t>Number of portfolio companies at end of period</w:t>
            </w:r>
          </w:p>
        </w:tc>
        <w:tc>
          <w:tcPr>
            <w:tcW w:w="560" w:type="dxa"/>
            <w:vAlign w:val="bottom"/>
          </w:tcPr>
          <w:p>
            <w:pPr>
              <w:jc w:val="right"/>
              <w:spacing w:after="0"/>
              <w:rPr>
                <w:sz w:val="20"/>
                <w:szCs w:val="20"/>
                <w:color w:val="auto"/>
              </w:rPr>
            </w:pPr>
            <w:r>
              <w:rPr>
                <w:rFonts w:ascii="Arial" w:cs="Arial" w:eastAsia="Arial" w:hAnsi="Arial"/>
                <w:sz w:val="16"/>
                <w:szCs w:val="16"/>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Except where the context suggests otherwise, the terms "we," "us," "our," "Company," and "PennantPark Investment" refer to PennantPark Investment Corporation.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FEBRUARY 4, 2010</w:t>
      </w:r>
    </w:p>
    <w:p>
      <w:pPr>
        <w:spacing w:after="0" w:line="212" w:lineRule="exact"/>
        <w:rPr>
          <w:sz w:val="20"/>
          <w:szCs w:val="20"/>
          <w:color w:val="auto"/>
        </w:rPr>
      </w:pPr>
    </w:p>
    <w:p>
      <w:pPr>
        <w:ind w:right="380"/>
        <w:spacing w:after="0" w:line="297" w:lineRule="auto"/>
        <w:rPr>
          <w:sz w:val="20"/>
          <w:szCs w:val="20"/>
          <w:color w:val="auto"/>
        </w:rPr>
      </w:pPr>
      <w:r>
        <w:rPr>
          <w:rFonts w:ascii="Arial" w:cs="Arial" w:eastAsia="Arial" w:hAnsi="Arial"/>
          <w:sz w:val="19"/>
          <w:szCs w:val="19"/>
          <w:color w:val="auto"/>
        </w:rPr>
        <w:t>The Company will host a conference call at 10:00 a.m. (Eastern Time) on Thursday, February 4, 2010 to discuss the quarterly results. All interested parties are welcome to participate. You can access the conference call by dialing (888) 857-6931 approximately 5-10 minutes prior to the call. International callers should dial (719) 325-2170. All callers should reference</w:t>
      </w:r>
    </w:p>
    <w:p>
      <w:pPr>
        <w:sectPr>
          <w:pgSz w:w="11900" w:h="16838" w:orient="portrait"/>
          <w:cols w:equalWidth="0" w:num="1">
            <w:col w:w="11240"/>
          </w:cols>
          <w:pgMar w:left="320" w:top="118" w:right="339" w:bottom="0" w:gutter="0" w:footer="0" w:header="0"/>
        </w:sectPr>
      </w:pPr>
    </w:p>
    <w:bookmarkStart w:id="3" w:name="page4"/>
    <w:bookmarkEnd w:id="3"/>
    <w:p>
      <w:pPr>
        <w:ind w:right="40"/>
        <w:spacing w:after="0" w:line="329" w:lineRule="auto"/>
        <w:rPr>
          <w:sz w:val="20"/>
          <w:szCs w:val="20"/>
          <w:color w:val="auto"/>
        </w:rPr>
      </w:pPr>
      <w:r>
        <w:rPr>
          <w:rFonts w:ascii="Arial" w:cs="Arial" w:eastAsia="Arial" w:hAnsi="Arial"/>
          <w:sz w:val="19"/>
          <w:szCs w:val="19"/>
          <w:color w:val="auto"/>
        </w:rPr>
        <w:t>PennantPark Investment Corporation. An archived replay of the call will be available through February 18, 2010 by calling (888) 203-1112. International callers please dial (719) 457-0820. For all replays, please reference conference ID #4217773.</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280"/>
        <w:spacing w:after="0" w:line="249" w:lineRule="auto"/>
        <w:rPr>
          <w:sz w:val="20"/>
          <w:szCs w:val="20"/>
          <w:color w:val="auto"/>
        </w:rPr>
      </w:pPr>
      <w:r>
        <w:rPr>
          <w:rFonts w:ascii="Arial" w:cs="Arial" w:eastAsia="Arial" w:hAnsi="Arial"/>
          <w:sz w:val="21"/>
          <w:szCs w:val="21"/>
          <w:color w:val="auto"/>
        </w:rPr>
        <w:t>As of December 31, 2009, our portfolio totaled $513.1 million and consisted of $176.8 million of subordinated debt, $147.1 million of second lien secured debt, $160.7 million of senior secured loans, and $28.5 million of preferred and common equity investments. This compares to our portfolio as of September 30, 2009, which totaled $469.8 million and consisted of $157.1 million of subordinated debt, $134.4 million of second lien secured debt, $150.6 million of senior secured loans and $27.7 million of preferred and common equity investments.</w:t>
      </w:r>
    </w:p>
    <w:p>
      <w:pPr>
        <w:spacing w:after="0" w:line="178"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Our core assets totaled $478.2 million and consisted of investments in thirty-five different companies with an average investment size of $13.7 million per company and a weighted average yield of 12.2% on debt investments as of December 31, 2009. This compares to our core assets as of September 30, 2009, which totaled $427.1 million and consisted of investments in thirty different companies with an average investment size of $14.2 million per company and a weighted average yield of 12.5% on debt investments.</w:t>
      </w:r>
    </w:p>
    <w:p>
      <w:pPr>
        <w:spacing w:after="0" w:line="187" w:lineRule="exact"/>
        <w:rPr>
          <w:sz w:val="20"/>
          <w:szCs w:val="20"/>
          <w:color w:val="auto"/>
        </w:rPr>
      </w:pPr>
    </w:p>
    <w:p>
      <w:pPr>
        <w:ind w:right="340"/>
        <w:spacing w:after="0" w:line="236" w:lineRule="auto"/>
        <w:rPr>
          <w:sz w:val="20"/>
          <w:szCs w:val="20"/>
          <w:color w:val="auto"/>
        </w:rPr>
      </w:pPr>
      <w:r>
        <w:rPr>
          <w:rFonts w:ascii="Arial" w:cs="Arial" w:eastAsia="Arial" w:hAnsi="Arial"/>
          <w:sz w:val="22"/>
          <w:szCs w:val="22"/>
          <w:color w:val="auto"/>
        </w:rPr>
        <w:t>As of December 31, 2009, our non-core senior secured loan portfolio totaled $34.9 million and consisted of nine different companies with an average investment size of $3.9 million, and a weighted average yield of 2.7% on debt investments. This compares to our non-core assets as of September 30, 2009, which totaled $42.7 million and consisted of thirteen different companies (including one company also in our core portfolio) with an average investment size of $3.3 million and a weighted average yield of 3.1%.</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Our overall portfolio consisted of forty-four companies with an average investment size of $11.7 million and a weighted average yield on debt investments of 11.3%, and was invested 35% in subordinated debt, 29% in second lien secured debt, 31% in senior secured loans and 5% in preferred and common equity investments as of December 31, 2009. This compares to our overall portfolio as of September 30, 2009, which consisted of forty-two companies with an average investment size of $11.2 million and a weighted average yield on debt investments of 11.4%, and was invested 33% in subordinated debt, 29% in second lien secured debt, 32% in senior secured loans and 6% in preferred and common equity investments.</w:t>
      </w:r>
    </w:p>
    <w:p>
      <w:pPr>
        <w:spacing w:after="0" w:line="150"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For the three months ended December 31, 2009, we invested approximately $50.5 million in six new and two existing portfolio companies with a weighted average yield of 12.8%. Sales and repayments of long-term investments totaled $16.8 million for the same period. This compares to the three months ended December 31, 2008, in which we invested $0.8 million in two existing portfolio companies. Sales and repayments of long-term investments totaled $2.3 million for the same period.</w:t>
      </w:r>
    </w:p>
    <w:p>
      <w:pPr>
        <w:spacing w:after="0" w:line="143"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"We continue to be active" said Arthur Penn, Chairman and Chief Executive Officer. "Over the last three quarters we have invested approximately $150 million at attractive risk/rewards to enhance our portfolio and to grow income. Additionally, asset valuations have improved during the quarter. We remain focused on financing middle market companies at IRRs ranging from 13% to 18% in order to grow income.”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 periods ended December 31, 2009 and 2008.</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Investment income for the three month period ended December 31, 2009, was $13.6 million, and was primarily attributable to $5.4 million from subordinated debt investments, $3.2 million from second lien secured debt investments and $3.5 million from senior secured loan investments. The remaining investment income was primarily attributed to net accretion of discount and amortization of premium and other income. The increase in investment income compared with the same period in the prior year is due to the growth of our portfolio and the transition of the portfolio from temporary to long-term core investments.</w:t>
      </w:r>
    </w:p>
    <w:p>
      <w:pPr>
        <w:spacing w:after="0" w:line="147" w:lineRule="exact"/>
        <w:rPr>
          <w:sz w:val="20"/>
          <w:szCs w:val="20"/>
          <w:color w:val="auto"/>
        </w:rPr>
      </w:pPr>
    </w:p>
    <w:p>
      <w:pPr>
        <w:ind w:right="160"/>
        <w:spacing w:after="0" w:line="252" w:lineRule="auto"/>
        <w:rPr>
          <w:sz w:val="20"/>
          <w:szCs w:val="20"/>
          <w:color w:val="auto"/>
        </w:rPr>
      </w:pPr>
      <w:r>
        <w:rPr>
          <w:rFonts w:ascii="Arial" w:cs="Arial" w:eastAsia="Arial" w:hAnsi="Arial"/>
          <w:sz w:val="21"/>
          <w:szCs w:val="21"/>
          <w:color w:val="auto"/>
        </w:rPr>
        <w:t>Investment income for the three month period ended December 31, 2008, was $12.1 million, and was primarily attributable to $2.5 million from subordinated debt investments, $3.9 million from second lien secured debt investments and $5.0 million from senior secured loan investments. The remaining investment income was primarily attributed to interest income from short-term investments and to net accretion of discount and amortization of premium.</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220"/>
        <w:spacing w:after="0" w:line="257" w:lineRule="auto"/>
        <w:rPr>
          <w:sz w:val="20"/>
          <w:szCs w:val="20"/>
          <w:color w:val="auto"/>
        </w:rPr>
      </w:pPr>
      <w:r>
        <w:rPr>
          <w:rFonts w:ascii="Arial" w:cs="Arial" w:eastAsia="Arial" w:hAnsi="Arial"/>
          <w:sz w:val="21"/>
          <w:szCs w:val="21"/>
          <w:color w:val="auto"/>
        </w:rPr>
        <w:t>Expenses for the three month period ended December 31, 2009, totaled $6.4 million. Base management fee for the same period totaled $2.5 million, performance-based incentive fee totaled $1.8 million, credit facility related expense totaled $0.8 million, general and administrative expenses totaled $1.1 million and an excise tax of $0.1 million.</w:t>
      </w:r>
    </w:p>
    <w:p>
      <w:pPr>
        <w:spacing w:after="0" w:line="169" w:lineRule="exact"/>
        <w:rPr>
          <w:sz w:val="20"/>
          <w:szCs w:val="20"/>
          <w:color w:val="auto"/>
        </w:rPr>
      </w:pPr>
    </w:p>
    <w:p>
      <w:pPr>
        <w:ind w:right="60"/>
        <w:spacing w:after="0"/>
        <w:rPr>
          <w:sz w:val="20"/>
          <w:szCs w:val="20"/>
          <w:color w:val="auto"/>
        </w:rPr>
      </w:pPr>
      <w:r>
        <w:rPr>
          <w:rFonts w:ascii="Arial" w:cs="Arial" w:eastAsia="Arial" w:hAnsi="Arial"/>
          <w:sz w:val="22"/>
          <w:szCs w:val="22"/>
          <w:color w:val="auto"/>
        </w:rPr>
        <w:t>Expenses for the three month period ended December 31, 2008, totaled $ 6.3 million. Base management fee for the same period totaled $1.8 million, performance-based incentive fee totaled $1.4 million, credit facility related expense totaled $1.8 million and general and administrative expenses totaled $ 1.2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ectPr>
          <w:pgSz w:w="11900" w:h="16838" w:orient="portrait"/>
          <w:cols w:equalWidth="0" w:num="1">
            <w:col w:w="11220"/>
          </w:cols>
          <w:pgMar w:left="320" w:top="118" w:right="359" w:bottom="59" w:gutter="0" w:footer="0" w:header="0"/>
        </w:sectPr>
      </w:pPr>
    </w:p>
    <w:bookmarkStart w:id="4" w:name="page5"/>
    <w:bookmarkEnd w:id="4"/>
    <w:p>
      <w:pPr>
        <w:spacing w:after="0" w:line="60"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Net investment income totaled $7.2 million, or $0.28 per share, for the three month period ended December 31, 2009, and $5.8 million, or $0.27 per share, for the three month period ended December 31, 2008.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Loss</w:t>
      </w:r>
    </w:p>
    <w:p>
      <w:pPr>
        <w:spacing w:after="0" w:line="212"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Sales and repayments of long-term investments for the three month period ended December 31, 2009 totaled $16.8 million and realized losses totaled $16.6 million due to sales of senior secured loans and restructurings on investments offset by repayments on other investments. Sales and repayments of long-term investments totaled $2.3 million, and net realized losses totaled $0.9 million for the three month period ended December 31, 2008.</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Net Unrealized Appreciation (Depreciation) on Investments and (Appreciation) Depreciation on Credit Facility</w:t>
      </w:r>
    </w:p>
    <w:p>
      <w:pPr>
        <w:spacing w:after="0" w:line="224" w:lineRule="exact"/>
        <w:rPr>
          <w:sz w:val="20"/>
          <w:szCs w:val="20"/>
          <w:color w:val="auto"/>
        </w:rPr>
      </w:pPr>
    </w:p>
    <w:p>
      <w:pPr>
        <w:ind w:right="100"/>
        <w:spacing w:after="0" w:line="257" w:lineRule="auto"/>
        <w:rPr>
          <w:sz w:val="20"/>
          <w:szCs w:val="20"/>
          <w:color w:val="auto"/>
        </w:rPr>
      </w:pPr>
      <w:r>
        <w:rPr>
          <w:rFonts w:ascii="Arial" w:cs="Arial" w:eastAsia="Arial" w:hAnsi="Arial"/>
          <w:sz w:val="21"/>
          <w:szCs w:val="21"/>
          <w:color w:val="auto"/>
        </w:rPr>
        <w:t>For the three month periods ended December 31, 2009 and 2008, our investments had a net change in unrealized appreciation (depreciation) of $23.9 million and $(42.4) million, respectively. On December 31, 2009 and September 30, 2009, net unrealized depreciation on investments totaled $3.6 million and $27.5 million, respectively.</w:t>
      </w:r>
    </w:p>
    <w:p>
      <w:pPr>
        <w:spacing w:after="0" w:line="169"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For the three month periods ended December 31, 2009 and 2008, our long-term credit facility had a net change in unrealized (appreciation) depreciation of $(5.8) million and $5.7 million, respectively. On December 31, 2009 and September 30, 2009, net unrealized depreciation on our long-term credit facility totaled $43.8 million and $49.6 million, respectively, which included the cumulative effect of adoption of ASC 825-10 on our credit facility of $41.8 million.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(Decrease) in Net Assets from Operations</w:t>
      </w:r>
    </w:p>
    <w:p>
      <w:pPr>
        <w:spacing w:after="0" w:line="212"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Net increase in net assets resulting from operations totaled $8.7 million, or $0.34 per share, for the three month period ended December 31, 2009, primarily due to the overall increase in fair values for investments held in our portfolio offset to some extent by the increase in fair value of our credit facility and realized losses. Net decrease in net assets resulting from operations totaled $(31.8) million, or $(1.51) per share, for the three month period ended December 31, 2008.</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PennantPark Investment's liquidity and capital resources are generated primarily through its senior secured, multi-currency, $300.0 million, five-year revolving credit facility maturing in June 2012 as well as from cash flows from operations, investment sales and prepayments, and income earned from investments and cash equivalents. On December 31, 2009, PennantPark Investment had outstanding borrowings of $245.7 million with a fair value of $201.9 million, with a weighted average interest rate at the time of 1.23% exclusive of the fee on undrawn commitment of 0.20%.</w:t>
      </w:r>
    </w:p>
    <w:p>
      <w:pPr>
        <w:spacing w:after="0" w:line="147" w:lineRule="exact"/>
        <w:rPr>
          <w:sz w:val="20"/>
          <w:szCs w:val="20"/>
          <w:color w:val="auto"/>
        </w:rPr>
      </w:pPr>
    </w:p>
    <w:p>
      <w:pPr>
        <w:jc w:val="both"/>
        <w:ind w:right="200"/>
        <w:spacing w:after="0"/>
        <w:rPr>
          <w:sz w:val="20"/>
          <w:szCs w:val="20"/>
          <w:color w:val="auto"/>
        </w:rPr>
      </w:pPr>
      <w:r>
        <w:rPr>
          <w:rFonts w:ascii="Arial" w:cs="Arial" w:eastAsia="Arial" w:hAnsi="Arial"/>
          <w:sz w:val="22"/>
          <w:szCs w:val="22"/>
          <w:color w:val="auto"/>
        </w:rPr>
        <w:t>Our operating activities used cash of $45.1 million for the three months ended December 31, 2009, and our financing activities provided net cash proceeds of $18.9 million for the same period, primarily from proceeds on issuance of common stock and net borrowings on our credit facility.</w:t>
      </w:r>
    </w:p>
    <w:p>
      <w:pPr>
        <w:spacing w:after="0" w:line="186" w:lineRule="exact"/>
        <w:rPr>
          <w:sz w:val="20"/>
          <w:szCs w:val="20"/>
          <w:color w:val="auto"/>
        </w:rPr>
      </w:pPr>
    </w:p>
    <w:p>
      <w:pPr>
        <w:ind w:right="760"/>
        <w:spacing w:after="0" w:line="328" w:lineRule="auto"/>
        <w:rPr>
          <w:sz w:val="20"/>
          <w:szCs w:val="20"/>
          <w:color w:val="auto"/>
        </w:rPr>
      </w:pPr>
      <w:r>
        <w:rPr>
          <w:rFonts w:ascii="Arial" w:cs="Arial" w:eastAsia="Arial" w:hAnsi="Arial"/>
          <w:sz w:val="19"/>
          <w:szCs w:val="19"/>
          <w:color w:val="auto"/>
        </w:rPr>
        <w:t>Our operating activities generated cash of 10.0 million for the three months ended December 31, 2008, and our financing activities used cash of $49.7 million for the same period, primarily from net repayments under our credit facility.</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300"/>
        <w:spacing w:after="0"/>
        <w:rPr>
          <w:sz w:val="20"/>
          <w:szCs w:val="20"/>
          <w:color w:val="auto"/>
        </w:rPr>
      </w:pPr>
      <w:r>
        <w:rPr>
          <w:rFonts w:ascii="Arial" w:cs="Arial" w:eastAsia="Arial" w:hAnsi="Arial"/>
          <w:sz w:val="22"/>
          <w:szCs w:val="22"/>
          <w:color w:val="auto"/>
        </w:rPr>
        <w:t>During the three months ended December 31, 2009 and 2008, we declared distributions of $0.25 and $0.24 per share, respectively, for total distributions of $6.5 million and $5.1 million, respectively. Tax characteristics of all distributions will be reported to stockholders on Form 1099-DIV after the end of the calendar year.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PennantPark Investment Corporation makes available on its website its report on Form 10-Q. The Company has filed its report on Form 10-Q with the Securities Exchange Commission, and stockholders may find the report on www.pennantpark.com.</w:t>
      </w:r>
    </w:p>
    <w:p>
      <w:pPr>
        <w:spacing w:after="0" w:line="189" w:lineRule="exact"/>
        <w:rPr>
          <w:sz w:val="20"/>
          <w:szCs w:val="20"/>
          <w:color w:val="auto"/>
        </w:rPr>
      </w:pPr>
    </w:p>
    <w:p>
      <w:pPr>
        <w:jc w:val="center"/>
        <w:ind w:right="2840"/>
        <w:spacing w:after="0"/>
        <w:rPr>
          <w:sz w:val="20"/>
          <w:szCs w:val="20"/>
          <w:color w:val="auto"/>
        </w:rPr>
      </w:pPr>
      <w:r>
        <w:rPr>
          <w:rFonts w:ascii="Arial" w:cs="Arial" w:eastAsia="Arial" w:hAnsi="Arial"/>
          <w:sz w:val="16"/>
          <w:szCs w:val="16"/>
          <w:b w:val="1"/>
          <w:bCs w:val="1"/>
          <w:color w:val="auto"/>
        </w:rPr>
        <w:t>PENNANTPARK INVESTMENT CORPORATION</w:t>
      </w:r>
    </w:p>
    <w:p>
      <w:pPr>
        <w:spacing w:after="0" w:line="25" w:lineRule="exact"/>
        <w:rPr>
          <w:sz w:val="20"/>
          <w:szCs w:val="20"/>
          <w:color w:val="auto"/>
        </w:rPr>
      </w:pPr>
    </w:p>
    <w:p>
      <w:pPr>
        <w:jc w:val="center"/>
        <w:ind w:right="2840"/>
        <w:spacing w:after="0"/>
        <w:rPr>
          <w:sz w:val="20"/>
          <w:szCs w:val="20"/>
          <w:color w:val="auto"/>
        </w:rPr>
      </w:pPr>
      <w:r>
        <w:rPr>
          <w:rFonts w:ascii="Arial" w:cs="Arial" w:eastAsia="Arial" w:hAnsi="Arial"/>
          <w:sz w:val="16"/>
          <w:szCs w:val="16"/>
          <w:b w:val="1"/>
          <w:bCs w:val="1"/>
          <w:color w:val="auto"/>
        </w:rPr>
        <w:t>STATEMENTS OF ASSETS AND LIABILITIES</w:t>
      </w:r>
    </w:p>
    <w:p>
      <w:pPr>
        <w:spacing w:after="0" w:line="255"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170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December 31, 2009</w:t>
            </w:r>
          </w:p>
        </w:tc>
        <w:tc>
          <w:tcPr>
            <w:tcW w:w="15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September 30, 2009</w:t>
            </w:r>
          </w:p>
        </w:tc>
        <w:tc>
          <w:tcPr>
            <w:tcW w:w="0" w:type="dxa"/>
            <w:vAlign w:val="bottom"/>
          </w:tcPr>
          <w:p>
            <w:pPr>
              <w:spacing w:after="0"/>
              <w:rPr>
                <w:sz w:val="1"/>
                <w:szCs w:val="1"/>
                <w:color w:val="auto"/>
              </w:rPr>
            </w:pPr>
          </w:p>
        </w:tc>
      </w:tr>
      <w:tr>
        <w:trPr>
          <w:trHeight w:val="120"/>
        </w:trPr>
        <w:tc>
          <w:tcPr>
            <w:tcW w:w="4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2"/>
            <w:vMerge w:val="restart"/>
          </w:tcPr>
          <w:p>
            <w:pPr>
              <w:jc w:val="right"/>
              <w:ind w:right="520"/>
              <w:spacing w:after="0"/>
              <w:rPr>
                <w:sz w:val="20"/>
                <w:szCs w:val="20"/>
                <w:color w:val="auto"/>
              </w:rPr>
            </w:pPr>
            <w:r>
              <w:rPr>
                <w:rFonts w:ascii="Arial" w:cs="Arial" w:eastAsia="Arial" w:hAnsi="Arial"/>
                <w:sz w:val="16"/>
                <w:szCs w:val="16"/>
                <w:b w:val="1"/>
                <w:bCs w:val="1"/>
                <w:color w:val="auto"/>
              </w:rPr>
              <w:t>(unaudited)</w:t>
            </w: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4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49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0"/>
                <w:szCs w:val="20"/>
                <w:color w:val="auto"/>
              </w:rPr>
            </w:pPr>
            <w:r>
              <w:rPr>
                <w:rFonts w:ascii="Arial" w:cs="Arial" w:eastAsia="Arial" w:hAnsi="Arial"/>
                <w:sz w:val="16"/>
                <w:szCs w:val="16"/>
                <w:color w:val="auto"/>
              </w:rPr>
              <w:t>Investments at fair value</w:t>
            </w: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40" w:type="dxa"/>
            <w:vAlign w:val="bottom"/>
          </w:tcPr>
          <w:p>
            <w:pPr>
              <w:ind w:left="140"/>
              <w:spacing w:after="0"/>
              <w:rPr>
                <w:sz w:val="20"/>
                <w:szCs w:val="20"/>
                <w:color w:val="auto"/>
              </w:rPr>
            </w:pPr>
            <w:r>
              <w:rPr>
                <w:rFonts w:ascii="Arial" w:cs="Arial" w:eastAsia="Arial" w:hAnsi="Arial"/>
                <w:sz w:val="16"/>
                <w:szCs w:val="16"/>
                <w:color w:val="auto"/>
              </w:rPr>
              <w:t>Non-controlled, non-affiliated investments, at fair value</w:t>
            </w: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940" w:type="dxa"/>
            <w:vAlign w:val="bottom"/>
          </w:tcPr>
          <w:p>
            <w:pPr>
              <w:ind w:left="180"/>
              <w:spacing w:after="0"/>
              <w:rPr>
                <w:sz w:val="20"/>
                <w:szCs w:val="20"/>
                <w:color w:val="auto"/>
              </w:rPr>
            </w:pPr>
            <w:r>
              <w:rPr>
                <w:rFonts w:ascii="Arial" w:cs="Arial" w:eastAsia="Arial" w:hAnsi="Arial"/>
                <w:sz w:val="16"/>
                <w:szCs w:val="16"/>
                <w:color w:val="auto"/>
              </w:rPr>
              <w:t>(cost -- $499,221,096 and $479,909,805, respectively)</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$497,049,288</w:t>
            </w:r>
          </w:p>
        </w:tc>
        <w:tc>
          <w:tcPr>
            <w:tcW w:w="22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$453,644,335</w:t>
            </w:r>
          </w:p>
        </w:tc>
        <w:tc>
          <w:tcPr>
            <w:tcW w:w="0" w:type="dxa"/>
            <w:vAlign w:val="bottom"/>
          </w:tcPr>
          <w:p>
            <w:pPr>
              <w:spacing w:after="0"/>
              <w:rPr>
                <w:sz w:val="1"/>
                <w:szCs w:val="1"/>
                <w:color w:val="auto"/>
              </w:rPr>
            </w:pPr>
          </w:p>
        </w:tc>
      </w:tr>
      <w:tr>
        <w:trPr>
          <w:trHeight w:val="264"/>
        </w:trPr>
        <w:tc>
          <w:tcPr>
            <w:tcW w:w="4940" w:type="dxa"/>
            <w:vAlign w:val="bottom"/>
          </w:tcPr>
          <w:p>
            <w:pPr>
              <w:ind w:left="140"/>
              <w:spacing w:after="0"/>
              <w:rPr>
                <w:sz w:val="20"/>
                <w:szCs w:val="20"/>
                <w:color w:val="auto"/>
              </w:rPr>
            </w:pPr>
            <w:r>
              <w:rPr>
                <w:rFonts w:ascii="Arial" w:cs="Arial" w:eastAsia="Arial" w:hAnsi="Arial"/>
                <w:sz w:val="16"/>
                <w:szCs w:val="16"/>
                <w:color w:val="auto"/>
              </w:rPr>
              <w:t>Non-controlled, affiliated investments, at fair value</w:t>
            </w: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4940" w:type="dxa"/>
            <w:vAlign w:val="bottom"/>
          </w:tcPr>
          <w:p>
            <w:pPr>
              <w:ind w:left="180"/>
              <w:spacing w:after="0"/>
              <w:rPr>
                <w:sz w:val="20"/>
                <w:szCs w:val="20"/>
                <w:color w:val="auto"/>
              </w:rPr>
            </w:pPr>
            <w:r>
              <w:rPr>
                <w:rFonts w:ascii="Arial" w:cs="Arial" w:eastAsia="Arial" w:hAnsi="Arial"/>
                <w:sz w:val="16"/>
                <w:szCs w:val="16"/>
                <w:color w:val="auto"/>
              </w:rPr>
              <w:t>(cost -- $17,566,905 and $17,378,081, respectively)</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16,092,038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16,115,738</w:t>
            </w:r>
          </w:p>
        </w:tc>
        <w:tc>
          <w:tcPr>
            <w:tcW w:w="0" w:type="dxa"/>
            <w:vAlign w:val="bottom"/>
          </w:tcPr>
          <w:p>
            <w:pPr>
              <w:spacing w:after="0"/>
              <w:rPr>
                <w:sz w:val="1"/>
                <w:szCs w:val="1"/>
                <w:color w:val="auto"/>
              </w:rPr>
            </w:pPr>
          </w:p>
        </w:tc>
      </w:tr>
      <w:tr>
        <w:trPr>
          <w:trHeight w:val="73"/>
        </w:trPr>
        <w:tc>
          <w:tcPr>
            <w:tcW w:w="4940" w:type="dxa"/>
            <w:vAlign w:val="bottom"/>
            <w:vMerge w:val="restart"/>
          </w:tcPr>
          <w:p>
            <w:pPr>
              <w:ind w:left="140"/>
              <w:spacing w:after="0"/>
              <w:rPr>
                <w:sz w:val="20"/>
                <w:szCs w:val="20"/>
                <w:color w:val="auto"/>
              </w:rPr>
            </w:pPr>
            <w:r>
              <w:rPr>
                <w:rFonts w:ascii="Arial" w:cs="Arial" w:eastAsia="Arial" w:hAnsi="Arial"/>
                <w:sz w:val="16"/>
                <w:szCs w:val="16"/>
                <w:color w:val="auto"/>
              </w:rPr>
              <w:t>Total of Investments, at fair value</w:t>
            </w:r>
          </w:p>
        </w:tc>
        <w:tc>
          <w:tcPr>
            <w:tcW w:w="16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54"/>
        </w:trPr>
        <w:tc>
          <w:tcPr>
            <w:tcW w:w="49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940" w:type="dxa"/>
            <w:vAlign w:val="bottom"/>
          </w:tcPr>
          <w:p>
            <w:pPr>
              <w:ind w:left="180"/>
              <w:spacing w:after="0"/>
              <w:rPr>
                <w:sz w:val="20"/>
                <w:szCs w:val="20"/>
                <w:color w:val="auto"/>
              </w:rPr>
            </w:pPr>
            <w:r>
              <w:rPr>
                <w:rFonts w:ascii="Arial" w:cs="Arial" w:eastAsia="Arial" w:hAnsi="Arial"/>
                <w:sz w:val="16"/>
                <w:szCs w:val="16"/>
                <w:color w:val="auto"/>
              </w:rPr>
              <w:t>(cost -- $516,788,001 and $497,287,886, respectively)</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513,141,326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469,760,073</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0"/>
                <w:szCs w:val="20"/>
                <w:color w:val="auto"/>
              </w:rPr>
            </w:pPr>
            <w:r>
              <w:rPr>
                <w:rFonts w:ascii="Arial" w:cs="Arial" w:eastAsia="Arial" w:hAnsi="Arial"/>
                <w:sz w:val="16"/>
                <w:szCs w:val="16"/>
                <w:color w:val="auto"/>
              </w:rPr>
              <w:t>Cash equivalents</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7,051,165</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33,247,666</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0"/>
                <w:szCs w:val="20"/>
                <w:color w:val="auto"/>
              </w:rPr>
            </w:pPr>
            <w:r>
              <w:rPr>
                <w:rFonts w:ascii="Arial" w:cs="Arial" w:eastAsia="Arial" w:hAnsi="Arial"/>
                <w:sz w:val="16"/>
                <w:szCs w:val="16"/>
                <w:color w:val="auto"/>
              </w:rPr>
              <w:t>Interest receivable</w:t>
            </w:r>
          </w:p>
        </w:tc>
        <w:tc>
          <w:tcPr>
            <w:tcW w:w="1700" w:type="dxa"/>
            <w:vAlign w:val="bottom"/>
            <w:gridSpan w:val="3"/>
          </w:tcPr>
          <w:p>
            <w:pPr>
              <w:jc w:val="right"/>
              <w:ind w:right="220"/>
              <w:spacing w:after="0"/>
              <w:rPr>
                <w:sz w:val="20"/>
                <w:szCs w:val="20"/>
                <w:color w:val="auto"/>
              </w:rPr>
            </w:pPr>
            <w:r>
              <w:rPr>
                <w:rFonts w:ascii="Arial" w:cs="Arial" w:eastAsia="Arial" w:hAnsi="Arial"/>
                <w:sz w:val="16"/>
                <w:szCs w:val="16"/>
                <w:color w:val="auto"/>
              </w:rPr>
              <w:t>5,714,129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5,539,056</w:t>
            </w:r>
          </w:p>
        </w:tc>
        <w:tc>
          <w:tcPr>
            <w:tcW w:w="0" w:type="dxa"/>
            <w:vAlign w:val="bottom"/>
          </w:tcPr>
          <w:p>
            <w:pPr>
              <w:spacing w:after="0"/>
              <w:rPr>
                <w:sz w:val="1"/>
                <w:szCs w:val="1"/>
                <w:color w:val="auto"/>
              </w:rPr>
            </w:pPr>
          </w:p>
        </w:tc>
      </w:tr>
    </w:tbl>
    <w:p>
      <w:pPr>
        <w:sectPr>
          <w:pgSz w:w="11900" w:h="16899" w:orient="portrait"/>
          <w:cols w:equalWidth="0" w:num="1">
            <w:col w:w="11240"/>
          </w:cols>
          <w:pgMar w:left="320" w:top="118" w:right="339" w:bottom="0" w:gutter="0" w:footer="0" w:header="0"/>
        </w:sectPr>
      </w:pPr>
    </w:p>
    <w:bookmarkStart w:id="5" w:name="page6"/>
    <w:bookmarkEnd w:id="5"/>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00" w:type="dxa"/>
            <w:vAlign w:val="bottom"/>
          </w:tcPr>
          <w:p>
            <w:pPr>
              <w:spacing w:after="0"/>
              <w:rPr>
                <w:sz w:val="20"/>
                <w:szCs w:val="20"/>
                <w:color w:val="auto"/>
              </w:rPr>
            </w:pPr>
            <w:r>
              <w:rPr>
                <w:rFonts w:ascii="Arial" w:cs="Arial" w:eastAsia="Arial" w:hAnsi="Arial"/>
                <w:sz w:val="16"/>
                <w:szCs w:val="16"/>
                <w:color w:val="auto"/>
              </w:rPr>
              <w:t>Receivables for investments sold</w:t>
            </w:r>
          </w:p>
        </w:tc>
        <w:tc>
          <w:tcPr>
            <w:tcW w:w="1320" w:type="dxa"/>
            <w:vAlign w:val="bottom"/>
          </w:tcPr>
          <w:p>
            <w:pPr>
              <w:jc w:val="right"/>
              <w:spacing w:after="0"/>
              <w:rPr>
                <w:sz w:val="20"/>
                <w:szCs w:val="20"/>
                <w:color w:val="auto"/>
              </w:rPr>
            </w:pPr>
            <w:r>
              <w:rPr>
                <w:rFonts w:ascii="Arial" w:cs="Arial" w:eastAsia="Arial" w:hAnsi="Arial"/>
                <w:sz w:val="16"/>
                <w:szCs w:val="16"/>
                <w:color w:val="auto"/>
              </w:rPr>
              <w:t>45,891</w:t>
            </w:r>
          </w:p>
        </w:tc>
        <w:tc>
          <w:tcPr>
            <w:tcW w:w="3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2,726,007</w:t>
            </w: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0"/>
                <w:szCs w:val="20"/>
                <w:color w:val="auto"/>
              </w:rPr>
            </w:pPr>
            <w:r>
              <w:rPr>
                <w:rFonts w:ascii="Arial" w:cs="Arial" w:eastAsia="Arial" w:hAnsi="Arial"/>
                <w:sz w:val="16"/>
                <w:szCs w:val="16"/>
                <w:color w:val="auto"/>
              </w:rPr>
              <w:t>Prepaid expenses and other assets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945,283</w:t>
            </w:r>
          </w:p>
        </w:tc>
        <w:tc>
          <w:tcPr>
            <w:tcW w:w="36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1,108,567</w:t>
            </w:r>
          </w:p>
        </w:tc>
        <w:tc>
          <w:tcPr>
            <w:tcW w:w="0" w:type="dxa"/>
            <w:vAlign w:val="bottom"/>
          </w:tcPr>
          <w:p>
            <w:pPr>
              <w:spacing w:after="0"/>
              <w:rPr>
                <w:sz w:val="1"/>
                <w:szCs w:val="1"/>
                <w:color w:val="auto"/>
              </w:rPr>
            </w:pPr>
          </w:p>
        </w:tc>
      </w:tr>
      <w:tr>
        <w:trPr>
          <w:trHeight w:val="263"/>
        </w:trPr>
        <w:tc>
          <w:tcPr>
            <w:tcW w:w="5100" w:type="dxa"/>
            <w:vAlign w:val="bottom"/>
          </w:tcPr>
          <w:p>
            <w:pPr>
              <w:ind w:left="280"/>
              <w:spacing w:after="0"/>
              <w:rPr>
                <w:sz w:val="20"/>
                <w:szCs w:val="20"/>
                <w:color w:val="auto"/>
              </w:rPr>
            </w:pPr>
            <w:r>
              <w:rPr>
                <w:rFonts w:ascii="Arial" w:cs="Arial" w:eastAsia="Arial" w:hAnsi="Arial"/>
                <w:sz w:val="16"/>
                <w:szCs w:val="16"/>
                <w:b w:val="1"/>
                <w:bCs w:val="1"/>
                <w:color w:val="auto"/>
              </w:rPr>
              <w:t>Total assets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526,897,794</w:t>
            </w:r>
          </w:p>
        </w:tc>
        <w:tc>
          <w:tcPr>
            <w:tcW w:w="36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512,381,369</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1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6"/>
                <w:szCs w:val="16"/>
                <w:color w:val="auto"/>
              </w:rPr>
              <w:t>Distributions payable</w:t>
            </w:r>
          </w:p>
        </w:tc>
        <w:tc>
          <w:tcPr>
            <w:tcW w:w="1320" w:type="dxa"/>
            <w:vAlign w:val="bottom"/>
          </w:tcPr>
          <w:p>
            <w:pPr>
              <w:jc w:val="right"/>
              <w:spacing w:after="0"/>
              <w:rPr>
                <w:sz w:val="20"/>
                <w:szCs w:val="20"/>
                <w:color w:val="auto"/>
              </w:rPr>
            </w:pPr>
            <w:r>
              <w:rPr>
                <w:rFonts w:ascii="Arial" w:cs="Arial" w:eastAsia="Arial" w:hAnsi="Arial"/>
                <w:sz w:val="16"/>
                <w:szCs w:val="16"/>
                <w:color w:val="auto"/>
              </w:rPr>
              <w:t>6,452,193</w:t>
            </w:r>
          </w:p>
        </w:tc>
        <w:tc>
          <w:tcPr>
            <w:tcW w:w="3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5,056,505</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6"/>
                <w:szCs w:val="16"/>
                <w:color w:val="auto"/>
              </w:rPr>
              <w:t>Payable for investments purchased</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19,489,525</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6"/>
                <w:szCs w:val="16"/>
                <w:color w:val="auto"/>
              </w:rPr>
              <w:t>Unfunded investments</w:t>
            </w:r>
          </w:p>
        </w:tc>
        <w:tc>
          <w:tcPr>
            <w:tcW w:w="1320" w:type="dxa"/>
            <w:vAlign w:val="bottom"/>
          </w:tcPr>
          <w:p>
            <w:pPr>
              <w:jc w:val="right"/>
              <w:spacing w:after="0"/>
              <w:rPr>
                <w:sz w:val="20"/>
                <w:szCs w:val="20"/>
                <w:color w:val="auto"/>
              </w:rPr>
            </w:pPr>
            <w:r>
              <w:rPr>
                <w:rFonts w:ascii="Arial" w:cs="Arial" w:eastAsia="Arial" w:hAnsi="Arial"/>
                <w:sz w:val="16"/>
                <w:szCs w:val="16"/>
                <w:color w:val="auto"/>
              </w:rPr>
              <w:t>6,455,018</w:t>
            </w:r>
          </w:p>
        </w:tc>
        <w:tc>
          <w:tcPr>
            <w:tcW w:w="3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6,331,385</w:t>
            </w: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0"/>
                <w:szCs w:val="20"/>
                <w:color w:val="auto"/>
              </w:rPr>
            </w:pPr>
            <w:r>
              <w:rPr>
                <w:rFonts w:ascii="Arial" w:cs="Arial" w:eastAsia="Arial" w:hAnsi="Arial"/>
                <w:sz w:val="16"/>
                <w:szCs w:val="16"/>
                <w:color w:val="auto"/>
              </w:rPr>
              <w:t>Credit facility payable</w:t>
            </w:r>
          </w:p>
        </w:tc>
        <w:tc>
          <w:tcPr>
            <w:tcW w:w="1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5100" w:type="dxa"/>
            <w:vAlign w:val="bottom"/>
          </w:tcPr>
          <w:p>
            <w:pPr>
              <w:ind w:left="60"/>
              <w:spacing w:after="0"/>
              <w:rPr>
                <w:sz w:val="20"/>
                <w:szCs w:val="20"/>
                <w:color w:val="auto"/>
              </w:rPr>
            </w:pPr>
            <w:r>
              <w:rPr>
                <w:rFonts w:ascii="Arial" w:cs="Arial" w:eastAsia="Arial" w:hAnsi="Arial"/>
                <w:sz w:val="16"/>
                <w:szCs w:val="16"/>
                <w:color w:val="auto"/>
              </w:rPr>
              <w:t>(cost -- $245,700,000 and $225,100,000, respectively)</w:t>
            </w:r>
          </w:p>
        </w:tc>
        <w:tc>
          <w:tcPr>
            <w:tcW w:w="1320" w:type="dxa"/>
            <w:vAlign w:val="bottom"/>
          </w:tcPr>
          <w:p>
            <w:pPr>
              <w:jc w:val="right"/>
              <w:spacing w:after="0"/>
              <w:rPr>
                <w:sz w:val="20"/>
                <w:szCs w:val="20"/>
                <w:color w:val="auto"/>
              </w:rPr>
            </w:pPr>
            <w:r>
              <w:rPr>
                <w:rFonts w:ascii="Arial" w:cs="Arial" w:eastAsia="Arial" w:hAnsi="Arial"/>
                <w:sz w:val="16"/>
                <w:szCs w:val="16"/>
                <w:color w:val="auto"/>
              </w:rPr>
              <w:t>201,914,294</w:t>
            </w:r>
          </w:p>
        </w:tc>
        <w:tc>
          <w:tcPr>
            <w:tcW w:w="3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175,475,380</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6"/>
                <w:szCs w:val="16"/>
                <w:color w:val="auto"/>
              </w:rPr>
              <w:t>Interest payable on credit facility</w:t>
            </w:r>
          </w:p>
        </w:tc>
        <w:tc>
          <w:tcPr>
            <w:tcW w:w="1320" w:type="dxa"/>
            <w:vAlign w:val="bottom"/>
          </w:tcPr>
          <w:p>
            <w:pPr>
              <w:jc w:val="right"/>
              <w:spacing w:after="0"/>
              <w:rPr>
                <w:sz w:val="20"/>
                <w:szCs w:val="20"/>
                <w:color w:val="auto"/>
              </w:rPr>
            </w:pPr>
            <w:r>
              <w:rPr>
                <w:rFonts w:ascii="Arial" w:cs="Arial" w:eastAsia="Arial" w:hAnsi="Arial"/>
                <w:sz w:val="16"/>
                <w:szCs w:val="16"/>
                <w:color w:val="auto"/>
              </w:rPr>
              <w:t>61,834</w:t>
            </w:r>
          </w:p>
        </w:tc>
        <w:tc>
          <w:tcPr>
            <w:tcW w:w="3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72,788</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6"/>
                <w:szCs w:val="16"/>
                <w:color w:val="auto"/>
              </w:rPr>
              <w:t>Management fee payable</w:t>
            </w:r>
          </w:p>
        </w:tc>
        <w:tc>
          <w:tcPr>
            <w:tcW w:w="1320" w:type="dxa"/>
            <w:vAlign w:val="bottom"/>
          </w:tcPr>
          <w:p>
            <w:pPr>
              <w:jc w:val="right"/>
              <w:spacing w:after="0"/>
              <w:rPr>
                <w:sz w:val="20"/>
                <w:szCs w:val="20"/>
                <w:color w:val="auto"/>
              </w:rPr>
            </w:pPr>
            <w:r>
              <w:rPr>
                <w:rFonts w:ascii="Arial" w:cs="Arial" w:eastAsia="Arial" w:hAnsi="Arial"/>
                <w:sz w:val="16"/>
                <w:szCs w:val="16"/>
                <w:color w:val="auto"/>
              </w:rPr>
              <w:t>2,524,653</w:t>
            </w:r>
          </w:p>
        </w:tc>
        <w:tc>
          <w:tcPr>
            <w:tcW w:w="3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2,220,110</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6"/>
                <w:szCs w:val="16"/>
                <w:color w:val="auto"/>
              </w:rPr>
              <w:t>Performance-based incentive fee payable</w:t>
            </w:r>
          </w:p>
        </w:tc>
        <w:tc>
          <w:tcPr>
            <w:tcW w:w="1320" w:type="dxa"/>
            <w:vAlign w:val="bottom"/>
          </w:tcPr>
          <w:p>
            <w:pPr>
              <w:jc w:val="right"/>
              <w:spacing w:after="0"/>
              <w:rPr>
                <w:sz w:val="20"/>
                <w:szCs w:val="20"/>
                <w:color w:val="auto"/>
              </w:rPr>
            </w:pPr>
            <w:r>
              <w:rPr>
                <w:rFonts w:ascii="Arial" w:cs="Arial" w:eastAsia="Arial" w:hAnsi="Arial"/>
                <w:sz w:val="16"/>
                <w:szCs w:val="16"/>
                <w:color w:val="auto"/>
              </w:rPr>
              <w:t>1,809,453</w:t>
            </w:r>
          </w:p>
        </w:tc>
        <w:tc>
          <w:tcPr>
            <w:tcW w:w="3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1,508,164</w:t>
            </w:r>
          </w:p>
        </w:tc>
        <w:tc>
          <w:tcPr>
            <w:tcW w:w="0" w:type="dxa"/>
            <w:vAlign w:val="bottom"/>
          </w:tcPr>
          <w:p>
            <w:pPr>
              <w:spacing w:after="0"/>
              <w:rPr>
                <w:sz w:val="1"/>
                <w:szCs w:val="1"/>
                <w:color w:val="auto"/>
              </w:rPr>
            </w:pPr>
          </w:p>
        </w:tc>
      </w:tr>
      <w:tr>
        <w:trPr>
          <w:trHeight w:val="262"/>
        </w:trPr>
        <w:tc>
          <w:tcPr>
            <w:tcW w:w="5100" w:type="dxa"/>
            <w:vAlign w:val="bottom"/>
          </w:tcPr>
          <w:p>
            <w:pPr>
              <w:spacing w:after="0"/>
              <w:rPr>
                <w:sz w:val="20"/>
                <w:szCs w:val="20"/>
                <w:color w:val="auto"/>
              </w:rPr>
            </w:pPr>
            <w:r>
              <w:rPr>
                <w:rFonts w:ascii="Arial" w:cs="Arial" w:eastAsia="Arial" w:hAnsi="Arial"/>
                <w:sz w:val="16"/>
                <w:szCs w:val="16"/>
                <w:color w:val="auto"/>
              </w:rPr>
              <w:t>Accrued other expenses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1,532,027</w:t>
            </w:r>
          </w:p>
        </w:tc>
        <w:tc>
          <w:tcPr>
            <w:tcW w:w="36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1,647,244</w:t>
            </w:r>
          </w:p>
        </w:tc>
        <w:tc>
          <w:tcPr>
            <w:tcW w:w="0" w:type="dxa"/>
            <w:vAlign w:val="bottom"/>
          </w:tcPr>
          <w:p>
            <w:pPr>
              <w:spacing w:after="0"/>
              <w:rPr>
                <w:sz w:val="1"/>
                <w:szCs w:val="1"/>
                <w:color w:val="auto"/>
              </w:rPr>
            </w:pPr>
          </w:p>
        </w:tc>
      </w:tr>
      <w:tr>
        <w:trPr>
          <w:trHeight w:val="263"/>
        </w:trPr>
        <w:tc>
          <w:tcPr>
            <w:tcW w:w="5100" w:type="dxa"/>
            <w:vAlign w:val="bottom"/>
          </w:tcPr>
          <w:p>
            <w:pPr>
              <w:ind w:left="280"/>
              <w:spacing w:after="0"/>
              <w:rPr>
                <w:sz w:val="20"/>
                <w:szCs w:val="20"/>
                <w:color w:val="auto"/>
              </w:rPr>
            </w:pPr>
            <w:r>
              <w:rPr>
                <w:rFonts w:ascii="Arial" w:cs="Arial" w:eastAsia="Arial" w:hAnsi="Arial"/>
                <w:sz w:val="16"/>
                <w:szCs w:val="16"/>
                <w:b w:val="1"/>
                <w:bCs w:val="1"/>
                <w:color w:val="auto"/>
              </w:rPr>
              <w:t>Total liabilities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220,749,472</w:t>
            </w:r>
          </w:p>
        </w:tc>
        <w:tc>
          <w:tcPr>
            <w:tcW w:w="36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211,801,101</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6"/>
                <w:szCs w:val="16"/>
                <w:b w:val="1"/>
                <w:bCs w:val="1"/>
                <w:color w:val="auto"/>
              </w:rPr>
              <w:t>Net Assets</w:t>
            </w: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1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00" w:type="dxa"/>
            <w:vAlign w:val="bottom"/>
          </w:tcPr>
          <w:p>
            <w:pPr>
              <w:spacing w:after="0"/>
              <w:rPr>
                <w:sz w:val="20"/>
                <w:szCs w:val="20"/>
                <w:color w:val="auto"/>
              </w:rPr>
            </w:pPr>
            <w:r>
              <w:rPr>
                <w:rFonts w:ascii="Arial" w:cs="Arial" w:eastAsia="Arial" w:hAnsi="Arial"/>
                <w:sz w:val="16"/>
                <w:szCs w:val="16"/>
                <w:color w:val="auto"/>
              </w:rPr>
              <w:t>Common stock, par value $0.001 per share,</w:t>
            </w:r>
          </w:p>
        </w:tc>
        <w:tc>
          <w:tcPr>
            <w:tcW w:w="1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60"/>
              <w:spacing w:after="0"/>
              <w:rPr>
                <w:sz w:val="20"/>
                <w:szCs w:val="20"/>
                <w:color w:val="auto"/>
              </w:rPr>
            </w:pPr>
            <w:r>
              <w:rPr>
                <w:rFonts w:ascii="Arial" w:cs="Arial" w:eastAsia="Arial" w:hAnsi="Arial"/>
                <w:sz w:val="16"/>
                <w:szCs w:val="16"/>
                <w:color w:val="auto"/>
              </w:rPr>
              <w:t>100,000,000 shares authorized, 25,808,772 and 25,368,772</w:t>
            </w: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tcPr>
          <w:p>
            <w:pPr>
              <w:ind w:left="60"/>
              <w:spacing w:after="0"/>
              <w:rPr>
                <w:sz w:val="20"/>
                <w:szCs w:val="20"/>
                <w:color w:val="auto"/>
              </w:rPr>
            </w:pPr>
            <w:r>
              <w:rPr>
                <w:rFonts w:ascii="Arial" w:cs="Arial" w:eastAsia="Arial" w:hAnsi="Arial"/>
                <w:sz w:val="16"/>
                <w:szCs w:val="16"/>
                <w:color w:val="auto"/>
              </w:rPr>
              <w:t>shares issued and outstanding, respectively</w:t>
            </w:r>
          </w:p>
        </w:tc>
        <w:tc>
          <w:tcPr>
            <w:tcW w:w="1320" w:type="dxa"/>
            <w:vAlign w:val="bottom"/>
          </w:tcPr>
          <w:p>
            <w:pPr>
              <w:jc w:val="right"/>
              <w:spacing w:after="0"/>
              <w:rPr>
                <w:sz w:val="20"/>
                <w:szCs w:val="20"/>
                <w:color w:val="auto"/>
              </w:rPr>
            </w:pPr>
            <w:r>
              <w:rPr>
                <w:rFonts w:ascii="Arial" w:cs="Arial" w:eastAsia="Arial" w:hAnsi="Arial"/>
                <w:sz w:val="16"/>
                <w:szCs w:val="16"/>
                <w:color w:val="auto"/>
              </w:rPr>
              <w:t>25,809</w:t>
            </w:r>
          </w:p>
        </w:tc>
        <w:tc>
          <w:tcPr>
            <w:tcW w:w="3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25,369</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6"/>
                <w:szCs w:val="16"/>
                <w:color w:val="auto"/>
              </w:rPr>
              <w:t>Paid-in capital in excess of par</w:t>
            </w:r>
          </w:p>
        </w:tc>
        <w:tc>
          <w:tcPr>
            <w:tcW w:w="1320" w:type="dxa"/>
            <w:vAlign w:val="bottom"/>
          </w:tcPr>
          <w:p>
            <w:pPr>
              <w:jc w:val="right"/>
              <w:spacing w:after="0"/>
              <w:rPr>
                <w:sz w:val="20"/>
                <w:szCs w:val="20"/>
                <w:color w:val="auto"/>
              </w:rPr>
            </w:pPr>
            <w:r>
              <w:rPr>
                <w:rFonts w:ascii="Arial" w:cs="Arial" w:eastAsia="Arial" w:hAnsi="Arial"/>
                <w:sz w:val="16"/>
                <w:szCs w:val="16"/>
                <w:color w:val="auto"/>
              </w:rPr>
              <w:t>330,405,864</w:t>
            </w:r>
          </w:p>
        </w:tc>
        <w:tc>
          <w:tcPr>
            <w:tcW w:w="3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327,062,304</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6"/>
                <w:szCs w:val="16"/>
                <w:color w:val="auto"/>
              </w:rPr>
              <w:t>Undistributed net investment income</w:t>
            </w:r>
          </w:p>
        </w:tc>
        <w:tc>
          <w:tcPr>
            <w:tcW w:w="1320" w:type="dxa"/>
            <w:vAlign w:val="bottom"/>
          </w:tcPr>
          <w:p>
            <w:pPr>
              <w:jc w:val="right"/>
              <w:spacing w:after="0"/>
              <w:rPr>
                <w:sz w:val="20"/>
                <w:szCs w:val="20"/>
                <w:color w:val="auto"/>
              </w:rPr>
            </w:pPr>
            <w:r>
              <w:rPr>
                <w:rFonts w:ascii="Arial" w:cs="Arial" w:eastAsia="Arial" w:hAnsi="Arial"/>
                <w:sz w:val="16"/>
                <w:szCs w:val="16"/>
                <w:color w:val="auto"/>
              </w:rPr>
              <w:t>2,675,930</w:t>
            </w:r>
          </w:p>
        </w:tc>
        <w:tc>
          <w:tcPr>
            <w:tcW w:w="3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1,890,235</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6"/>
                <w:szCs w:val="16"/>
                <w:color w:val="auto"/>
              </w:rPr>
              <w:t>Accumulated net realized loss on investments and cash equivalents</w:t>
            </w:r>
          </w:p>
        </w:tc>
        <w:tc>
          <w:tcPr>
            <w:tcW w:w="1320" w:type="dxa"/>
            <w:vAlign w:val="bottom"/>
          </w:tcPr>
          <w:p>
            <w:pPr>
              <w:jc w:val="right"/>
              <w:spacing w:after="0"/>
              <w:rPr>
                <w:sz w:val="20"/>
                <w:szCs w:val="20"/>
                <w:color w:val="auto"/>
              </w:rPr>
            </w:pPr>
            <w:r>
              <w:rPr>
                <w:rFonts w:ascii="Arial" w:cs="Arial" w:eastAsia="Arial" w:hAnsi="Arial"/>
                <w:sz w:val="16"/>
                <w:szCs w:val="16"/>
                <w:color w:val="auto"/>
              </w:rPr>
              <w:t>(67,098,312)</w:t>
            </w:r>
          </w:p>
        </w:tc>
        <w:tc>
          <w:tcPr>
            <w:tcW w:w="3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(50,494,447)</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6"/>
                <w:szCs w:val="16"/>
                <w:color w:val="auto"/>
              </w:rPr>
              <w:t>Net unrealized depreciation on investments</w:t>
            </w:r>
          </w:p>
        </w:tc>
        <w:tc>
          <w:tcPr>
            <w:tcW w:w="1320" w:type="dxa"/>
            <w:vAlign w:val="bottom"/>
          </w:tcPr>
          <w:p>
            <w:pPr>
              <w:jc w:val="right"/>
              <w:spacing w:after="0"/>
              <w:rPr>
                <w:sz w:val="20"/>
                <w:szCs w:val="20"/>
                <w:color w:val="auto"/>
              </w:rPr>
            </w:pPr>
            <w:r>
              <w:rPr>
                <w:rFonts w:ascii="Arial" w:cs="Arial" w:eastAsia="Arial" w:hAnsi="Arial"/>
                <w:sz w:val="16"/>
                <w:szCs w:val="16"/>
                <w:color w:val="auto"/>
              </w:rPr>
              <w:t>(3,646,675)</w:t>
            </w:r>
          </w:p>
        </w:tc>
        <w:tc>
          <w:tcPr>
            <w:tcW w:w="3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(27,527,813)</w:t>
            </w:r>
          </w:p>
        </w:tc>
        <w:tc>
          <w:tcPr>
            <w:tcW w:w="0" w:type="dxa"/>
            <w:vAlign w:val="bottom"/>
          </w:tcPr>
          <w:p>
            <w:pPr>
              <w:spacing w:after="0"/>
              <w:rPr>
                <w:sz w:val="1"/>
                <w:szCs w:val="1"/>
                <w:color w:val="auto"/>
              </w:rPr>
            </w:pPr>
          </w:p>
        </w:tc>
      </w:tr>
      <w:tr>
        <w:trPr>
          <w:trHeight w:val="262"/>
        </w:trPr>
        <w:tc>
          <w:tcPr>
            <w:tcW w:w="5100" w:type="dxa"/>
            <w:vAlign w:val="bottom"/>
          </w:tcPr>
          <w:p>
            <w:pPr>
              <w:spacing w:after="0"/>
              <w:rPr>
                <w:sz w:val="20"/>
                <w:szCs w:val="20"/>
                <w:color w:val="auto"/>
              </w:rPr>
            </w:pPr>
            <w:r>
              <w:rPr>
                <w:rFonts w:ascii="Arial" w:cs="Arial" w:eastAsia="Arial" w:hAnsi="Arial"/>
                <w:sz w:val="16"/>
                <w:szCs w:val="16"/>
                <w:color w:val="auto"/>
              </w:rPr>
              <w:t>Net unrealized depreciation on credit facility</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43,785,706</w:t>
            </w:r>
          </w:p>
        </w:tc>
        <w:tc>
          <w:tcPr>
            <w:tcW w:w="36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49,624,620</w:t>
            </w:r>
          </w:p>
        </w:tc>
        <w:tc>
          <w:tcPr>
            <w:tcW w:w="0" w:type="dxa"/>
            <w:vAlign w:val="bottom"/>
          </w:tcPr>
          <w:p>
            <w:pPr>
              <w:spacing w:after="0"/>
              <w:rPr>
                <w:sz w:val="1"/>
                <w:szCs w:val="1"/>
                <w:color w:val="auto"/>
              </w:rPr>
            </w:pPr>
          </w:p>
        </w:tc>
      </w:tr>
      <w:tr>
        <w:trPr>
          <w:trHeight w:val="271"/>
        </w:trPr>
        <w:tc>
          <w:tcPr>
            <w:tcW w:w="5100" w:type="dxa"/>
            <w:vAlign w:val="bottom"/>
          </w:tcPr>
          <w:p>
            <w:pPr>
              <w:ind w:left="280"/>
              <w:spacing w:after="0"/>
              <w:rPr>
                <w:sz w:val="20"/>
                <w:szCs w:val="20"/>
                <w:color w:val="auto"/>
              </w:rPr>
            </w:pPr>
            <w:r>
              <w:rPr>
                <w:rFonts w:ascii="Arial" w:cs="Arial" w:eastAsia="Arial" w:hAnsi="Arial"/>
                <w:sz w:val="16"/>
                <w:szCs w:val="16"/>
                <w:b w:val="1"/>
                <w:bCs w:val="1"/>
                <w:color w:val="auto"/>
              </w:rPr>
              <w:t>Total net assets</w:t>
            </w:r>
          </w:p>
        </w:tc>
        <w:tc>
          <w:tcPr>
            <w:tcW w:w="1320" w:type="dxa"/>
            <w:vAlign w:val="bottom"/>
          </w:tcPr>
          <w:p>
            <w:pPr>
              <w:jc w:val="right"/>
              <w:spacing w:after="0"/>
              <w:rPr>
                <w:sz w:val="20"/>
                <w:szCs w:val="20"/>
                <w:color w:val="auto"/>
              </w:rPr>
            </w:pPr>
            <w:r>
              <w:rPr>
                <w:rFonts w:ascii="Arial" w:cs="Arial" w:eastAsia="Arial" w:hAnsi="Arial"/>
                <w:sz w:val="16"/>
                <w:szCs w:val="16"/>
                <w:color w:val="auto"/>
              </w:rPr>
              <w:t>$306,148,322</w:t>
            </w:r>
          </w:p>
        </w:tc>
        <w:tc>
          <w:tcPr>
            <w:tcW w:w="3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$300,580,268</w:t>
            </w:r>
          </w:p>
        </w:tc>
        <w:tc>
          <w:tcPr>
            <w:tcW w:w="0" w:type="dxa"/>
            <w:vAlign w:val="bottom"/>
          </w:tcPr>
          <w:p>
            <w:pPr>
              <w:spacing w:after="0"/>
              <w:rPr>
                <w:sz w:val="1"/>
                <w:szCs w:val="1"/>
                <w:color w:val="auto"/>
              </w:rPr>
            </w:pPr>
          </w:p>
        </w:tc>
      </w:tr>
      <w:tr>
        <w:trPr>
          <w:trHeight w:val="74"/>
        </w:trPr>
        <w:tc>
          <w:tcPr>
            <w:tcW w:w="510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53"/>
        </w:trPr>
        <w:tc>
          <w:tcPr>
            <w:tcW w:w="5100" w:type="dxa"/>
            <w:vAlign w:val="bottom"/>
          </w:tcPr>
          <w:p>
            <w:pPr>
              <w:ind w:left="280"/>
              <w:spacing w:after="0"/>
              <w:rPr>
                <w:sz w:val="20"/>
                <w:szCs w:val="20"/>
                <w:color w:val="auto"/>
              </w:rPr>
            </w:pPr>
            <w:r>
              <w:rPr>
                <w:rFonts w:ascii="Arial" w:cs="Arial" w:eastAsia="Arial" w:hAnsi="Arial"/>
                <w:sz w:val="16"/>
                <w:szCs w:val="16"/>
                <w:b w:val="1"/>
                <w:bCs w:val="1"/>
                <w:color w:val="auto"/>
              </w:rPr>
              <w:t>Total liabilities and net assets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$526,897,794</w:t>
            </w:r>
          </w:p>
        </w:tc>
        <w:tc>
          <w:tcPr>
            <w:tcW w:w="36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$512,381,369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100" w:type="dxa"/>
            <w:vAlign w:val="bottom"/>
          </w:tcPr>
          <w:p>
            <w:pPr>
              <w:spacing w:after="0"/>
              <w:rPr>
                <w:sz w:val="20"/>
                <w:szCs w:val="20"/>
                <w:color w:val="auto"/>
              </w:rPr>
            </w:pPr>
            <w:r>
              <w:rPr>
                <w:rFonts w:ascii="Arial" w:cs="Arial" w:eastAsia="Arial" w:hAnsi="Arial"/>
                <w:sz w:val="16"/>
                <w:szCs w:val="16"/>
                <w:b w:val="1"/>
                <w:bCs w:val="1"/>
                <w:color w:val="auto"/>
              </w:rPr>
              <w:t>Net asset value per share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w:t>
            </w:r>
          </w:p>
        </w:tc>
        <w:tc>
          <w:tcPr>
            <w:tcW w:w="36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839"/>
        <w:spacing w:after="0"/>
        <w:rPr>
          <w:sz w:val="20"/>
          <w:szCs w:val="20"/>
          <w:color w:val="auto"/>
        </w:rPr>
      </w:pPr>
      <w:r>
        <w:rPr>
          <w:rFonts w:ascii="Arial" w:cs="Arial" w:eastAsia="Arial" w:hAnsi="Arial"/>
          <w:sz w:val="16"/>
          <w:szCs w:val="16"/>
          <w:b w:val="1"/>
          <w:bCs w:val="1"/>
          <w:color w:val="auto"/>
        </w:rPr>
        <w:t>PENNANTPARK INVESTMENT CORPORATION</w:t>
      </w:r>
    </w:p>
    <w:p>
      <w:pPr>
        <w:spacing w:after="0" w:line="25" w:lineRule="exact"/>
        <w:rPr>
          <w:sz w:val="20"/>
          <w:szCs w:val="20"/>
          <w:color w:val="auto"/>
        </w:rPr>
      </w:pPr>
    </w:p>
    <w:p>
      <w:pPr>
        <w:jc w:val="center"/>
        <w:ind w:right="1839"/>
        <w:spacing w:after="0"/>
        <w:rPr>
          <w:sz w:val="20"/>
          <w:szCs w:val="20"/>
          <w:color w:val="auto"/>
        </w:rPr>
      </w:pPr>
      <w:r>
        <w:rPr>
          <w:rFonts w:ascii="Arial" w:cs="Arial" w:eastAsia="Arial" w:hAnsi="Arial"/>
          <w:sz w:val="16"/>
          <w:szCs w:val="16"/>
          <w:b w:val="1"/>
          <w:bCs w:val="1"/>
          <w:color w:val="auto"/>
        </w:rPr>
        <w:t>STATEMENTS OF OPERATIONS</w:t>
      </w:r>
    </w:p>
    <w:p>
      <w:pPr>
        <w:spacing w:after="0" w:line="5" w:lineRule="exact"/>
        <w:rPr>
          <w:sz w:val="20"/>
          <w:szCs w:val="20"/>
          <w:color w:val="auto"/>
        </w:rPr>
      </w:pPr>
    </w:p>
    <w:p>
      <w:pPr>
        <w:jc w:val="center"/>
        <w:ind w:right="1839"/>
        <w:spacing w:after="0"/>
        <w:rPr>
          <w:sz w:val="20"/>
          <w:szCs w:val="20"/>
          <w:color w:val="auto"/>
        </w:rPr>
      </w:pPr>
      <w:r>
        <w:rPr>
          <w:rFonts w:ascii="Arial" w:cs="Arial" w:eastAsia="Arial" w:hAnsi="Arial"/>
          <w:sz w:val="16"/>
          <w:szCs w:val="16"/>
          <w:b w:val="1"/>
          <w:bCs w:val="1"/>
          <w:color w:val="auto"/>
        </w:rPr>
        <w:t>(Unaudited)</w:t>
      </w:r>
    </w:p>
    <w:p>
      <w:pPr>
        <w:spacing w:after="0" w:line="255"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14605</wp:posOffset>
            </wp:positionV>
            <wp:extent cx="20059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6"/>
                <w:szCs w:val="16"/>
                <w:b w:val="1"/>
                <w:bCs w:val="1"/>
                <w:color w:val="auto"/>
              </w:rPr>
              <w:t>December 31, 2009</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December 31, 2008</w:t>
            </w:r>
          </w:p>
        </w:tc>
        <w:tc>
          <w:tcPr>
            <w:tcW w:w="0" w:type="dxa"/>
            <w:vAlign w:val="bottom"/>
          </w:tcPr>
          <w:p>
            <w:pPr>
              <w:spacing w:after="0"/>
              <w:rPr>
                <w:sz w:val="1"/>
                <w:szCs w:val="1"/>
                <w:color w:val="auto"/>
              </w:rPr>
            </w:pPr>
          </w:p>
        </w:tc>
      </w:tr>
      <w:tr>
        <w:trPr>
          <w:trHeight w:val="271"/>
        </w:trPr>
        <w:tc>
          <w:tcPr>
            <w:tcW w:w="5060" w:type="dxa"/>
            <w:vAlign w:val="bottom"/>
          </w:tcPr>
          <w:p>
            <w:pPr>
              <w:spacing w:after="0"/>
              <w:rPr>
                <w:sz w:val="20"/>
                <w:szCs w:val="20"/>
                <w:color w:val="auto"/>
              </w:rPr>
            </w:pPr>
            <w:r>
              <w:rPr>
                <w:rFonts w:ascii="Arial" w:cs="Arial" w:eastAsia="Arial" w:hAnsi="Arial"/>
                <w:sz w:val="16"/>
                <w:szCs w:val="16"/>
                <w:b w:val="1"/>
                <w:bCs w:val="1"/>
                <w:color w:val="auto"/>
              </w:rPr>
              <w:t>Investment income:</w:t>
            </w:r>
          </w:p>
        </w:tc>
        <w:tc>
          <w:tcPr>
            <w:tcW w:w="146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6"/>
                <w:szCs w:val="16"/>
                <w:color w:val="auto"/>
              </w:rPr>
              <w:t>From non-controlled, non-affiliated investments:</w:t>
            </w: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140"/>
              <w:spacing w:after="0"/>
              <w:rPr>
                <w:sz w:val="20"/>
                <w:szCs w:val="20"/>
                <w:color w:val="auto"/>
              </w:rPr>
            </w:pPr>
            <w:r>
              <w:rPr>
                <w:rFonts w:ascii="Arial" w:cs="Arial" w:eastAsia="Arial" w:hAnsi="Arial"/>
                <w:sz w:val="16"/>
                <w:szCs w:val="16"/>
                <w:color w:val="auto"/>
              </w:rPr>
              <w:t>Interest</w:t>
            </w:r>
          </w:p>
        </w:tc>
        <w:tc>
          <w:tcPr>
            <w:tcW w:w="1460" w:type="dxa"/>
            <w:vAlign w:val="bottom"/>
          </w:tcPr>
          <w:p>
            <w:pPr>
              <w:jc w:val="right"/>
              <w:spacing w:after="0"/>
              <w:rPr>
                <w:sz w:val="20"/>
                <w:szCs w:val="20"/>
                <w:color w:val="auto"/>
              </w:rPr>
            </w:pPr>
            <w:r>
              <w:rPr>
                <w:rFonts w:ascii="Arial" w:cs="Arial" w:eastAsia="Arial" w:hAnsi="Arial"/>
                <w:sz w:val="16"/>
                <w:szCs w:val="16"/>
                <w:color w:val="auto"/>
              </w:rPr>
              <w:t>$12,951,233</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$11,712,010</w:t>
            </w:r>
          </w:p>
        </w:tc>
        <w:tc>
          <w:tcPr>
            <w:tcW w:w="0" w:type="dxa"/>
            <w:vAlign w:val="bottom"/>
          </w:tcPr>
          <w:p>
            <w:pPr>
              <w:spacing w:after="0"/>
              <w:rPr>
                <w:sz w:val="1"/>
                <w:szCs w:val="1"/>
                <w:color w:val="auto"/>
              </w:rPr>
            </w:pPr>
          </w:p>
        </w:tc>
      </w:tr>
      <w:tr>
        <w:trPr>
          <w:trHeight w:val="270"/>
        </w:trPr>
        <w:tc>
          <w:tcPr>
            <w:tcW w:w="5060" w:type="dxa"/>
            <w:vAlign w:val="bottom"/>
          </w:tcPr>
          <w:p>
            <w:pPr>
              <w:ind w:left="140"/>
              <w:spacing w:after="0"/>
              <w:rPr>
                <w:sz w:val="20"/>
                <w:szCs w:val="20"/>
                <w:color w:val="auto"/>
              </w:rPr>
            </w:pPr>
            <w:r>
              <w:rPr>
                <w:rFonts w:ascii="Arial" w:cs="Arial" w:eastAsia="Arial" w:hAnsi="Arial"/>
                <w:sz w:val="16"/>
                <w:szCs w:val="16"/>
                <w:color w:val="auto"/>
              </w:rPr>
              <w:t>Other</w:t>
            </w:r>
          </w:p>
        </w:tc>
        <w:tc>
          <w:tcPr>
            <w:tcW w:w="1460" w:type="dxa"/>
            <w:vAlign w:val="bottom"/>
          </w:tcPr>
          <w:p>
            <w:pPr>
              <w:jc w:val="right"/>
              <w:spacing w:after="0"/>
              <w:rPr>
                <w:sz w:val="20"/>
                <w:szCs w:val="20"/>
                <w:color w:val="auto"/>
              </w:rPr>
            </w:pPr>
            <w:r>
              <w:rPr>
                <w:rFonts w:ascii="Arial" w:cs="Arial" w:eastAsia="Arial" w:hAnsi="Arial"/>
                <w:sz w:val="16"/>
                <w:szCs w:val="16"/>
                <w:color w:val="auto"/>
              </w:rPr>
              <w:t>319,603</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6"/>
                <w:szCs w:val="16"/>
                <w:color w:val="auto"/>
              </w:rPr>
              <w:t>From non-controlled, affiliated investments:</w:t>
            </w: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60" w:type="dxa"/>
            <w:vAlign w:val="bottom"/>
          </w:tcPr>
          <w:p>
            <w:pPr>
              <w:ind w:left="140"/>
              <w:spacing w:after="0"/>
              <w:rPr>
                <w:sz w:val="20"/>
                <w:szCs w:val="20"/>
                <w:color w:val="auto"/>
              </w:rPr>
            </w:pPr>
            <w:r>
              <w:rPr>
                <w:rFonts w:ascii="Arial" w:cs="Arial" w:eastAsia="Arial" w:hAnsi="Arial"/>
                <w:sz w:val="16"/>
                <w:szCs w:val="16"/>
                <w:color w:val="auto"/>
              </w:rPr>
              <w:t>Interest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327,649</w:t>
            </w:r>
          </w:p>
        </w:tc>
        <w:tc>
          <w:tcPr>
            <w:tcW w:w="22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364,499</w:t>
            </w:r>
          </w:p>
        </w:tc>
        <w:tc>
          <w:tcPr>
            <w:tcW w:w="0" w:type="dxa"/>
            <w:vAlign w:val="bottom"/>
          </w:tcPr>
          <w:p>
            <w:pPr>
              <w:spacing w:after="0"/>
              <w:rPr>
                <w:sz w:val="1"/>
                <w:szCs w:val="1"/>
                <w:color w:val="auto"/>
              </w:rPr>
            </w:pPr>
          </w:p>
        </w:tc>
      </w:tr>
      <w:tr>
        <w:trPr>
          <w:trHeight w:val="271"/>
        </w:trPr>
        <w:tc>
          <w:tcPr>
            <w:tcW w:w="5060" w:type="dxa"/>
            <w:vAlign w:val="bottom"/>
          </w:tcPr>
          <w:p>
            <w:pPr>
              <w:ind w:left="280"/>
              <w:spacing w:after="0"/>
              <w:rPr>
                <w:sz w:val="20"/>
                <w:szCs w:val="20"/>
                <w:color w:val="auto"/>
              </w:rPr>
            </w:pPr>
            <w:r>
              <w:rPr>
                <w:rFonts w:ascii="Arial" w:cs="Arial" w:eastAsia="Arial" w:hAnsi="Arial"/>
                <w:sz w:val="16"/>
                <w:szCs w:val="16"/>
                <w:b w:val="1"/>
                <w:bCs w:val="1"/>
                <w:color w:val="auto"/>
              </w:rPr>
              <w:t>Total investment income</w:t>
            </w:r>
          </w:p>
        </w:tc>
        <w:tc>
          <w:tcPr>
            <w:tcW w:w="1460" w:type="dxa"/>
            <w:vAlign w:val="bottom"/>
          </w:tcPr>
          <w:p>
            <w:pPr>
              <w:jc w:val="right"/>
              <w:spacing w:after="0"/>
              <w:rPr>
                <w:sz w:val="20"/>
                <w:szCs w:val="20"/>
                <w:color w:val="auto"/>
              </w:rPr>
            </w:pPr>
            <w:r>
              <w:rPr>
                <w:rFonts w:ascii="Arial" w:cs="Arial" w:eastAsia="Arial" w:hAnsi="Arial"/>
                <w:sz w:val="16"/>
                <w:szCs w:val="16"/>
                <w:color w:val="auto"/>
              </w:rPr>
              <w:t>13,598,485</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12,076,509</w:t>
            </w:r>
          </w:p>
        </w:tc>
        <w:tc>
          <w:tcPr>
            <w:tcW w:w="0" w:type="dxa"/>
            <w:vAlign w:val="bottom"/>
          </w:tcPr>
          <w:p>
            <w:pPr>
              <w:spacing w:after="0"/>
              <w:rPr>
                <w:sz w:val="1"/>
                <w:szCs w:val="1"/>
                <w:color w:val="auto"/>
              </w:rPr>
            </w:pPr>
          </w:p>
        </w:tc>
      </w:tr>
      <w:tr>
        <w:trPr>
          <w:trHeight w:val="74"/>
        </w:trPr>
        <w:tc>
          <w:tcPr>
            <w:tcW w:w="5060" w:type="dxa"/>
            <w:vAlign w:val="bottom"/>
            <w:vMerge w:val="restart"/>
          </w:tcPr>
          <w:p>
            <w:pPr>
              <w:spacing w:after="0"/>
              <w:rPr>
                <w:sz w:val="20"/>
                <w:szCs w:val="20"/>
                <w:color w:val="auto"/>
              </w:rPr>
            </w:pPr>
            <w:r>
              <w:rPr>
                <w:rFonts w:ascii="Arial" w:cs="Arial" w:eastAsia="Arial" w:hAnsi="Arial"/>
                <w:sz w:val="16"/>
                <w:szCs w:val="16"/>
                <w:b w:val="1"/>
                <w:bCs w:val="1"/>
                <w:color w:val="auto"/>
              </w:rPr>
              <w:t>Expenses:</w:t>
            </w:r>
          </w:p>
        </w:tc>
        <w:tc>
          <w:tcPr>
            <w:tcW w:w="14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60"/>
        </w:trPr>
        <w:tc>
          <w:tcPr>
            <w:tcW w:w="50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140"/>
              <w:spacing w:after="0"/>
              <w:rPr>
                <w:sz w:val="20"/>
                <w:szCs w:val="20"/>
                <w:color w:val="auto"/>
              </w:rPr>
            </w:pPr>
            <w:r>
              <w:rPr>
                <w:rFonts w:ascii="Arial" w:cs="Arial" w:eastAsia="Arial" w:hAnsi="Arial"/>
                <w:sz w:val="16"/>
                <w:szCs w:val="16"/>
                <w:color w:val="auto"/>
              </w:rPr>
              <w:t>Base management fee</w:t>
            </w:r>
          </w:p>
        </w:tc>
        <w:tc>
          <w:tcPr>
            <w:tcW w:w="1460" w:type="dxa"/>
            <w:vAlign w:val="bottom"/>
          </w:tcPr>
          <w:p>
            <w:pPr>
              <w:jc w:val="right"/>
              <w:spacing w:after="0"/>
              <w:rPr>
                <w:sz w:val="20"/>
                <w:szCs w:val="20"/>
                <w:color w:val="auto"/>
              </w:rPr>
            </w:pPr>
            <w:r>
              <w:rPr>
                <w:rFonts w:ascii="Arial" w:cs="Arial" w:eastAsia="Arial" w:hAnsi="Arial"/>
                <w:sz w:val="16"/>
                <w:szCs w:val="16"/>
                <w:color w:val="auto"/>
              </w:rPr>
              <w:t>2,524,653</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1,820,188</w:t>
            </w:r>
          </w:p>
        </w:tc>
        <w:tc>
          <w:tcPr>
            <w:tcW w:w="0" w:type="dxa"/>
            <w:vAlign w:val="bottom"/>
          </w:tcPr>
          <w:p>
            <w:pPr>
              <w:spacing w:after="0"/>
              <w:rPr>
                <w:sz w:val="1"/>
                <w:szCs w:val="1"/>
                <w:color w:val="auto"/>
              </w:rPr>
            </w:pPr>
          </w:p>
        </w:tc>
      </w:tr>
      <w:tr>
        <w:trPr>
          <w:trHeight w:val="270"/>
        </w:trPr>
        <w:tc>
          <w:tcPr>
            <w:tcW w:w="5060" w:type="dxa"/>
            <w:vAlign w:val="bottom"/>
          </w:tcPr>
          <w:p>
            <w:pPr>
              <w:ind w:left="140"/>
              <w:spacing w:after="0"/>
              <w:rPr>
                <w:sz w:val="20"/>
                <w:szCs w:val="20"/>
                <w:color w:val="auto"/>
              </w:rPr>
            </w:pPr>
            <w:r>
              <w:rPr>
                <w:rFonts w:ascii="Arial" w:cs="Arial" w:eastAsia="Arial" w:hAnsi="Arial"/>
                <w:sz w:val="16"/>
                <w:szCs w:val="16"/>
                <w:color w:val="auto"/>
              </w:rPr>
              <w:t>Performance-based incentive fee</w:t>
            </w:r>
          </w:p>
        </w:tc>
        <w:tc>
          <w:tcPr>
            <w:tcW w:w="1460" w:type="dxa"/>
            <w:vAlign w:val="bottom"/>
          </w:tcPr>
          <w:p>
            <w:pPr>
              <w:jc w:val="right"/>
              <w:spacing w:after="0"/>
              <w:rPr>
                <w:sz w:val="20"/>
                <w:szCs w:val="20"/>
                <w:color w:val="auto"/>
              </w:rPr>
            </w:pPr>
            <w:r>
              <w:rPr>
                <w:rFonts w:ascii="Arial" w:cs="Arial" w:eastAsia="Arial" w:hAnsi="Arial"/>
                <w:sz w:val="16"/>
                <w:szCs w:val="16"/>
                <w:color w:val="auto"/>
              </w:rPr>
              <w:t>1,809,380</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1,441,982</w:t>
            </w:r>
          </w:p>
        </w:tc>
        <w:tc>
          <w:tcPr>
            <w:tcW w:w="0" w:type="dxa"/>
            <w:vAlign w:val="bottom"/>
          </w:tcPr>
          <w:p>
            <w:pPr>
              <w:spacing w:after="0"/>
              <w:rPr>
                <w:sz w:val="1"/>
                <w:szCs w:val="1"/>
                <w:color w:val="auto"/>
              </w:rPr>
            </w:pPr>
          </w:p>
        </w:tc>
      </w:tr>
      <w:tr>
        <w:trPr>
          <w:trHeight w:val="270"/>
        </w:trPr>
        <w:tc>
          <w:tcPr>
            <w:tcW w:w="5060" w:type="dxa"/>
            <w:vAlign w:val="bottom"/>
          </w:tcPr>
          <w:p>
            <w:pPr>
              <w:ind w:left="140"/>
              <w:spacing w:after="0"/>
              <w:rPr>
                <w:sz w:val="20"/>
                <w:szCs w:val="20"/>
                <w:color w:val="auto"/>
              </w:rPr>
            </w:pPr>
            <w:r>
              <w:rPr>
                <w:rFonts w:ascii="Arial" w:cs="Arial" w:eastAsia="Arial" w:hAnsi="Arial"/>
                <w:sz w:val="16"/>
                <w:szCs w:val="16"/>
                <w:color w:val="auto"/>
              </w:rPr>
              <w:t>Interest and other credit facility expenses</w:t>
            </w:r>
          </w:p>
        </w:tc>
        <w:tc>
          <w:tcPr>
            <w:tcW w:w="1460" w:type="dxa"/>
            <w:vAlign w:val="bottom"/>
          </w:tcPr>
          <w:p>
            <w:pPr>
              <w:jc w:val="right"/>
              <w:spacing w:after="0"/>
              <w:rPr>
                <w:sz w:val="20"/>
                <w:szCs w:val="20"/>
                <w:color w:val="auto"/>
              </w:rPr>
            </w:pPr>
            <w:r>
              <w:rPr>
                <w:rFonts w:ascii="Arial" w:cs="Arial" w:eastAsia="Arial" w:hAnsi="Arial"/>
                <w:sz w:val="16"/>
                <w:szCs w:val="16"/>
                <w:color w:val="auto"/>
              </w:rPr>
              <w:t>818,683</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1,837,220</w:t>
            </w:r>
          </w:p>
        </w:tc>
        <w:tc>
          <w:tcPr>
            <w:tcW w:w="0" w:type="dxa"/>
            <w:vAlign w:val="bottom"/>
          </w:tcPr>
          <w:p>
            <w:pPr>
              <w:spacing w:after="0"/>
              <w:rPr>
                <w:sz w:val="1"/>
                <w:szCs w:val="1"/>
                <w:color w:val="auto"/>
              </w:rPr>
            </w:pPr>
          </w:p>
        </w:tc>
      </w:tr>
      <w:tr>
        <w:trPr>
          <w:trHeight w:val="270"/>
        </w:trPr>
        <w:tc>
          <w:tcPr>
            <w:tcW w:w="5060" w:type="dxa"/>
            <w:vAlign w:val="bottom"/>
          </w:tcPr>
          <w:p>
            <w:pPr>
              <w:ind w:left="140"/>
              <w:spacing w:after="0"/>
              <w:rPr>
                <w:sz w:val="20"/>
                <w:szCs w:val="20"/>
                <w:color w:val="auto"/>
              </w:rPr>
            </w:pPr>
            <w:r>
              <w:rPr>
                <w:rFonts w:ascii="Arial" w:cs="Arial" w:eastAsia="Arial" w:hAnsi="Arial"/>
                <w:sz w:val="16"/>
                <w:szCs w:val="16"/>
                <w:color w:val="auto"/>
              </w:rPr>
              <w:t>Administrative services expenses</w:t>
            </w:r>
          </w:p>
        </w:tc>
        <w:tc>
          <w:tcPr>
            <w:tcW w:w="1460" w:type="dxa"/>
            <w:vAlign w:val="bottom"/>
          </w:tcPr>
          <w:p>
            <w:pPr>
              <w:jc w:val="right"/>
              <w:spacing w:after="0"/>
              <w:rPr>
                <w:sz w:val="20"/>
                <w:szCs w:val="20"/>
                <w:color w:val="auto"/>
              </w:rPr>
            </w:pPr>
            <w:r>
              <w:rPr>
                <w:rFonts w:ascii="Arial" w:cs="Arial" w:eastAsia="Arial" w:hAnsi="Arial"/>
                <w:sz w:val="16"/>
                <w:szCs w:val="16"/>
                <w:color w:val="auto"/>
              </w:rPr>
              <w:t>557,504</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620,402</w:t>
            </w:r>
          </w:p>
        </w:tc>
        <w:tc>
          <w:tcPr>
            <w:tcW w:w="0" w:type="dxa"/>
            <w:vAlign w:val="bottom"/>
          </w:tcPr>
          <w:p>
            <w:pPr>
              <w:spacing w:after="0"/>
              <w:rPr>
                <w:sz w:val="1"/>
                <w:szCs w:val="1"/>
                <w:color w:val="auto"/>
              </w:rPr>
            </w:pPr>
          </w:p>
        </w:tc>
      </w:tr>
      <w:tr>
        <w:trPr>
          <w:trHeight w:val="263"/>
        </w:trPr>
        <w:tc>
          <w:tcPr>
            <w:tcW w:w="5060" w:type="dxa"/>
            <w:vAlign w:val="bottom"/>
          </w:tcPr>
          <w:p>
            <w:pPr>
              <w:ind w:left="140"/>
              <w:spacing w:after="0"/>
              <w:rPr>
                <w:sz w:val="20"/>
                <w:szCs w:val="20"/>
                <w:color w:val="auto"/>
              </w:rPr>
            </w:pPr>
            <w:r>
              <w:rPr>
                <w:rFonts w:ascii="Arial" w:cs="Arial" w:eastAsia="Arial" w:hAnsi="Arial"/>
                <w:sz w:val="16"/>
                <w:szCs w:val="16"/>
                <w:color w:val="auto"/>
              </w:rPr>
              <w:t>Other general and administrative expenses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543,415</w:t>
            </w:r>
          </w:p>
        </w:tc>
        <w:tc>
          <w:tcPr>
            <w:tcW w:w="22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588,788</w:t>
            </w:r>
          </w:p>
        </w:tc>
        <w:tc>
          <w:tcPr>
            <w:tcW w:w="0" w:type="dxa"/>
            <w:vAlign w:val="bottom"/>
          </w:tcPr>
          <w:p>
            <w:pPr>
              <w:spacing w:after="0"/>
              <w:rPr>
                <w:sz w:val="1"/>
                <w:szCs w:val="1"/>
                <w:color w:val="auto"/>
              </w:rPr>
            </w:pPr>
          </w:p>
        </w:tc>
      </w:tr>
      <w:tr>
        <w:trPr>
          <w:trHeight w:val="271"/>
        </w:trPr>
        <w:tc>
          <w:tcPr>
            <w:tcW w:w="5060" w:type="dxa"/>
            <w:vAlign w:val="bottom"/>
          </w:tcPr>
          <w:p>
            <w:pPr>
              <w:ind w:left="140"/>
              <w:spacing w:after="0"/>
              <w:rPr>
                <w:sz w:val="20"/>
                <w:szCs w:val="20"/>
                <w:color w:val="auto"/>
              </w:rPr>
            </w:pPr>
            <w:r>
              <w:rPr>
                <w:rFonts w:ascii="Arial" w:cs="Arial" w:eastAsia="Arial" w:hAnsi="Arial"/>
                <w:sz w:val="16"/>
                <w:szCs w:val="16"/>
                <w:b w:val="1"/>
                <w:bCs w:val="1"/>
                <w:color w:val="auto"/>
              </w:rPr>
              <w:t>Expenses before taxes</w:t>
            </w:r>
          </w:p>
        </w:tc>
        <w:tc>
          <w:tcPr>
            <w:tcW w:w="1460" w:type="dxa"/>
            <w:vAlign w:val="bottom"/>
          </w:tcPr>
          <w:p>
            <w:pPr>
              <w:jc w:val="right"/>
              <w:spacing w:after="0"/>
              <w:rPr>
                <w:sz w:val="20"/>
                <w:szCs w:val="20"/>
                <w:color w:val="auto"/>
              </w:rPr>
            </w:pPr>
            <w:r>
              <w:rPr>
                <w:rFonts w:ascii="Arial" w:cs="Arial" w:eastAsia="Arial" w:hAnsi="Arial"/>
                <w:sz w:val="16"/>
                <w:szCs w:val="16"/>
                <w:color w:val="auto"/>
              </w:rPr>
              <w:t>6,253,635</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6,308,580</w:t>
            </w:r>
          </w:p>
        </w:tc>
        <w:tc>
          <w:tcPr>
            <w:tcW w:w="0" w:type="dxa"/>
            <w:vAlign w:val="bottom"/>
          </w:tcPr>
          <w:p>
            <w:pPr>
              <w:spacing w:after="0"/>
              <w:rPr>
                <w:sz w:val="1"/>
                <w:szCs w:val="1"/>
                <w:color w:val="auto"/>
              </w:rPr>
            </w:pPr>
          </w:p>
        </w:tc>
      </w:tr>
      <w:tr>
        <w:trPr>
          <w:trHeight w:val="73"/>
        </w:trPr>
        <w:tc>
          <w:tcPr>
            <w:tcW w:w="5060" w:type="dxa"/>
            <w:vAlign w:val="bottom"/>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60"/>
        </w:trPr>
        <w:tc>
          <w:tcPr>
            <w:tcW w:w="5060" w:type="dxa"/>
            <w:vAlign w:val="bottom"/>
          </w:tcPr>
          <w:p>
            <w:pPr>
              <w:ind w:left="140"/>
              <w:spacing w:after="0"/>
              <w:rPr>
                <w:sz w:val="20"/>
                <w:szCs w:val="20"/>
                <w:color w:val="auto"/>
              </w:rPr>
            </w:pPr>
            <w:r>
              <w:rPr>
                <w:rFonts w:ascii="Arial" w:cs="Arial" w:eastAsia="Arial" w:hAnsi="Arial"/>
                <w:sz w:val="16"/>
                <w:szCs w:val="16"/>
                <w:color w:val="auto"/>
              </w:rPr>
              <w:t>Excise tax</w:t>
            </w:r>
          </w:p>
        </w:tc>
        <w:tc>
          <w:tcPr>
            <w:tcW w:w="1460" w:type="dxa"/>
            <w:vAlign w:val="bottom"/>
          </w:tcPr>
          <w:p>
            <w:pPr>
              <w:jc w:val="right"/>
              <w:spacing w:after="0"/>
              <w:rPr>
                <w:sz w:val="20"/>
                <w:szCs w:val="20"/>
                <w:color w:val="auto"/>
              </w:rPr>
            </w:pPr>
            <w:r>
              <w:rPr>
                <w:rFonts w:ascii="Arial" w:cs="Arial" w:eastAsia="Arial" w:hAnsi="Arial"/>
                <w:sz w:val="16"/>
                <w:szCs w:val="16"/>
                <w:color w:val="auto"/>
              </w:rPr>
              <w:t>106,962</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50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Total expenses</w:t>
            </w:r>
          </w:p>
        </w:tc>
        <w:tc>
          <w:tcPr>
            <w:tcW w:w="14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60"/>
        </w:trPr>
        <w:tc>
          <w:tcPr>
            <w:tcW w:w="5060" w:type="dxa"/>
            <w:vAlign w:val="bottom"/>
            <w:vMerge w:val="continue"/>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6,360,597</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6,308,580</w:t>
            </w:r>
          </w:p>
        </w:tc>
        <w:tc>
          <w:tcPr>
            <w:tcW w:w="0" w:type="dxa"/>
            <w:vAlign w:val="bottom"/>
          </w:tcPr>
          <w:p>
            <w:pPr>
              <w:spacing w:after="0"/>
              <w:rPr>
                <w:sz w:val="1"/>
                <w:szCs w:val="1"/>
                <w:color w:val="auto"/>
              </w:rPr>
            </w:pPr>
          </w:p>
        </w:tc>
      </w:tr>
      <w:tr>
        <w:trPr>
          <w:trHeight w:val="73"/>
        </w:trPr>
        <w:tc>
          <w:tcPr>
            <w:tcW w:w="50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Net investment income</w:t>
            </w:r>
          </w:p>
        </w:tc>
        <w:tc>
          <w:tcPr>
            <w:tcW w:w="14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60"/>
        </w:trPr>
        <w:tc>
          <w:tcPr>
            <w:tcW w:w="5060" w:type="dxa"/>
            <w:vAlign w:val="bottom"/>
            <w:vMerge w:val="continue"/>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7,237,888</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5,767,929</w:t>
            </w:r>
          </w:p>
        </w:tc>
        <w:tc>
          <w:tcPr>
            <w:tcW w:w="0" w:type="dxa"/>
            <w:vAlign w:val="bottom"/>
          </w:tcPr>
          <w:p>
            <w:pPr>
              <w:spacing w:after="0"/>
              <w:rPr>
                <w:sz w:val="1"/>
                <w:szCs w:val="1"/>
                <w:color w:val="auto"/>
              </w:rPr>
            </w:pPr>
          </w:p>
        </w:tc>
      </w:tr>
      <w:tr>
        <w:trPr>
          <w:trHeight w:val="73"/>
        </w:trPr>
        <w:tc>
          <w:tcPr>
            <w:tcW w:w="5060" w:type="dxa"/>
            <w:vAlign w:val="bottom"/>
            <w:vMerge w:val="restart"/>
          </w:tcPr>
          <w:p>
            <w:pPr>
              <w:spacing w:after="0"/>
              <w:rPr>
                <w:sz w:val="20"/>
                <w:szCs w:val="20"/>
                <w:color w:val="auto"/>
              </w:rPr>
            </w:pPr>
            <w:r>
              <w:rPr>
                <w:rFonts w:ascii="Arial" w:cs="Arial" w:eastAsia="Arial" w:hAnsi="Arial"/>
                <w:sz w:val="16"/>
                <w:szCs w:val="16"/>
                <w:b w:val="1"/>
                <w:bCs w:val="1"/>
                <w:color w:val="auto"/>
              </w:rPr>
              <w:t>Realized and unrealized gain (loss) on investments</w:t>
            </w:r>
          </w:p>
        </w:tc>
        <w:tc>
          <w:tcPr>
            <w:tcW w:w="14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60"/>
        </w:trPr>
        <w:tc>
          <w:tcPr>
            <w:tcW w:w="50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58" w:orient="portrait"/>
          <w:cols w:equalWidth="0" w:num="1">
            <w:col w:w="10059"/>
          </w:cols>
          <w:pgMar w:left="400" w:top="195" w:right="1440" w:bottom="0" w:gutter="0" w:footer="0" w:header="0"/>
        </w:sectPr>
      </w:pPr>
    </w:p>
    <w:bookmarkStart w:id="6" w:name="page7"/>
    <w:bookmarkEnd w:id="6"/>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5060" w:type="dxa"/>
            <w:vAlign w:val="bottom"/>
          </w:tcPr>
          <w:p>
            <w:pPr>
              <w:ind w:left="60"/>
              <w:spacing w:after="0"/>
              <w:rPr>
                <w:sz w:val="20"/>
                <w:szCs w:val="20"/>
                <w:color w:val="auto"/>
              </w:rPr>
            </w:pPr>
            <w:r>
              <w:rPr>
                <w:rFonts w:ascii="Arial" w:cs="Arial" w:eastAsia="Arial" w:hAnsi="Arial"/>
                <w:sz w:val="16"/>
                <w:szCs w:val="16"/>
                <w:b w:val="1"/>
                <w:bCs w:val="1"/>
                <w:color w:val="auto"/>
              </w:rPr>
              <w:t>and credit facility:</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6"/>
                <w:szCs w:val="16"/>
                <w:color w:val="auto"/>
              </w:rPr>
              <w:t>Net realized loss on non-controlled, non-affiliated investments</w:t>
            </w:r>
          </w:p>
        </w:tc>
        <w:tc>
          <w:tcPr>
            <w:tcW w:w="1460" w:type="dxa"/>
            <w:vAlign w:val="bottom"/>
          </w:tcPr>
          <w:p>
            <w:pPr>
              <w:jc w:val="right"/>
              <w:spacing w:after="0"/>
              <w:rPr>
                <w:sz w:val="20"/>
                <w:szCs w:val="20"/>
                <w:color w:val="auto"/>
              </w:rPr>
            </w:pPr>
            <w:r>
              <w:rPr>
                <w:rFonts w:ascii="Arial" w:cs="Arial" w:eastAsia="Arial" w:hAnsi="Arial"/>
                <w:sz w:val="16"/>
                <w:szCs w:val="16"/>
                <w:color w:val="auto"/>
              </w:rPr>
              <w:t>(16,603,865)</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(887,070)</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6"/>
                <w:szCs w:val="16"/>
                <w:color w:val="auto"/>
              </w:rPr>
              <w:t>Net change in unrealized appreciation (depreciation) on:</w:t>
            </w:r>
          </w:p>
        </w:tc>
        <w:tc>
          <w:tcPr>
            <w:tcW w:w="1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140"/>
              <w:spacing w:after="0"/>
              <w:rPr>
                <w:sz w:val="20"/>
                <w:szCs w:val="20"/>
                <w:color w:val="auto"/>
              </w:rPr>
            </w:pPr>
            <w:r>
              <w:rPr>
                <w:rFonts w:ascii="Arial" w:cs="Arial" w:eastAsia="Arial" w:hAnsi="Arial"/>
                <w:sz w:val="16"/>
                <w:szCs w:val="16"/>
                <w:color w:val="auto"/>
              </w:rPr>
              <w:t>Non-controlled, non-affiliated investments</w:t>
            </w:r>
          </w:p>
        </w:tc>
        <w:tc>
          <w:tcPr>
            <w:tcW w:w="1460" w:type="dxa"/>
            <w:vAlign w:val="bottom"/>
          </w:tcPr>
          <w:p>
            <w:pPr>
              <w:jc w:val="right"/>
              <w:spacing w:after="0"/>
              <w:rPr>
                <w:sz w:val="20"/>
                <w:szCs w:val="20"/>
                <w:color w:val="auto"/>
              </w:rPr>
            </w:pPr>
            <w:r>
              <w:rPr>
                <w:rFonts w:ascii="Arial" w:cs="Arial" w:eastAsia="Arial" w:hAnsi="Arial"/>
                <w:sz w:val="16"/>
                <w:szCs w:val="16"/>
                <w:color w:val="auto"/>
              </w:rPr>
              <w:t>24,093,662</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(40,663,091)</w:t>
            </w:r>
          </w:p>
        </w:tc>
        <w:tc>
          <w:tcPr>
            <w:tcW w:w="0" w:type="dxa"/>
            <w:vAlign w:val="bottom"/>
          </w:tcPr>
          <w:p>
            <w:pPr>
              <w:spacing w:after="0"/>
              <w:rPr>
                <w:sz w:val="1"/>
                <w:szCs w:val="1"/>
                <w:color w:val="auto"/>
              </w:rPr>
            </w:pPr>
          </w:p>
        </w:tc>
      </w:tr>
      <w:tr>
        <w:trPr>
          <w:trHeight w:val="270"/>
        </w:trPr>
        <w:tc>
          <w:tcPr>
            <w:tcW w:w="5060" w:type="dxa"/>
            <w:vAlign w:val="bottom"/>
          </w:tcPr>
          <w:p>
            <w:pPr>
              <w:ind w:left="140"/>
              <w:spacing w:after="0"/>
              <w:rPr>
                <w:sz w:val="20"/>
                <w:szCs w:val="20"/>
                <w:color w:val="auto"/>
              </w:rPr>
            </w:pPr>
            <w:r>
              <w:rPr>
                <w:rFonts w:ascii="Arial" w:cs="Arial" w:eastAsia="Arial" w:hAnsi="Arial"/>
                <w:sz w:val="16"/>
                <w:szCs w:val="16"/>
                <w:color w:val="auto"/>
              </w:rPr>
              <w:t>Non-controlled, affiliated investments</w:t>
            </w:r>
          </w:p>
        </w:tc>
        <w:tc>
          <w:tcPr>
            <w:tcW w:w="1460" w:type="dxa"/>
            <w:vAlign w:val="bottom"/>
          </w:tcPr>
          <w:p>
            <w:pPr>
              <w:jc w:val="right"/>
              <w:spacing w:after="0"/>
              <w:rPr>
                <w:sz w:val="20"/>
                <w:szCs w:val="20"/>
                <w:color w:val="auto"/>
              </w:rPr>
            </w:pPr>
            <w:r>
              <w:rPr>
                <w:rFonts w:ascii="Arial" w:cs="Arial" w:eastAsia="Arial" w:hAnsi="Arial"/>
                <w:sz w:val="16"/>
                <w:szCs w:val="16"/>
                <w:color w:val="auto"/>
              </w:rPr>
              <w:t>(212,524)</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(1,693,186)</w:t>
            </w:r>
          </w:p>
        </w:tc>
        <w:tc>
          <w:tcPr>
            <w:tcW w:w="0" w:type="dxa"/>
            <w:vAlign w:val="bottom"/>
          </w:tcPr>
          <w:p>
            <w:pPr>
              <w:spacing w:after="0"/>
              <w:rPr>
                <w:sz w:val="1"/>
                <w:szCs w:val="1"/>
                <w:color w:val="auto"/>
              </w:rPr>
            </w:pPr>
          </w:p>
        </w:tc>
      </w:tr>
      <w:tr>
        <w:trPr>
          <w:trHeight w:val="262"/>
        </w:trPr>
        <w:tc>
          <w:tcPr>
            <w:tcW w:w="5060" w:type="dxa"/>
            <w:vAlign w:val="bottom"/>
          </w:tcPr>
          <w:p>
            <w:pPr>
              <w:ind w:left="140"/>
              <w:spacing w:after="0"/>
              <w:rPr>
                <w:sz w:val="20"/>
                <w:szCs w:val="20"/>
                <w:color w:val="auto"/>
              </w:rPr>
            </w:pPr>
            <w:r>
              <w:rPr>
                <w:rFonts w:ascii="Arial" w:cs="Arial" w:eastAsia="Arial" w:hAnsi="Arial"/>
                <w:sz w:val="16"/>
                <w:szCs w:val="16"/>
                <w:color w:val="auto"/>
              </w:rPr>
              <w:t>Credit facility unrealized (appreciation) depreciation</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(5,838,914)</w:t>
            </w:r>
          </w:p>
        </w:tc>
        <w:tc>
          <w:tcPr>
            <w:tcW w:w="22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5,718,694</w:t>
            </w:r>
          </w:p>
        </w:tc>
        <w:tc>
          <w:tcPr>
            <w:tcW w:w="0" w:type="dxa"/>
            <w:vAlign w:val="bottom"/>
          </w:tcPr>
          <w:p>
            <w:pPr>
              <w:spacing w:after="0"/>
              <w:rPr>
                <w:sz w:val="1"/>
                <w:szCs w:val="1"/>
                <w:color w:val="auto"/>
              </w:rPr>
            </w:pPr>
          </w:p>
        </w:tc>
      </w:tr>
      <w:tr>
        <w:trPr>
          <w:trHeight w:val="271"/>
        </w:trPr>
        <w:tc>
          <w:tcPr>
            <w:tcW w:w="5060" w:type="dxa"/>
            <w:vAlign w:val="bottom"/>
          </w:tcPr>
          <w:p>
            <w:pPr>
              <w:ind w:left="140"/>
              <w:spacing w:after="0"/>
              <w:rPr>
                <w:sz w:val="20"/>
                <w:szCs w:val="20"/>
                <w:color w:val="auto"/>
              </w:rPr>
            </w:pPr>
            <w:r>
              <w:rPr>
                <w:rFonts w:ascii="Arial" w:cs="Arial" w:eastAsia="Arial" w:hAnsi="Arial"/>
                <w:sz w:val="16"/>
                <w:szCs w:val="16"/>
                <w:b w:val="1"/>
                <w:bCs w:val="1"/>
                <w:color w:val="auto"/>
              </w:rPr>
              <w:t>Net change in unrealized appreciation (depreciation)</w:t>
            </w:r>
          </w:p>
        </w:tc>
        <w:tc>
          <w:tcPr>
            <w:tcW w:w="1460" w:type="dxa"/>
            <w:vAlign w:val="bottom"/>
          </w:tcPr>
          <w:p>
            <w:pPr>
              <w:jc w:val="right"/>
              <w:spacing w:after="0"/>
              <w:rPr>
                <w:sz w:val="20"/>
                <w:szCs w:val="20"/>
                <w:color w:val="auto"/>
              </w:rPr>
            </w:pPr>
            <w:r>
              <w:rPr>
                <w:rFonts w:ascii="Arial" w:cs="Arial" w:eastAsia="Arial" w:hAnsi="Arial"/>
                <w:sz w:val="16"/>
                <w:szCs w:val="16"/>
                <w:color w:val="auto"/>
              </w:rPr>
              <w:t>18,042,224</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(36,637,583)</w:t>
            </w:r>
          </w:p>
        </w:tc>
        <w:tc>
          <w:tcPr>
            <w:tcW w:w="0" w:type="dxa"/>
            <w:vAlign w:val="bottom"/>
          </w:tcPr>
          <w:p>
            <w:pPr>
              <w:spacing w:after="0"/>
              <w:rPr>
                <w:sz w:val="1"/>
                <w:szCs w:val="1"/>
                <w:color w:val="auto"/>
              </w:rPr>
            </w:pPr>
          </w:p>
        </w:tc>
      </w:tr>
      <w:tr>
        <w:trPr>
          <w:trHeight w:val="73"/>
        </w:trPr>
        <w:tc>
          <w:tcPr>
            <w:tcW w:w="5060" w:type="dxa"/>
            <w:vAlign w:val="bottom"/>
            <w:vMerge w:val="restart"/>
          </w:tcPr>
          <w:p>
            <w:pPr>
              <w:spacing w:after="0"/>
              <w:rPr>
                <w:sz w:val="20"/>
                <w:szCs w:val="20"/>
                <w:color w:val="auto"/>
              </w:rPr>
            </w:pPr>
            <w:r>
              <w:rPr>
                <w:rFonts w:ascii="Arial" w:cs="Arial" w:eastAsia="Arial" w:hAnsi="Arial"/>
                <w:sz w:val="16"/>
                <w:szCs w:val="16"/>
                <w:color w:val="auto"/>
              </w:rPr>
              <w:t>Net realized and unrealized gain (loss) from investments</w:t>
            </w:r>
          </w:p>
        </w:tc>
        <w:tc>
          <w:tcPr>
            <w:tcW w:w="14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54"/>
        </w:trPr>
        <w:tc>
          <w:tcPr>
            <w:tcW w:w="50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060" w:type="dxa"/>
            <w:vAlign w:val="bottom"/>
          </w:tcPr>
          <w:p>
            <w:pPr>
              <w:ind w:left="60"/>
              <w:spacing w:after="0"/>
              <w:rPr>
                <w:sz w:val="20"/>
                <w:szCs w:val="20"/>
                <w:color w:val="auto"/>
              </w:rPr>
            </w:pPr>
            <w:r>
              <w:rPr>
                <w:rFonts w:ascii="Arial" w:cs="Arial" w:eastAsia="Arial" w:hAnsi="Arial"/>
                <w:sz w:val="16"/>
                <w:szCs w:val="16"/>
                <w:color w:val="auto"/>
              </w:rPr>
              <w:t>and credit facility</w:t>
            </w:r>
          </w:p>
        </w:tc>
        <w:tc>
          <w:tcPr>
            <w:tcW w:w="1460" w:type="dxa"/>
            <w:vAlign w:val="bottom"/>
          </w:tcPr>
          <w:p>
            <w:pPr>
              <w:jc w:val="right"/>
              <w:spacing w:after="0"/>
              <w:rPr>
                <w:sz w:val="20"/>
                <w:szCs w:val="20"/>
                <w:color w:val="auto"/>
              </w:rPr>
            </w:pPr>
            <w:r>
              <w:rPr>
                <w:rFonts w:ascii="Arial" w:cs="Arial" w:eastAsia="Arial" w:hAnsi="Arial"/>
                <w:sz w:val="16"/>
                <w:szCs w:val="16"/>
                <w:color w:val="auto"/>
              </w:rPr>
              <w:t>1,438,359</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(37,524,653)</w:t>
            </w:r>
          </w:p>
        </w:tc>
        <w:tc>
          <w:tcPr>
            <w:tcW w:w="0" w:type="dxa"/>
            <w:vAlign w:val="bottom"/>
          </w:tcPr>
          <w:p>
            <w:pPr>
              <w:spacing w:after="0"/>
              <w:rPr>
                <w:sz w:val="1"/>
                <w:szCs w:val="1"/>
                <w:color w:val="auto"/>
              </w:rPr>
            </w:pPr>
          </w:p>
        </w:tc>
      </w:tr>
      <w:tr>
        <w:trPr>
          <w:trHeight w:val="73"/>
        </w:trPr>
        <w:tc>
          <w:tcPr>
            <w:tcW w:w="5060" w:type="dxa"/>
            <w:vAlign w:val="bottom"/>
            <w:vMerge w:val="restart"/>
          </w:tcPr>
          <w:p>
            <w:pPr>
              <w:spacing w:after="0"/>
              <w:rPr>
                <w:sz w:val="20"/>
                <w:szCs w:val="20"/>
                <w:color w:val="auto"/>
              </w:rPr>
            </w:pPr>
            <w:r>
              <w:rPr>
                <w:rFonts w:ascii="Arial" w:cs="Arial" w:eastAsia="Arial" w:hAnsi="Arial"/>
                <w:sz w:val="16"/>
                <w:szCs w:val="16"/>
                <w:b w:val="1"/>
                <w:bCs w:val="1"/>
                <w:color w:val="auto"/>
              </w:rPr>
              <w:t>Net increase (decrease) in net assets resulting from operations</w:t>
            </w:r>
          </w:p>
        </w:tc>
        <w:tc>
          <w:tcPr>
            <w:tcW w:w="14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60"/>
        </w:trPr>
        <w:tc>
          <w:tcPr>
            <w:tcW w:w="5060" w:type="dxa"/>
            <w:vAlign w:val="bottom"/>
            <w:vMerge w:val="continue"/>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$8,676,247</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$(31,756,724)</w:t>
            </w:r>
          </w:p>
        </w:tc>
        <w:tc>
          <w:tcPr>
            <w:tcW w:w="0" w:type="dxa"/>
            <w:vAlign w:val="bottom"/>
          </w:tcPr>
          <w:p>
            <w:pPr>
              <w:spacing w:after="0"/>
              <w:rPr>
                <w:sz w:val="1"/>
                <w:szCs w:val="1"/>
                <w:color w:val="auto"/>
              </w:rPr>
            </w:pPr>
          </w:p>
        </w:tc>
      </w:tr>
      <w:tr>
        <w:trPr>
          <w:trHeight w:val="73"/>
        </w:trPr>
        <w:tc>
          <w:tcPr>
            <w:tcW w:w="5060" w:type="dxa"/>
            <w:vAlign w:val="bottom"/>
            <w:vMerge w:val="restart"/>
          </w:tcPr>
          <w:p>
            <w:pPr>
              <w:spacing w:after="0"/>
              <w:rPr>
                <w:sz w:val="20"/>
                <w:szCs w:val="20"/>
                <w:color w:val="auto"/>
              </w:rPr>
            </w:pPr>
            <w:r>
              <w:rPr>
                <w:rFonts w:ascii="Arial" w:cs="Arial" w:eastAsia="Arial" w:hAnsi="Arial"/>
                <w:sz w:val="16"/>
                <w:szCs w:val="16"/>
                <w:color w:val="auto"/>
              </w:rPr>
              <w:t>Net increase (decrease) in net assets resulting from</w:t>
            </w:r>
          </w:p>
        </w:tc>
        <w:tc>
          <w:tcPr>
            <w:tcW w:w="14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060" w:type="dxa"/>
            <w:vAlign w:val="bottom"/>
            <w:vMerge w:val="continue"/>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506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060" w:type="dxa"/>
            <w:vAlign w:val="bottom"/>
          </w:tcPr>
          <w:p>
            <w:pPr>
              <w:ind w:left="60"/>
              <w:spacing w:after="0"/>
              <w:rPr>
                <w:sz w:val="20"/>
                <w:szCs w:val="20"/>
                <w:color w:val="auto"/>
              </w:rPr>
            </w:pPr>
            <w:r>
              <w:rPr>
                <w:rFonts w:ascii="Arial" w:cs="Arial" w:eastAsia="Arial" w:hAnsi="Arial"/>
                <w:sz w:val="16"/>
                <w:szCs w:val="16"/>
                <w:color w:val="auto"/>
              </w:rPr>
              <w:t>operations per common share</w:t>
            </w:r>
          </w:p>
        </w:tc>
        <w:tc>
          <w:tcPr>
            <w:tcW w:w="1460" w:type="dxa"/>
            <w:vAlign w:val="bottom"/>
          </w:tcPr>
          <w:p>
            <w:pPr>
              <w:jc w:val="right"/>
              <w:spacing w:after="0"/>
              <w:rPr>
                <w:sz w:val="20"/>
                <w:szCs w:val="20"/>
                <w:color w:val="auto"/>
              </w:rPr>
            </w:pPr>
            <w:r>
              <w:rPr>
                <w:rFonts w:ascii="Arial" w:cs="Arial" w:eastAsia="Arial" w:hAnsi="Arial"/>
                <w:sz w:val="16"/>
                <w:szCs w:val="16"/>
                <w:color w:val="auto"/>
              </w:rPr>
              <w:t>$0.34</w:t>
            </w: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0"/>
                <w:szCs w:val="20"/>
                <w:color w:val="auto"/>
              </w:rPr>
            </w:pPr>
            <w:r>
              <w:rPr>
                <w:rFonts w:ascii="Arial" w:cs="Arial" w:eastAsia="Arial" w:hAnsi="Arial"/>
                <w:sz w:val="16"/>
                <w:szCs w:val="16"/>
                <w:color w:val="auto"/>
              </w:rPr>
              <w:t>Net investment income per common share</w:t>
            </w:r>
          </w:p>
        </w:tc>
        <w:tc>
          <w:tcPr>
            <w:tcW w:w="1460" w:type="dxa"/>
            <w:vAlign w:val="bottom"/>
          </w:tcPr>
          <w:p>
            <w:pPr>
              <w:jc w:val="right"/>
              <w:spacing w:after="0"/>
              <w:rPr>
                <w:sz w:val="20"/>
                <w:szCs w:val="20"/>
                <w:color w:val="auto"/>
              </w:rPr>
            </w:pPr>
            <w:r>
              <w:rPr>
                <w:rFonts w:ascii="Arial" w:cs="Arial" w:eastAsia="Arial" w:hAnsi="Arial"/>
                <w:sz w:val="16"/>
                <w:szCs w:val="16"/>
                <w:color w:val="auto"/>
              </w:rPr>
              <w:t>0.28</w:t>
            </w: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mezzanine debt, senior secured loans and equity investments. From time to time, we may also invest in public companies whose securities are thinly traded. PennantPark Investment Corporation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0"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We may use words such as "anticipates," "believes," "expects," "intends," "will," "should," "may"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tab/>
        <w:t>PennantPark Investment Corporation</w:t>
      </w:r>
    </w:p>
    <w:p>
      <w:pPr>
        <w:ind w:left="1060"/>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5" w:lineRule="exact"/>
        <w:rPr>
          <w:sz w:val="20"/>
          <w:szCs w:val="20"/>
          <w:color w:val="auto"/>
        </w:rPr>
      </w:pPr>
    </w:p>
    <w:p>
      <w:pPr>
        <w:ind w:left="1060" w:right="8160" w:firstLine="1"/>
        <w:spacing w:after="0" w:line="290" w:lineRule="auto"/>
        <w:tabs>
          <w:tab w:leader="none" w:pos="169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2020-05-05T15:07:21Z</dcterms:created>
  <dcterms:modified xsi:type="dcterms:W3CDTF">2020-05-05T15:07:21Z</dcterms:modified>
</cp:coreProperties>
</file>