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60" w:type="dxa"/>
            <w:vAlign w:val="bottom"/>
          </w:tcPr>
          <w:p>
            <w:pPr>
              <w:jc w:val="center"/>
              <w:ind w:right="227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814-00736</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6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5"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PNNT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5.50%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PNNTG</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On October 14, 2021, PennantPark Investment Corporation (the “Company”) entered into an underwriting agreement (the “Underwriting Agreement”), by and among the Company, PennantPark Investment Advisers, LLC, PennantPark Investment Administration, LLC and Raymond James &amp; Associates, Inc., Keefe, Bruyette &amp; Woods, Inc. and Truist Securities, Inc., as representatives of the several underwriters named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the Underwriting Agreement, in connection with the issuance and sale of $165,000,000 aggregate principal amount of the Company’s 4.00% Notes due 2026 (the “Offering”). The closing of the Offering is expected to occur on October 21, 2021, subject to customary closing conditions.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Offering was made pursuant to the Company’s effective shelf registration statement on Form N-2 (Registration No. 333-230014) previously filed with the Securities and Exchange Commission (the “Registration Statement”), as supplemented by a preliminary prospectus supplement, dated October 14, 2021 (the “Preliminary Prospectus Supplement”), a final prospectus supplement, dated October 14, 2021 (the “Final Prospectus Supplement”), and the pricing term sheet filed with the Securities Exchange Commission on October 14, 2021. 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19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foregoing description of the Underwriting Agreement does not purport to be complete and is qualified in its entirety by reference to the full text of the Underwriting Agreement filed with this Current Report on Form 8-K as Exhibit 1.1 and which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960"/>
          </w:cols>
          <w:pgMar w:left="440" w:top="27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Pro forma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540" w:hanging="552"/>
        <w:spacing w:after="0" w:line="263" w:lineRule="auto"/>
        <w:tabs>
          <w:tab w:leader="none" w:pos="52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October 14, 2021, by and among the Company, PennantPark Investment Advisers, LLC, PennantPark</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Investment Administration, LLC and Raymond James &amp; Associates, Inc., Keefe, Bruyette &amp; Woods, Inc. and Truist Securities, Inc., as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representatives of the several underwriters named on Schedule A thereto.</w:t>
        </w:r>
      </w:hyperlink>
    </w:p>
    <w:p>
      <w:pPr>
        <w:sectPr>
          <w:pgSz w:w="11900" w:h="16838" w:orient="portrait"/>
          <w:cols w:equalWidth="0" w:num="1">
            <w:col w:w="10300"/>
          </w:cols>
          <w:pgMar w:left="440" w:top="270" w:right="115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October 19, 2021</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Cheung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260"/>
          </w:cols>
          <w:pgMar w:left="440" w:top="270"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PENNANTPARK INVESTMENT CORPORATION</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$165,000,000 4.00% Notes due 2026</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October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INVESTMENT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$165,000,000 4.00% Notes due 2026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Raymond James &amp; Associates,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880 Carillon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Petersburg, Florida 33716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PennantPark Investment Corporation, a Maryland corporation (the “Company”), PennantPark Investment Advisers, LLC, a Delaware limited liability company (the “Adviser”) and PennantPark Investment Administration, LLC, a Delaware limited liability company (the “Administrator”), each confirms its agreement with Raymond James &amp; Associates, Inc. (“RJ”), Keefe, Bruyette &amp; Woods, Inc. (“KBW”) and Truist Securities, Inc. (“TS”) and each of the other underwriters named in Schedule A hereto (collectively, the “Underwriters,” which term shall also include any underwriter substituted as hereinafter provided in Section 10 hereof), for whom each of RJ, KBW and TS is acting as representative (each of RJ, KBW and TS in such capacity, a “Representative” and, collectively, the “Representatives”), with respect to the sale by the Company and the purchase by the Underwriters, acting severally and not jointly, of $165,000,000 aggregate principal amount of 4.00% Notes due 2026 (the “Securities”).</w:t>
      </w:r>
    </w:p>
    <w:p>
      <w:pPr>
        <w:spacing w:after="0" w:line="17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Securities will be issued under an indenture, dated as of January 22, 2013 (the “Base Indenture”), as supplemented by the Fifth Supplemental Indenture, dated as of the Closing Time (the “Fifth Supplemental Indenture” and, together with the Base Indenture, the “Indenture”), between the Company and American Stock Transfer &amp; Trust Company, LLC, as trustee (the “Trustee”). The Securities will be issued to Cede &amp; Co. as nominee of The Depository Trust Company (“DTC”) pursuant to that certain blanket letter of representations (the “DTC Agreement”) between the Company and DTC. The Indenture has been qualified under the Trust Indenture Act of 1939, as amended (the “Trust Indenture Act”).</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Underwriting Agreement (this “Agreement”) has been executed and delivered.</w:t>
      </w:r>
    </w:p>
    <w:p>
      <w:pPr>
        <w:sectPr>
          <w:pgSz w:w="11900" w:h="16838" w:orient="portrait"/>
          <w:cols w:equalWidth="0" w:num="1">
            <w:col w:w="10960"/>
          </w:cols>
          <w:pgMar w:left="440" w:top="274" w:right="49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filed with the Securities and Exchange Commission (the “Commission”) a shelf registration statement on Form N-2 (File No. 333-230014), relating to the registration of the Securities and certain of the Company’s other securities under the Securities Act of 1933, as amended (the “1933 Act”), which registration statement was most recently declared effective by the Commission on January 30, 2020. The Company has also filed with the Commission a preliminary prospectus supplement, dated October 14, 2021, as such prospectus supplement may be amended (the “Preliminary Prospectus Supplement”), which contains a base prospectus, dated January 30, 2020 (the “Base Prospectus” and, together with the Preliminary Prospectus Supplement, the “preliminary prospectus”). Promptly after execution and delivery of this Agreement, the Company will prepare and file a prospectus in accordance with the provisions of Rule 430B (“Rule 430B”) of the rules and regulations of the Commission promulgated under the 1933 Act (such provisions, the “1933 Act Regulations”) and Rule 424(b) under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under the 1933 Act and deemed to be part of the registration statement and also including any registration statement filed pursuant to Rule 462(b) under the 1933 Act Regulations, is herein called the “Registration Statement.” The final prospectus in the form filed by the Company with the Commission pursuant to Rule 424(b) on or before the second business day after the date hereof (or such earlier time as may be required under the 1933 Act), including the final prospectus supplement and the Base Prospectus, is herein called the “Prospectus.”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3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Form N-54A Notification of Election to be Subject to Sections 55 through 65 of the Investment Company Act of 1940 Filed Pursuant to Section 54(a) of the Investment Company Act (File No. 814-00743) was filed with the Commission on April 19, 2007 under the Investment Company Act of 1940, as amended (the “1940 Act”), and the rules and regulations and any applicable guidance and/or interpretation of the Commission or its staff thereunder (the “1940 Act Regulations”).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entered into that certain Third Amended and Restated Investment Advisory Agreement, dated as of April 12, 2019 (the “Investment Management Agreement”), with the Adviser. The Company has entered into that certain Administration Agreement, dated as of April 17, 2007 (the “Administration Agreement”), with the Administrator.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“Applicable Time” means 2:15 P.M., New York City time, on October 14, 2021 or such other time as agreed by the Company and the Representatives.</w:t>
      </w:r>
    </w:p>
    <w:p>
      <w:pPr>
        <w:spacing w:after="0" w:line="248"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“General Disclosure Package” means the preliminary prospectus as of the Applicable Time and the information included on Annex A hereto, all considered together.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 w:right="100" w:firstLine="436"/>
        <w:spacing w:after="0" w:line="263" w:lineRule="auto"/>
        <w:tabs>
          <w:tab w:leader="none" w:pos="689"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w:t>
      </w:r>
      <w:r>
        <w:rPr>
          <w:rFonts w:ascii="Arial" w:cs="Arial" w:eastAsia="Arial" w:hAnsi="Arial"/>
          <w:sz w:val="18"/>
          <w:szCs w:val="18"/>
          <w:color w:val="auto"/>
        </w:rPr>
        <w:t>. The Company represents and warrants to each Underwriter as of the date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and the Closing Time (as defined below) and agrees with each Underwriter as of the date hereof, the Applicable Time and the Closing Time (as defined below), as follows:</w:t>
      </w:r>
    </w:p>
    <w:p>
      <w:pPr>
        <w:spacing w:after="0" w:line="183" w:lineRule="exact"/>
        <w:rPr>
          <w:rFonts w:ascii="Arial" w:cs="Arial" w:eastAsia="Arial" w:hAnsi="Arial"/>
          <w:sz w:val="18"/>
          <w:szCs w:val="18"/>
          <w:color w:val="auto"/>
        </w:rPr>
      </w:pPr>
    </w:p>
    <w:p>
      <w:pPr>
        <w:ind w:left="4" w:right="140" w:hanging="4"/>
        <w:spacing w:after="0" w:line="273"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78"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Each of the Registration Statement and any post-effective amendment thereto, at the time it became effective, complied in all material respects with the requirements of the 1933 Act, the 1933 Act Regulations, the 1940 Act and the 1940 Act Regulations. Each preliminary prospectus, the Prospectus and any amendment or supplement thereto, at the time each was filed with the Commission, complied in all material respects with the requirements of the 1933 Act, the 1933 Act Regulations, the 1940 Act and the 1940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78" w:lineRule="exact"/>
        <w:rPr>
          <w:sz w:val="20"/>
          <w:szCs w:val="20"/>
          <w:color w:val="auto"/>
        </w:rPr>
      </w:pPr>
    </w:p>
    <w:p>
      <w:pPr>
        <w:ind w:left="4" w:hanging="4"/>
        <w:spacing w:after="0" w:line="285"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w:t>
      </w:r>
    </w:p>
    <w:p>
      <w:pPr>
        <w:spacing w:after="0" w:line="1" w:lineRule="exact"/>
        <w:rPr>
          <w:rFonts w:ascii="Arial" w:cs="Arial" w:eastAsia="Arial" w:hAnsi="Arial"/>
          <w:sz w:val="16"/>
          <w:szCs w:val="16"/>
          <w:color w:val="auto"/>
        </w:rPr>
      </w:pPr>
    </w:p>
    <w:p>
      <w:pPr>
        <w:ind w:left="4" w:right="300" w:hanging="4"/>
        <w:spacing w:after="0" w:line="323"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Registration Statement, (iii) any preliminary prospectus, (iv) the Prospectus, (v) the documents listed on Schedule B hereto, including a Term Sheet substantially in the form of Annex A hereto, and (vi) any electronic road show or other written communications, in each case approved in</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8" w:name="page9"/>
    <w:bookmarkEnd w:id="8"/>
    <w:p>
      <w:pPr>
        <w:ind w:left="4"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writing in advance by the Representatives,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and any preliminary or other prospectus deemed to be a part thereof that has not been superseded or modified.</w:t>
      </w:r>
    </w:p>
    <w:p>
      <w:pPr>
        <w:spacing w:after="0" w:line="157" w:lineRule="exact"/>
        <w:rPr>
          <w:sz w:val="20"/>
          <w:szCs w:val="20"/>
          <w:color w:val="auto"/>
        </w:rPr>
      </w:pPr>
    </w:p>
    <w:p>
      <w:pPr>
        <w:ind w:left="4" w:right="180" w:hanging="4"/>
        <w:spacing w:after="0" w:line="263"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Documents Incorporated by Reference</w:t>
      </w:r>
      <w:r>
        <w:rPr>
          <w:rFonts w:ascii="Arial" w:cs="Arial" w:eastAsia="Arial" w:hAnsi="Arial"/>
          <w:sz w:val="18"/>
          <w:szCs w:val="18"/>
          <w:color w:val="auto"/>
        </w:rPr>
        <w:t>. The documents incorporated by reference in each of the Registration Statement, the Prospectus and the preliminary prospectus, when they became effective or were filed with the Commission, as the case may be, conformed or will conform in all material respects to the requirements of the 1934 Act.</w:t>
      </w:r>
    </w:p>
    <w:p>
      <w:pPr>
        <w:spacing w:after="0" w:line="183" w:lineRule="exact"/>
        <w:rPr>
          <w:rFonts w:ascii="Arial" w:cs="Arial" w:eastAsia="Arial" w:hAnsi="Arial"/>
          <w:sz w:val="18"/>
          <w:szCs w:val="18"/>
          <w:color w:val="auto"/>
        </w:rPr>
      </w:pPr>
    </w:p>
    <w:p>
      <w:pPr>
        <w:ind w:left="304" w:hanging="304"/>
        <w:spacing w:after="0"/>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Testing-the-Waters Communications</w:t>
      </w:r>
      <w:r>
        <w:rPr>
          <w:rFonts w:ascii="Arial" w:cs="Arial" w:eastAsia="Arial" w:hAnsi="Arial"/>
          <w:sz w:val="18"/>
          <w:szCs w:val="18"/>
          <w:color w:val="auto"/>
        </w:rPr>
        <w:t>. The Company (i) has not alone engaged in any Testing-the-Waters Communication other than</w:t>
      </w:r>
    </w:p>
    <w:p>
      <w:pPr>
        <w:spacing w:after="0" w:line="23"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and (ii) has not authorized anyone to engage in Testing-the-Waters Communications. The Company has not distributed any Written Testing-the-Waters Communications. “Testing-the-Waters Communication” means any oral or written communication with potential investors undertaken in reliance on Rule 163B under the 1933 Act. “Written Testing-the-Waters Communication” means any Testing-the-Waters Communication that is a written communication within the meaning of Rule 405.</w:t>
      </w:r>
    </w:p>
    <w:p>
      <w:pPr>
        <w:spacing w:after="0" w:line="194" w:lineRule="exact"/>
        <w:rPr>
          <w:sz w:val="20"/>
          <w:szCs w:val="20"/>
          <w:color w:val="auto"/>
        </w:rPr>
      </w:pPr>
    </w:p>
    <w:p>
      <w:pPr>
        <w:ind w:left="4" w:right="20" w:hanging="4"/>
        <w:spacing w:after="0" w:line="270"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any amendment thereto, at its effective time, at the Applicable Time or at the Closing Time,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preliminary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their respective date(s),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a Representative expressly for use therein (collectively, the “Underwriter Information”). For purposes of this Agreement, the only Underwriter Information shall be (i) the concession amounts appearing in the second paragraph under the heading “Underwriting—Commissions and Discounts,” (ii) the information in the first two paragraphs under the heading “Underwriting— Price Stabilization, Short Positions” and (iii) the information in “Underwriting—Principal Business Addresses”, in each case, in the Prospectus.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9" w:name="page10"/>
    <w:bookmarkEnd w:id="9"/>
    <w:p>
      <w:pPr>
        <w:ind w:left="4" w:right="460" w:hanging="4"/>
        <w:spacing w:after="0" w:line="301" w:lineRule="auto"/>
        <w:tabs>
          <w:tab w:leader="none" w:pos="30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Ineligible Issuer</w:t>
      </w:r>
      <w:r>
        <w:rPr>
          <w:rFonts w:ascii="Arial" w:cs="Arial" w:eastAsia="Arial" w:hAnsi="Arial"/>
          <w:sz w:val="16"/>
          <w:szCs w:val="16"/>
          <w:color w:val="auto"/>
        </w:rPr>
        <w:t>. At the time of filing the Registration Statement and any post-effective amendment thereto, at the earliest time thereafter that the Company or another offering participant made a bona fide offer (within the meaning of Rule 164(h)(2) under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57" w:lineRule="exact"/>
        <w:rPr>
          <w:rFonts w:ascii="Arial" w:cs="Arial" w:eastAsia="Arial" w:hAnsi="Arial"/>
          <w:sz w:val="16"/>
          <w:szCs w:val="16"/>
          <w:color w:val="auto"/>
        </w:rPr>
      </w:pPr>
    </w:p>
    <w:p>
      <w:pPr>
        <w:jc w:val="both"/>
        <w:ind w:left="4" w:right="440" w:hanging="4"/>
        <w:spacing w:after="0" w:line="279" w:lineRule="auto"/>
        <w:tabs>
          <w:tab w:leader="none" w:pos="35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Independent Accountants of the Company</w:t>
      </w:r>
      <w:r>
        <w:rPr>
          <w:rFonts w:ascii="Arial" w:cs="Arial" w:eastAsia="Arial" w:hAnsi="Arial"/>
          <w:sz w:val="17"/>
          <w:szCs w:val="17"/>
          <w:color w:val="auto"/>
        </w:rPr>
        <w:t>. The accountants who audited or reviewed the financial statements and supporting schedules of the Company included or incorporated by reference in the Registration Statement, the General Disclosure Package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171" w:lineRule="exact"/>
        <w:rPr>
          <w:rFonts w:ascii="Arial" w:cs="Arial" w:eastAsia="Arial" w:hAnsi="Arial"/>
          <w:sz w:val="17"/>
          <w:szCs w:val="17"/>
          <w:color w:val="auto"/>
        </w:rPr>
      </w:pPr>
    </w:p>
    <w:p>
      <w:pPr>
        <w:ind w:left="404" w:hanging="404"/>
        <w:spacing w:after="0"/>
        <w:tabs>
          <w:tab w:leader="none" w:pos="40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included or incorporated by reference in the Registration Statement, the General Disclosure</w:t>
      </w:r>
    </w:p>
    <w:p>
      <w:pPr>
        <w:spacing w:after="0" w:line="34" w:lineRule="exact"/>
        <w:rPr>
          <w:rFonts w:ascii="Arial" w:cs="Arial" w:eastAsia="Arial" w:hAnsi="Arial"/>
          <w:sz w:val="17"/>
          <w:szCs w:val="17"/>
          <w:color w:val="auto"/>
        </w:rPr>
      </w:pPr>
    </w:p>
    <w:p>
      <w:pPr>
        <w:ind w:left="4"/>
        <w:spacing w:after="0" w:line="285" w:lineRule="auto"/>
        <w:rPr>
          <w:rFonts w:ascii="Arial" w:cs="Arial" w:eastAsia="Arial" w:hAnsi="Arial"/>
          <w:sz w:val="17"/>
          <w:szCs w:val="17"/>
          <w:color w:val="auto"/>
        </w:rPr>
      </w:pPr>
      <w:r>
        <w:rPr>
          <w:rFonts w:ascii="Arial" w:cs="Arial" w:eastAsia="Arial" w:hAnsi="Arial"/>
          <w:sz w:val="16"/>
          <w:szCs w:val="16"/>
          <w:color w:val="auto"/>
        </w:rPr>
        <w:t>Package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the General Disclosure Package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the General Disclosure Package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171" w:lineRule="exact"/>
        <w:rPr>
          <w:rFonts w:ascii="Arial" w:cs="Arial" w:eastAsia="Arial" w:hAnsi="Arial"/>
          <w:sz w:val="17"/>
          <w:szCs w:val="17"/>
          <w:color w:val="auto"/>
        </w:rPr>
      </w:pPr>
    </w:p>
    <w:p>
      <w:pPr>
        <w:ind w:left="4" w:right="120" w:hanging="4"/>
        <w:spacing w:after="0" w:line="259" w:lineRule="auto"/>
        <w:tabs>
          <w:tab w:leader="none" w:pos="30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in the Registration Statement, the General Disclosure Package or the Prospectus, (A) there has been no material adverse change in the business, management, financial condition, results of operations or prospects of the Company and the Subsidiaries considered as one enterprise, whether or not arising in the ordinary course of</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0" w:name="page11"/>
    <w:bookmarkEnd w:id="10"/>
    <w:p>
      <w:pPr>
        <w:ind w:left="4"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165" w:lineRule="exact"/>
        <w:rPr>
          <w:sz w:val="20"/>
          <w:szCs w:val="20"/>
          <w:color w:val="auto"/>
        </w:rPr>
      </w:pPr>
    </w:p>
    <w:p>
      <w:pPr>
        <w:ind w:left="4" w:right="180" w:hanging="4"/>
        <w:spacing w:after="0" w:line="272"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and to enter into this Agreement and perform its obligations under this Agreement, the Investment Management Agreement, the Administration Agreement, the Indenture, the Securities and the DTC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77" w:lineRule="exact"/>
        <w:rPr>
          <w:rFonts w:ascii="Arial" w:cs="Arial" w:eastAsia="Arial" w:hAnsi="Arial"/>
          <w:sz w:val="17"/>
          <w:szCs w:val="17"/>
          <w:color w:val="auto"/>
        </w:rPr>
      </w:pPr>
    </w:p>
    <w:p>
      <w:pPr>
        <w:ind w:left="304" w:hanging="304"/>
        <w:spacing w:after="0"/>
        <w:tabs>
          <w:tab w:leader="none" w:pos="304"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Subsidiaries of the Company; Portfolio Companies</w:t>
      </w:r>
      <w:r>
        <w:rPr>
          <w:rFonts w:ascii="Arial" w:cs="Arial" w:eastAsia="Arial" w:hAnsi="Arial"/>
          <w:sz w:val="17"/>
          <w:szCs w:val="17"/>
          <w:color w:val="auto"/>
        </w:rPr>
        <w:t>. The Company’s only subsidiaries that were consolidated with the Company for financial</w:t>
      </w:r>
    </w:p>
    <w:p>
      <w:pPr>
        <w:spacing w:after="0" w:line="34" w:lineRule="exact"/>
        <w:rPr>
          <w:rFonts w:ascii="Arial" w:cs="Arial" w:eastAsia="Arial" w:hAnsi="Arial"/>
          <w:sz w:val="17"/>
          <w:szCs w:val="17"/>
          <w:color w:val="auto"/>
        </w:rPr>
      </w:pPr>
    </w:p>
    <w:p>
      <w:pPr>
        <w:ind w:left="4" w:right="160"/>
        <w:spacing w:after="0" w:line="281" w:lineRule="auto"/>
        <w:rPr>
          <w:rFonts w:ascii="Arial" w:cs="Arial" w:eastAsia="Arial" w:hAnsi="Arial"/>
          <w:sz w:val="17"/>
          <w:szCs w:val="17"/>
          <w:color w:val="auto"/>
        </w:rPr>
      </w:pPr>
      <w:r>
        <w:rPr>
          <w:rFonts w:ascii="Arial" w:cs="Arial" w:eastAsia="Arial" w:hAnsi="Arial"/>
          <w:sz w:val="16"/>
          <w:szCs w:val="16"/>
          <w:color w:val="auto"/>
        </w:rPr>
        <w:t>reporting purposes under GAAP as of June 30, 2021 are those listed on Schedule C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General Disclosure Package and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General Disclosure Package and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w:t>
      </w:r>
    </w:p>
    <w:p>
      <w:pPr>
        <w:spacing w:after="0" w:line="6" w:lineRule="exact"/>
        <w:rPr>
          <w:rFonts w:ascii="Arial" w:cs="Arial" w:eastAsia="Arial" w:hAnsi="Arial"/>
          <w:sz w:val="17"/>
          <w:szCs w:val="17"/>
          <w:color w:val="auto"/>
        </w:rPr>
      </w:pPr>
    </w:p>
    <w:p>
      <w:pPr>
        <w:ind w:left="4"/>
        <w:spacing w:after="0" w:line="273" w:lineRule="auto"/>
        <w:rPr>
          <w:rFonts w:ascii="Arial" w:cs="Arial" w:eastAsia="Arial" w:hAnsi="Arial"/>
          <w:sz w:val="17"/>
          <w:szCs w:val="17"/>
          <w:color w:val="auto"/>
        </w:rPr>
      </w:pPr>
      <w:r>
        <w:rPr>
          <w:rFonts w:ascii="Arial" w:cs="Arial" w:eastAsia="Arial" w:hAnsi="Arial"/>
          <w:sz w:val="17"/>
          <w:szCs w:val="17"/>
          <w:color w:val="auto"/>
        </w:rPr>
        <w:t>(A) the Subsidiaries and (B) those corporations or other entities described in the Registration Statement, General Disclosure Package and the Prospectus under the caption “Portfolio Companies” (each a “Portfolio Company” and collectively the “Portfolio Companies”). Except as otherwise disclosed in the General Disclosure Package and the Prospectus, the Company does not control (as such term is defined in Section 2(a)(9) of the 1940 Act), any of the Portfolio Companies or any corporation or other entity in which it invested since the most recent quarter end.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1" w:name="page12"/>
    <w:bookmarkEnd w:id="11"/>
    <w:p>
      <w:pPr>
        <w:ind w:left="4" w:right="100" w:hanging="4"/>
        <w:spacing w:after="0" w:line="254" w:lineRule="auto"/>
        <w:tabs>
          <w:tab w:leader="none" w:pos="35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Arial" w:cs="Arial" w:eastAsia="Arial" w:hAnsi="Arial"/>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the General Disclosure Package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94" w:lineRule="exact"/>
        <w:rPr>
          <w:rFonts w:ascii="Arial" w:cs="Arial" w:eastAsia="Arial" w:hAnsi="Arial"/>
          <w:sz w:val="18"/>
          <w:szCs w:val="18"/>
          <w:color w:val="auto"/>
        </w:rPr>
      </w:pPr>
    </w:p>
    <w:p>
      <w:pPr>
        <w:ind w:left="404" w:hanging="404"/>
        <w:spacing w:after="0"/>
        <w:tabs>
          <w:tab w:leader="none" w:pos="40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30" w:lineRule="exact"/>
        <w:rPr>
          <w:rFonts w:ascii="Arial" w:cs="Arial" w:eastAsia="Arial" w:hAnsi="Arial"/>
          <w:sz w:val="18"/>
          <w:szCs w:val="18"/>
          <w:color w:val="auto"/>
        </w:rPr>
      </w:pPr>
    </w:p>
    <w:p>
      <w:pPr>
        <w:ind w:left="964" w:right="20" w:hanging="532"/>
        <w:spacing w:after="0" w:line="291" w:lineRule="auto"/>
        <w:tabs>
          <w:tab w:leader="none" w:pos="9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Base Indenture has been duly authorized, executed and delivered by the Company and constitutes a valid and binding obligation of the Company, enforceable against the Company in accordance with its terms, except as the enforcement thereof may be subject to</w:t>
      </w:r>
    </w:p>
    <w:p>
      <w:pPr>
        <w:jc w:val="both"/>
        <w:ind w:left="964" w:right="680" w:firstLine="8"/>
        <w:spacing w:after="0" w:line="323" w:lineRule="auto"/>
        <w:tabs>
          <w:tab w:leader="none" w:pos="1179" w:val="left"/>
        </w:tabs>
        <w:numPr>
          <w:ilvl w:val="2"/>
          <w:numId w:val="10"/>
        </w:numPr>
        <w:rPr>
          <w:rFonts w:ascii="Arial" w:cs="Arial" w:eastAsia="Arial" w:hAnsi="Arial"/>
          <w:sz w:val="16"/>
          <w:szCs w:val="16"/>
          <w:color w:val="auto"/>
        </w:rPr>
      </w:pPr>
      <w:r>
        <w:rPr>
          <w:rFonts w:ascii="Arial" w:cs="Arial" w:eastAsia="Arial" w:hAnsi="Arial"/>
          <w:sz w:val="16"/>
          <w:szCs w:val="16"/>
          <w:color w:val="auto"/>
        </w:rPr>
        <w:t>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43" w:lineRule="exact"/>
        <w:rPr>
          <w:rFonts w:ascii="Arial" w:cs="Arial" w:eastAsia="Arial" w:hAnsi="Arial"/>
          <w:sz w:val="16"/>
          <w:szCs w:val="16"/>
          <w:color w:val="auto"/>
        </w:rPr>
      </w:pPr>
    </w:p>
    <w:p>
      <w:pPr>
        <w:ind w:left="964" w:hanging="532"/>
        <w:spacing w:after="0" w:line="275" w:lineRule="auto"/>
        <w:tabs>
          <w:tab w:leader="none" w:pos="9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Fifth Supplemental Indenture has been duly authorized, and, at the Closing Time, will be duly executed and delivered by the Company and, when duly executed and delivered by the Trustee, will constitute the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81" w:lineRule="exact"/>
        <w:rPr>
          <w:rFonts w:ascii="Arial" w:cs="Arial" w:eastAsia="Arial" w:hAnsi="Arial"/>
          <w:sz w:val="17"/>
          <w:szCs w:val="17"/>
          <w:color w:val="auto"/>
        </w:rPr>
      </w:pPr>
    </w:p>
    <w:p>
      <w:pPr>
        <w:ind w:left="964" w:right="540" w:hanging="532"/>
        <w:spacing w:after="0" w:line="291" w:lineRule="auto"/>
        <w:tabs>
          <w:tab w:leader="none" w:pos="9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DTC Agreement has been duly authorized, executed and delivered by the Company and is a valid and binding obligation of the Company, enforceable against the Company in accordance with its terms, except as the enforcement thereof may be subject to</w:t>
      </w:r>
    </w:p>
    <w:p>
      <w:pPr>
        <w:jc w:val="both"/>
        <w:ind w:left="964" w:right="680" w:firstLine="8"/>
        <w:spacing w:after="0" w:line="323" w:lineRule="auto"/>
        <w:tabs>
          <w:tab w:leader="none" w:pos="1179" w:val="left"/>
        </w:tabs>
        <w:numPr>
          <w:ilvl w:val="2"/>
          <w:numId w:val="10"/>
        </w:numPr>
        <w:rPr>
          <w:rFonts w:ascii="Arial" w:cs="Arial" w:eastAsia="Arial" w:hAnsi="Arial"/>
          <w:sz w:val="16"/>
          <w:szCs w:val="16"/>
          <w:color w:val="auto"/>
        </w:rPr>
      </w:pPr>
      <w:r>
        <w:rPr>
          <w:rFonts w:ascii="Arial" w:cs="Arial" w:eastAsia="Arial" w:hAnsi="Arial"/>
          <w:sz w:val="16"/>
          <w:szCs w:val="16"/>
          <w:color w:val="auto"/>
        </w:rPr>
        <w:t>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138" w:lineRule="exact"/>
        <w:rPr>
          <w:rFonts w:ascii="Arial" w:cs="Arial" w:eastAsia="Arial" w:hAnsi="Arial"/>
          <w:sz w:val="16"/>
          <w:szCs w:val="16"/>
          <w:color w:val="auto"/>
        </w:rPr>
      </w:pPr>
    </w:p>
    <w:p>
      <w:pPr>
        <w:ind w:left="4" w:hanging="4"/>
        <w:spacing w:after="0" w:line="255" w:lineRule="auto"/>
        <w:tabs>
          <w:tab w:leader="none" w:pos="39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Securities</w:t>
      </w:r>
      <w:r>
        <w:rPr>
          <w:rFonts w:ascii="Arial" w:cs="Arial" w:eastAsia="Arial" w:hAnsi="Arial"/>
          <w:sz w:val="18"/>
          <w:szCs w:val="18"/>
          <w:color w:val="auto"/>
        </w:rPr>
        <w:t>. The Securities have been duly authorized and, when issued and delivered by the Company and authenticated by the Trustee pursuant to this Agreement and the Indenture relating thereto, against payment of the purchase price set forth herein, will be valid and legally binding obligations of the Company enforceable in accordance with their terms, except as the enforcement thereof may be subject to the effect of (i) bankruptcy, insolvency, reorganization, moratorium or other similar laws now or thereafter in effect relating to creditors’ rights generally and (ii) general principles of equity and the discretion of the court before which any proceeding therefor may be brought, and will be entitled to the benefits of the Indenture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2" w:name="page13"/>
    <w:bookmarkEnd w:id="12"/>
    <w:p>
      <w:pPr>
        <w:ind w:left="4"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thereto; and the Securities and the Indenture conform to all statements relating thereto contained in the General Disclosure Package and the Prospectus and such description conforms to the rights set forth in the instruments defining the same. The information under the captions “Description of Our Debt Securities” and “Description of Notes” in the General Disclosure Package and the Prospectus, insofar as such statements purport to summarize certain provisions of the Indenture or the Securities, fairly and accurately summarize such provisions in all material respects.</w:t>
      </w:r>
    </w:p>
    <w:p>
      <w:pPr>
        <w:spacing w:after="0" w:line="157" w:lineRule="exact"/>
        <w:rPr>
          <w:sz w:val="20"/>
          <w:szCs w:val="20"/>
          <w:color w:val="auto"/>
        </w:rPr>
      </w:pPr>
    </w:p>
    <w:p>
      <w:pPr>
        <w:ind w:left="4" w:right="60" w:hanging="4"/>
        <w:spacing w:after="0" w:line="270" w:lineRule="auto"/>
        <w:tabs>
          <w:tab w:leader="none" w:pos="349"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Absence of Violations and Defaults</w:t>
      </w:r>
      <w:r>
        <w:rPr>
          <w:rFonts w:ascii="Arial" w:cs="Arial" w:eastAsia="Arial" w:hAnsi="Arial"/>
          <w:sz w:val="17"/>
          <w:szCs w:val="17"/>
          <w:color w:val="auto"/>
        </w:rPr>
        <w:t>. Neither the Company nor any of the Subsidiaries is (A) in violation of its charter, bylaws or similar organizational document, each as amended or supplemented as of the date of this Agreement and the Closing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80" w:lineRule="exact"/>
        <w:rPr>
          <w:rFonts w:ascii="Arial" w:cs="Arial" w:eastAsia="Arial" w:hAnsi="Arial"/>
          <w:sz w:val="17"/>
          <w:szCs w:val="17"/>
          <w:color w:val="auto"/>
        </w:rPr>
      </w:pPr>
    </w:p>
    <w:p>
      <w:pPr>
        <w:ind w:left="4" w:hanging="4"/>
        <w:spacing w:after="0" w:line="286" w:lineRule="auto"/>
        <w:tabs>
          <w:tab w:leader="none" w:pos="39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delivery and performance of this Agreement, the Fifth Supplemental Indenture and the Securities, the performance of the Investment Management Agreement, the Administration Agreement, the Base Indenture and the DTC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3" w:name="page14"/>
    <w:bookmarkEnd w:id="13"/>
    <w:p>
      <w:pPr>
        <w:ind w:left="4" w:right="140" w:hanging="4"/>
        <w:spacing w:after="0" w:line="277" w:lineRule="auto"/>
        <w:tabs>
          <w:tab w:leader="none" w:pos="44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w:t>
      </w:r>
      <w:r>
        <w:rPr>
          <w:rFonts w:ascii="Arial" w:cs="Arial" w:eastAsia="Arial" w:hAnsi="Arial"/>
          <w:sz w:val="18"/>
          <w:szCs w:val="18"/>
          <w:color w:val="auto"/>
        </w:rPr>
        <w:t>. As of the date hereof, neither the Company nor any of the Subsidiaries has, and as of the Closing Time neither the Company nor any of the Subsidiaries will have, any employees.</w:t>
      </w:r>
    </w:p>
    <w:p>
      <w:pPr>
        <w:spacing w:after="0" w:line="170" w:lineRule="exact"/>
        <w:rPr>
          <w:rFonts w:ascii="Arial" w:cs="Arial" w:eastAsia="Arial" w:hAnsi="Arial"/>
          <w:sz w:val="18"/>
          <w:szCs w:val="18"/>
          <w:color w:val="auto"/>
        </w:rPr>
      </w:pPr>
    </w:p>
    <w:p>
      <w:pPr>
        <w:ind w:left="4" w:right="40" w:hanging="4"/>
        <w:spacing w:after="0" w:line="273" w:lineRule="auto"/>
        <w:tabs>
          <w:tab w:leader="none" w:pos="49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the Indenture, the Securities or the DTC Agreement or the performance by the Company of its obligations hereunder or thereunder.</w:t>
      </w:r>
    </w:p>
    <w:p>
      <w:pPr>
        <w:spacing w:after="0" w:line="177" w:lineRule="exact"/>
        <w:rPr>
          <w:rFonts w:ascii="Arial" w:cs="Arial" w:eastAsia="Arial" w:hAnsi="Arial"/>
          <w:sz w:val="17"/>
          <w:szCs w:val="17"/>
          <w:color w:val="auto"/>
        </w:rPr>
      </w:pPr>
    </w:p>
    <w:p>
      <w:pPr>
        <w:jc w:val="center"/>
        <w:ind w:left="4" w:right="360" w:hanging="4"/>
        <w:spacing w:after="0" w:line="342" w:lineRule="auto"/>
        <w:tabs>
          <w:tab w:leader="none" w:pos="399"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23" w:lineRule="exact"/>
        <w:rPr>
          <w:rFonts w:ascii="Arial" w:cs="Arial" w:eastAsia="Arial" w:hAnsi="Arial"/>
          <w:sz w:val="16"/>
          <w:szCs w:val="16"/>
          <w:color w:val="auto"/>
        </w:rPr>
      </w:pPr>
    </w:p>
    <w:p>
      <w:pPr>
        <w:ind w:left="4" w:hanging="4"/>
        <w:spacing w:after="0" w:line="269" w:lineRule="auto"/>
        <w:tabs>
          <w:tab w:leader="none" w:pos="34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the Indenture, the Securities, the DTC Agreement or the General Disclosure Package and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1940 Act, the 1940 Act Regulations, the Trust Indenture Act,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185" w:lineRule="exact"/>
        <w:rPr>
          <w:rFonts w:ascii="Arial" w:cs="Arial" w:eastAsia="Arial" w:hAnsi="Arial"/>
          <w:sz w:val="17"/>
          <w:szCs w:val="17"/>
          <w:color w:val="auto"/>
        </w:rPr>
      </w:pPr>
    </w:p>
    <w:p>
      <w:pPr>
        <w:ind w:left="4" w:right="40" w:hanging="4"/>
        <w:spacing w:after="0" w:line="272" w:lineRule="auto"/>
        <w:tabs>
          <w:tab w:leader="none" w:pos="39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4" w:name="page15"/>
    <w:bookmarkEnd w:id="14"/>
    <w:p>
      <w:pPr>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184" w:lineRule="exact"/>
        <w:rPr>
          <w:sz w:val="20"/>
          <w:szCs w:val="20"/>
          <w:color w:val="auto"/>
        </w:rPr>
      </w:pPr>
    </w:p>
    <w:p>
      <w:pPr>
        <w:ind w:left="4" w:right="160" w:hanging="4"/>
        <w:spacing w:after="0" w:line="296" w:lineRule="auto"/>
        <w:tabs>
          <w:tab w:leader="none" w:pos="44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61" w:lineRule="exact"/>
        <w:rPr>
          <w:rFonts w:ascii="Arial" w:cs="Arial" w:eastAsia="Arial" w:hAnsi="Arial"/>
          <w:sz w:val="16"/>
          <w:szCs w:val="16"/>
          <w:color w:val="auto"/>
        </w:rPr>
      </w:pPr>
    </w:p>
    <w:p>
      <w:pPr>
        <w:ind w:left="4" w:hanging="4"/>
        <w:spacing w:after="0" w:line="253" w:lineRule="auto"/>
        <w:tabs>
          <w:tab w:leader="none" w:pos="49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Possession of Intellectual Property</w:t>
      </w:r>
      <w:r>
        <w:rPr>
          <w:rFonts w:ascii="Arial" w:cs="Arial" w:eastAsia="Arial" w:hAnsi="Arial"/>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96" w:lineRule="exact"/>
        <w:rPr>
          <w:rFonts w:ascii="Arial" w:cs="Arial" w:eastAsia="Arial" w:hAnsi="Arial"/>
          <w:sz w:val="18"/>
          <w:szCs w:val="18"/>
          <w:color w:val="auto"/>
        </w:rPr>
      </w:pPr>
    </w:p>
    <w:p>
      <w:pPr>
        <w:ind w:left="4" w:hanging="4"/>
        <w:spacing w:after="0" w:line="287"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5" w:name="page16"/>
    <w:bookmarkEnd w:id="15"/>
    <w:p>
      <w:pPr>
        <w:ind w:left="4" w:right="20" w:hanging="4"/>
        <w:spacing w:after="0" w:line="286" w:lineRule="auto"/>
        <w:tabs>
          <w:tab w:leader="none" w:pos="43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 and Tax Returns</w:t>
      </w:r>
      <w:r>
        <w:rPr>
          <w:rFonts w:ascii="Arial" w:cs="Arial" w:eastAsia="Arial" w:hAnsi="Arial"/>
          <w:sz w:val="16"/>
          <w:szCs w:val="16"/>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2020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73" w:lineRule="exact"/>
        <w:rPr>
          <w:rFonts w:ascii="Arial" w:cs="Arial" w:eastAsia="Arial" w:hAnsi="Arial"/>
          <w:sz w:val="16"/>
          <w:szCs w:val="16"/>
          <w:color w:val="auto"/>
        </w:rPr>
      </w:pPr>
    </w:p>
    <w:p>
      <w:pPr>
        <w:ind w:left="4" w:hanging="4"/>
        <w:spacing w:after="0" w:line="275" w:lineRule="auto"/>
        <w:tabs>
          <w:tab w:leader="none" w:pos="489"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176" w:lineRule="exact"/>
        <w:rPr>
          <w:rFonts w:ascii="Arial" w:cs="Arial" w:eastAsia="Arial" w:hAnsi="Arial"/>
          <w:sz w:val="17"/>
          <w:szCs w:val="17"/>
          <w:color w:val="auto"/>
        </w:rPr>
      </w:pPr>
    </w:p>
    <w:p>
      <w:pPr>
        <w:ind w:left="4" w:right="320" w:hanging="4"/>
        <w:spacing w:after="0" w:line="263" w:lineRule="auto"/>
        <w:tabs>
          <w:tab w:leader="none" w:pos="53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183" w:lineRule="exact"/>
        <w:rPr>
          <w:rFonts w:ascii="Arial" w:cs="Arial" w:eastAsia="Arial" w:hAnsi="Arial"/>
          <w:sz w:val="18"/>
          <w:szCs w:val="18"/>
          <w:color w:val="auto"/>
        </w:rPr>
      </w:pPr>
    </w:p>
    <w:p>
      <w:pPr>
        <w:ind w:left="4" w:right="100" w:hanging="4"/>
        <w:spacing w:after="0" w:line="263" w:lineRule="auto"/>
        <w:tabs>
          <w:tab w:leader="none" w:pos="58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Stabilization and Manipulation</w:t>
      </w:r>
      <w:r>
        <w:rPr>
          <w:rFonts w:ascii="Arial" w:cs="Arial" w:eastAsia="Arial" w:hAnsi="Arial"/>
          <w:sz w:val="18"/>
          <w:szCs w:val="18"/>
          <w:color w:val="auto"/>
        </w:rPr>
        <w:t>. The Company has not taken, nor will it take, directly or indirectly, without giving effect to any activities by the Underwriters, any action designed, or that would reasonably be expected, to cause or result in, or that constitutes, any stabilization or manipulation of the price of the Securities, other than activity permitted pursuant to Rule 10b-18 under the 1934 Act.</w:t>
      </w:r>
    </w:p>
    <w:p>
      <w:pPr>
        <w:spacing w:after="0" w:line="183" w:lineRule="exact"/>
        <w:rPr>
          <w:rFonts w:ascii="Arial" w:cs="Arial" w:eastAsia="Arial" w:hAnsi="Arial"/>
          <w:sz w:val="18"/>
          <w:szCs w:val="18"/>
          <w:color w:val="auto"/>
        </w:rPr>
      </w:pPr>
    </w:p>
    <w:p>
      <w:pPr>
        <w:ind w:left="4" w:right="340" w:hanging="4"/>
        <w:spacing w:after="0" w:line="263" w:lineRule="auto"/>
        <w:tabs>
          <w:tab w:leader="none" w:pos="48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6" w:name="page17"/>
    <w:bookmarkEnd w:id="16"/>
    <w:p>
      <w:pPr>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195" w:lineRule="exact"/>
        <w:rPr>
          <w:sz w:val="20"/>
          <w:szCs w:val="20"/>
          <w:color w:val="auto"/>
        </w:rPr>
      </w:pPr>
    </w:p>
    <w:p>
      <w:pPr>
        <w:ind w:left="4" w:right="80" w:hanging="4"/>
        <w:spacing w:after="0" w:line="293" w:lineRule="auto"/>
        <w:tabs>
          <w:tab w:leader="none" w:pos="439"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164" w:lineRule="exact"/>
        <w:rPr>
          <w:rFonts w:ascii="Arial" w:cs="Arial" w:eastAsia="Arial" w:hAnsi="Arial"/>
          <w:sz w:val="16"/>
          <w:szCs w:val="16"/>
          <w:color w:val="auto"/>
        </w:rPr>
      </w:pPr>
    </w:p>
    <w:p>
      <w:pPr>
        <w:ind w:left="4" w:hanging="4"/>
        <w:spacing w:after="0" w:line="271" w:lineRule="auto"/>
        <w:tabs>
          <w:tab w:leader="none" w:pos="489"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Her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178" w:lineRule="exact"/>
        <w:rPr>
          <w:rFonts w:ascii="Arial" w:cs="Arial" w:eastAsia="Arial" w:hAnsi="Arial"/>
          <w:sz w:val="17"/>
          <w:szCs w:val="17"/>
          <w:color w:val="auto"/>
        </w:rPr>
      </w:pPr>
    </w:p>
    <w:p>
      <w:pPr>
        <w:ind w:left="544" w:hanging="544"/>
        <w:spacing w:after="0"/>
        <w:tabs>
          <w:tab w:leader="none" w:pos="54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Lending Relationship</w:t>
      </w:r>
      <w:r>
        <w:rPr>
          <w:rFonts w:ascii="Arial" w:cs="Arial" w:eastAsia="Arial" w:hAnsi="Arial"/>
          <w:sz w:val="16"/>
          <w:szCs w:val="16"/>
          <w:color w:val="auto"/>
        </w:rPr>
        <w:t>. Except as disclosed in the Registration Statement, the General Disclosure Package and the Prospectus, the Company</w:t>
      </w:r>
    </w:p>
    <w:p>
      <w:pPr>
        <w:spacing w:after="0" w:line="46" w:lineRule="exact"/>
        <w:rPr>
          <w:sz w:val="20"/>
          <w:szCs w:val="20"/>
          <w:color w:val="auto"/>
        </w:rPr>
      </w:pPr>
    </w:p>
    <w:p>
      <w:pPr>
        <w:ind w:left="4" w:right="180" w:hanging="4"/>
        <w:spacing w:after="0" w:line="260" w:lineRule="auto"/>
        <w:tabs>
          <w:tab w:leader="none" w:pos="2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85" w:lineRule="exact"/>
        <w:rPr>
          <w:sz w:val="20"/>
          <w:szCs w:val="20"/>
          <w:color w:val="auto"/>
        </w:rPr>
      </w:pPr>
    </w:p>
    <w:p>
      <w:pPr>
        <w:jc w:val="both"/>
        <w:ind w:left="4" w:hanging="4"/>
        <w:spacing w:after="0" w:line="286" w:lineRule="auto"/>
        <w:tabs>
          <w:tab w:leader="none" w:pos="589"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or incorporated by reference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17" w:name="page18"/>
    <w:bookmarkEnd w:id="17"/>
    <w:p>
      <w:pPr>
        <w:ind w:left="4" w:right="220" w:hanging="4"/>
        <w:spacing w:after="0" w:line="263" w:lineRule="auto"/>
        <w:tabs>
          <w:tab w:leader="none" w:pos="57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Ratings</w:t>
      </w:r>
      <w:r>
        <w:rPr>
          <w:rFonts w:ascii="Arial" w:cs="Arial" w:eastAsia="Arial" w:hAnsi="Arial"/>
          <w:sz w:val="18"/>
          <w:szCs w:val="18"/>
          <w:color w:val="auto"/>
        </w:rPr>
        <w:t>. Other than the Company’s 5.50% Notes due 2024 and the 4.500% Notes due 2026, the Company does not have any debt securities or preferred stock that are rated by any “nationally recognized statistical rating agency” (as that term is defined by the Commission for purposes of Section 3(a)(62) under the 1934 Act).</w:t>
      </w:r>
    </w:p>
    <w:p>
      <w:pPr>
        <w:spacing w:after="0" w:line="183" w:lineRule="exact"/>
        <w:rPr>
          <w:rFonts w:ascii="Arial" w:cs="Arial" w:eastAsia="Arial" w:hAnsi="Arial"/>
          <w:sz w:val="18"/>
          <w:szCs w:val="18"/>
          <w:color w:val="auto"/>
        </w:rPr>
      </w:pPr>
    </w:p>
    <w:p>
      <w:pPr>
        <w:ind w:left="4" w:right="240" w:hanging="4"/>
        <w:spacing w:after="0" w:line="263" w:lineRule="auto"/>
        <w:tabs>
          <w:tab w:leader="none" w:pos="52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 party transactions involving the Company, any of the Subsidiaries or any other person required to be described in the Registration Statement, the General Disclosure Package or the Prospectus which have not been described as required.</w:t>
      </w:r>
    </w:p>
    <w:p>
      <w:pPr>
        <w:spacing w:after="0" w:line="183" w:lineRule="exact"/>
        <w:rPr>
          <w:rFonts w:ascii="Arial" w:cs="Arial" w:eastAsia="Arial" w:hAnsi="Arial"/>
          <w:sz w:val="18"/>
          <w:szCs w:val="18"/>
          <w:color w:val="auto"/>
        </w:rPr>
      </w:pPr>
    </w:p>
    <w:p>
      <w:pPr>
        <w:jc w:val="both"/>
        <w:ind w:left="4" w:right="100" w:hanging="4"/>
        <w:spacing w:after="0" w:line="259" w:lineRule="auto"/>
        <w:tabs>
          <w:tab w:leader="none" w:pos="57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Notification of Election</w:t>
      </w:r>
      <w:r>
        <w:rPr>
          <w:rFonts w:ascii="Arial" w:cs="Arial" w:eastAsia="Arial" w:hAnsi="Arial"/>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ind w:left="4" w:right="180" w:hanging="4"/>
        <w:spacing w:after="0" w:line="287" w:lineRule="auto"/>
        <w:tabs>
          <w:tab w:leader="none" w:pos="62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Investment Management Agreement and Administration Agreement</w:t>
      </w:r>
      <w:r>
        <w:rPr>
          <w:rFonts w:ascii="Arial" w:cs="Arial" w:eastAsia="Arial" w:hAnsi="Arial"/>
          <w:sz w:val="16"/>
          <w:szCs w:val="16"/>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w:t>
      </w:r>
    </w:p>
    <w:p>
      <w:pPr>
        <w:spacing w:after="0" w:line="2" w:lineRule="exact"/>
        <w:rPr>
          <w:rFonts w:ascii="Arial" w:cs="Arial" w:eastAsia="Arial" w:hAnsi="Arial"/>
          <w:sz w:val="16"/>
          <w:szCs w:val="16"/>
          <w:color w:val="auto"/>
        </w:rPr>
      </w:pPr>
    </w:p>
    <w:p>
      <w:pPr>
        <w:ind w:left="4" w:right="160"/>
        <w:spacing w:after="0" w:line="288" w:lineRule="auto"/>
        <w:rPr>
          <w:rFonts w:ascii="Arial" w:cs="Arial" w:eastAsia="Arial" w:hAnsi="Arial"/>
          <w:sz w:val="16"/>
          <w:szCs w:val="16"/>
          <w:color w:val="auto"/>
        </w:rPr>
      </w:pPr>
      <w:r>
        <w:rPr>
          <w:rFonts w:ascii="Arial" w:cs="Arial" w:eastAsia="Arial" w:hAnsi="Arial"/>
          <w:sz w:val="16"/>
          <w:szCs w:val="16"/>
          <w:color w:val="auto"/>
        </w:rPr>
        <w:t>(B)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68" w:lineRule="exact"/>
        <w:rPr>
          <w:rFonts w:ascii="Arial" w:cs="Arial" w:eastAsia="Arial" w:hAnsi="Arial"/>
          <w:sz w:val="16"/>
          <w:szCs w:val="16"/>
          <w:color w:val="auto"/>
        </w:rPr>
      </w:pPr>
    </w:p>
    <w:p>
      <w:pPr>
        <w:ind w:left="4" w:hanging="4"/>
        <w:spacing w:after="0" w:line="259" w:lineRule="auto"/>
        <w:tabs>
          <w:tab w:leader="none" w:pos="67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Interested Persons</w:t>
      </w:r>
      <w:r>
        <w:rPr>
          <w:rFonts w:ascii="Arial" w:cs="Arial" w:eastAsia="Arial" w:hAnsi="Arial"/>
          <w:sz w:val="18"/>
          <w:szCs w:val="18"/>
          <w:color w:val="auto"/>
        </w:rPr>
        <w:t>. Except as disclosed in the Registration Statement, the General Disclosure Package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18" w:name="page19"/>
    <w:bookmarkEnd w:id="18"/>
    <w:p>
      <w:pPr>
        <w:ind w:left="4" w:right="140" w:hanging="4"/>
        <w:spacing w:after="0" w:line="273" w:lineRule="auto"/>
        <w:tabs>
          <w:tab w:leader="none" w:pos="57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Development Company</w:t>
      </w:r>
      <w:r>
        <w:rPr>
          <w:rFonts w:ascii="Arial" w:cs="Arial" w:eastAsia="Arial" w:hAnsi="Arial"/>
          <w:sz w:val="17"/>
          <w:szCs w:val="17"/>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178" w:lineRule="exact"/>
        <w:rPr>
          <w:sz w:val="20"/>
          <w:szCs w:val="20"/>
          <w:color w:val="auto"/>
        </w:rPr>
      </w:pPr>
    </w:p>
    <w:p>
      <w:pPr>
        <w:jc w:val="both"/>
        <w:ind w:left="4" w:right="140"/>
        <w:spacing w:after="0" w:line="286" w:lineRule="auto"/>
        <w:rPr>
          <w:sz w:val="20"/>
          <w:szCs w:val="20"/>
          <w:color w:val="auto"/>
        </w:rPr>
      </w:pPr>
      <w:r>
        <w:rPr>
          <w:rFonts w:ascii="Arial" w:cs="Arial" w:eastAsia="Arial" w:hAnsi="Arial"/>
          <w:sz w:val="17"/>
          <w:szCs w:val="17"/>
          <w:color w:val="auto"/>
        </w:rPr>
        <w:t xml:space="preserve">(xl) </w:t>
      </w:r>
      <w:r>
        <w:rPr>
          <w:rFonts w:ascii="Arial" w:cs="Arial" w:eastAsia="Arial" w:hAnsi="Arial"/>
          <w:sz w:val="17"/>
          <w:szCs w:val="17"/>
          <w:u w:val="single" w:color="auto"/>
          <w:color w:val="auto"/>
        </w:rPr>
        <w:t>No Extension of Credit</w:t>
      </w:r>
      <w:r>
        <w:rPr>
          <w:rFonts w:ascii="Arial" w:cs="Arial" w:eastAsia="Arial" w:hAnsi="Arial"/>
          <w:sz w:val="17"/>
          <w:szCs w:val="17"/>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165"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Regulated Investment Company</w:t>
      </w:r>
      <w:r>
        <w:rPr>
          <w:rFonts w:ascii="Arial" w:cs="Arial" w:eastAsia="Arial" w:hAnsi="Arial"/>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8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 xml:space="preserve">(xlii) </w:t>
      </w:r>
      <w:r>
        <w:rPr>
          <w:rFonts w:ascii="Arial" w:cs="Arial" w:eastAsia="Arial" w:hAnsi="Arial"/>
          <w:sz w:val="18"/>
          <w:szCs w:val="18"/>
          <w:u w:val="single" w:color="auto"/>
          <w:color w:val="auto"/>
        </w:rPr>
        <w:t>Sarbanes-Oxley Act</w:t>
      </w:r>
      <w:r>
        <w:rPr>
          <w:rFonts w:ascii="Arial" w:cs="Arial" w:eastAsia="Arial" w:hAnsi="Arial"/>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87"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Forward-Looking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No forward-looking statement (within the meaning of Section 27A of the 1933 Act and Section 21E of the 1934 Act) contained in the Registration Statement, the General Disclosure Package or the Prospectus has been made or reaffirmed without a reasonable basis or has been disclosed other than in good faith.</w:t>
      </w:r>
    </w:p>
    <w:p>
      <w:pPr>
        <w:spacing w:after="0" w:line="184"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 xml:space="preserve">(xliv) </w:t>
      </w:r>
      <w:r>
        <w:rPr>
          <w:rFonts w:ascii="Arial" w:cs="Arial" w:eastAsia="Arial" w:hAnsi="Arial"/>
          <w:sz w:val="17"/>
          <w:szCs w:val="17"/>
          <w:u w:val="single" w:color="auto"/>
          <w:color w:val="auto"/>
        </w:rPr>
        <w:t>IT Systems</w:t>
      </w:r>
      <w:r>
        <w:rPr>
          <w:rFonts w:ascii="Arial" w:cs="Arial" w:eastAsia="Arial" w:hAnsi="Arial"/>
          <w:sz w:val="17"/>
          <w:szCs w:val="17"/>
          <w:color w:val="auto"/>
        </w:rPr>
        <w:t>. The Company and the Subsidiaries’ information technology assets and equipment, computers, systems, networks, hardware, software, websites, applications, and databases (collectively, “IT Systems”) are reasonably adequate for, and operate and perform in all material respects as required in connection with the operation of the business of the Company and the Subsidiaries as currently conducted, free and clear, to the Company’s knowledge,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9" w:name="page20"/>
    <w:bookmarkEnd w:id="19"/>
    <w:p>
      <w:pPr>
        <w:ind w:left="4"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businesses, and, to the Company’s knowledge,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78" w:lineRule="exact"/>
        <w:rPr>
          <w:sz w:val="20"/>
          <w:szCs w:val="20"/>
          <w:color w:val="auto"/>
        </w:rPr>
      </w:pPr>
    </w:p>
    <w:p>
      <w:pPr>
        <w:ind w:left="4" w:right="240" w:hanging="4"/>
        <w:spacing w:after="0" w:line="342" w:lineRule="auto"/>
        <w:tabs>
          <w:tab w:leader="none" w:pos="259"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by the Adviser and the Administrator</w:t>
      </w:r>
      <w:r>
        <w:rPr>
          <w:rFonts w:ascii="Arial" w:cs="Arial" w:eastAsia="Arial" w:hAnsi="Arial"/>
          <w:sz w:val="16"/>
          <w:szCs w:val="16"/>
          <w:color w:val="auto"/>
        </w:rPr>
        <w:t>. The Adviser and the Administrator, jointly and severally, represent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as of the date hereof, the Applicable Time and the Closing Time (as defined below), and agrees with each Underwriter, as follows:</w:t>
      </w:r>
    </w:p>
    <w:p>
      <w:pPr>
        <w:spacing w:after="0" w:line="124" w:lineRule="exact"/>
        <w:rPr>
          <w:sz w:val="20"/>
          <w:szCs w:val="20"/>
          <w:color w:val="auto"/>
        </w:rPr>
      </w:pPr>
    </w:p>
    <w:p>
      <w:pPr>
        <w:ind w:left="4" w:hanging="4"/>
        <w:spacing w:after="0" w:line="255"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or incorporated by reference in the Registration Statement, the General Disclosure Package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92" w:lineRule="exact"/>
        <w:rPr>
          <w:rFonts w:ascii="Arial" w:cs="Arial" w:eastAsia="Arial" w:hAnsi="Arial"/>
          <w:sz w:val="18"/>
          <w:szCs w:val="18"/>
          <w:color w:val="auto"/>
        </w:rPr>
      </w:pPr>
    </w:p>
    <w:p>
      <w:pPr>
        <w:ind w:left="4" w:hanging="4"/>
        <w:spacing w:after="0" w:line="272" w:lineRule="auto"/>
        <w:tabs>
          <w:tab w:leader="none" w:pos="26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Good Standing</w:t>
      </w:r>
      <w:r>
        <w:rPr>
          <w:rFonts w:ascii="Arial" w:cs="Arial" w:eastAsia="Arial" w:hAnsi="Arial"/>
          <w:sz w:val="17"/>
          <w:szCs w:val="17"/>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the General Disclosure Package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177" w:lineRule="exact"/>
        <w:rPr>
          <w:rFonts w:ascii="Arial" w:cs="Arial" w:eastAsia="Arial" w:hAnsi="Arial"/>
          <w:sz w:val="17"/>
          <w:szCs w:val="17"/>
          <w:color w:val="auto"/>
        </w:rPr>
      </w:pPr>
    </w:p>
    <w:p>
      <w:pPr>
        <w:ind w:left="4" w:right="180" w:hanging="4"/>
        <w:spacing w:after="0" w:line="257" w:lineRule="auto"/>
        <w:tabs>
          <w:tab w:leader="none" w:pos="31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Registration Under Advisers Act</w:t>
      </w:r>
      <w:r>
        <w:rPr>
          <w:rFonts w:ascii="Arial" w:cs="Arial" w:eastAsia="Arial" w:hAnsi="Arial"/>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0" w:name="page21"/>
    <w:bookmarkEnd w:id="20"/>
    <w:p>
      <w:pPr>
        <w:ind w:left="4" w:hanging="4"/>
        <w:spacing w:after="0" w:line="290" w:lineRule="auto"/>
        <w:tabs>
          <w:tab w:leader="none" w:pos="30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Proceedings</w:t>
      </w:r>
      <w:r>
        <w:rPr>
          <w:rFonts w:ascii="Arial" w:cs="Arial" w:eastAsia="Arial" w:hAnsi="Arial"/>
          <w:sz w:val="16"/>
          <w:szCs w:val="16"/>
          <w:color w:val="auto"/>
        </w:rPr>
        <w:t>. Except as disclosed in the Registration Statement, the General Disclosure Package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Indenture, the Securities, the Investment Management Agreement or the Administration Agreement or the performance by the Adviser or the Administrator of its obligations hereunder or thereunder.</w:t>
      </w:r>
    </w:p>
    <w:p>
      <w:pPr>
        <w:spacing w:after="0" w:line="165" w:lineRule="exact"/>
        <w:rPr>
          <w:rFonts w:ascii="Arial" w:cs="Arial" w:eastAsia="Arial" w:hAnsi="Arial"/>
          <w:sz w:val="16"/>
          <w:szCs w:val="16"/>
          <w:color w:val="auto"/>
        </w:rPr>
      </w:pPr>
    </w:p>
    <w:p>
      <w:pPr>
        <w:ind w:left="4" w:right="40" w:hanging="4"/>
        <w:spacing w:after="0" w:line="271" w:lineRule="auto"/>
        <w:tabs>
          <w:tab w:leader="none" w:pos="259"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Absence of Violations and Defaults</w:t>
      </w:r>
      <w:r>
        <w:rPr>
          <w:rFonts w:ascii="Arial" w:cs="Arial" w:eastAsia="Arial" w:hAnsi="Arial"/>
          <w:sz w:val="17"/>
          <w:szCs w:val="17"/>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178" w:lineRule="exact"/>
        <w:rPr>
          <w:rFonts w:ascii="Arial" w:cs="Arial" w:eastAsia="Arial" w:hAnsi="Arial"/>
          <w:sz w:val="17"/>
          <w:szCs w:val="17"/>
          <w:color w:val="auto"/>
        </w:rPr>
      </w:pPr>
    </w:p>
    <w:p>
      <w:pPr>
        <w:ind w:left="4" w:hanging="4"/>
        <w:spacing w:after="0" w:line="287" w:lineRule="auto"/>
        <w:tabs>
          <w:tab w:leader="none" w:pos="30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delivery and performance of this Agreement, the performance of the Investment Management Agreement and the Administration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1" w:name="page22"/>
    <w:bookmarkEnd w:id="21"/>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184" w:lineRule="exact"/>
        <w:rPr>
          <w:sz w:val="20"/>
          <w:szCs w:val="20"/>
          <w:color w:val="auto"/>
        </w:rPr>
      </w:pPr>
    </w:p>
    <w:p>
      <w:pPr>
        <w:ind w:left="364" w:hanging="364"/>
        <w:spacing w:after="0"/>
        <w:tabs>
          <w:tab w:leader="none" w:pos="36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Authorization of this Agreement</w:t>
      </w:r>
      <w:r>
        <w:rPr>
          <w:rFonts w:ascii="Arial" w:cs="Arial" w:eastAsia="Arial" w:hAnsi="Arial"/>
          <w:sz w:val="16"/>
          <w:szCs w:val="16"/>
          <w:color w:val="auto"/>
        </w:rPr>
        <w:t>. This Agreement has been duly authorized, executed and delivered by each of the Adviser and the Administrator.</w:t>
      </w:r>
    </w:p>
    <w:p>
      <w:pPr>
        <w:spacing w:after="0" w:line="248" w:lineRule="exact"/>
        <w:rPr>
          <w:rFonts w:ascii="Arial" w:cs="Arial" w:eastAsia="Arial" w:hAnsi="Arial"/>
          <w:sz w:val="16"/>
          <w:szCs w:val="16"/>
          <w:color w:val="auto"/>
        </w:rPr>
      </w:pPr>
    </w:p>
    <w:p>
      <w:pPr>
        <w:ind w:left="4" w:right="40" w:hanging="4"/>
        <w:spacing w:after="0" w:line="287" w:lineRule="auto"/>
        <w:tabs>
          <w:tab w:leader="none" w:pos="40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Investment Management Agreement and Administration Agreement</w:t>
      </w:r>
      <w:r>
        <w:rPr>
          <w:rFonts w:ascii="Arial" w:cs="Arial" w:eastAsia="Arial" w:hAnsi="Arial"/>
          <w:sz w:val="16"/>
          <w:szCs w:val="16"/>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bankruptcy, insolvency, reorganization, moratorium or other similar laws now or thereafter in effect relating to creditors’ rights generally and</w:t>
      </w:r>
    </w:p>
    <w:p>
      <w:pPr>
        <w:spacing w:after="0" w:line="20" w:lineRule="exact"/>
        <w:rPr>
          <w:rFonts w:ascii="Arial" w:cs="Arial" w:eastAsia="Arial" w:hAnsi="Arial"/>
          <w:sz w:val="17"/>
          <w:szCs w:val="17"/>
          <w:color w:val="auto"/>
        </w:rPr>
      </w:pPr>
    </w:p>
    <w:p>
      <w:pPr>
        <w:ind w:left="264" w:hanging="264"/>
        <w:spacing w:after="0"/>
        <w:tabs>
          <w:tab w:leader="none" w:pos="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principles of equity and the discretion of the court before which any proceeding therefor may be brought.</w:t>
      </w:r>
    </w:p>
    <w:p>
      <w:pPr>
        <w:spacing w:after="0" w:line="210" w:lineRule="exact"/>
        <w:rPr>
          <w:rFonts w:ascii="Arial" w:cs="Arial" w:eastAsia="Arial" w:hAnsi="Arial"/>
          <w:sz w:val="18"/>
          <w:szCs w:val="18"/>
          <w:color w:val="auto"/>
        </w:rPr>
      </w:pPr>
    </w:p>
    <w:p>
      <w:pPr>
        <w:ind w:left="4" w:hanging="4"/>
        <w:spacing w:after="0" w:line="270" w:lineRule="auto"/>
        <w:tabs>
          <w:tab w:leader="none" w:pos="30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Indenture, the DTC Agreement, the General Disclosure Package, the Investment Management Agreement, the Administration Agreement or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Trust Indenture Act,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180" w:lineRule="exact"/>
        <w:rPr>
          <w:rFonts w:ascii="Arial" w:cs="Arial" w:eastAsia="Arial" w:hAnsi="Arial"/>
          <w:sz w:val="17"/>
          <w:szCs w:val="17"/>
          <w:color w:val="auto"/>
        </w:rPr>
      </w:pPr>
    </w:p>
    <w:p>
      <w:pPr>
        <w:ind w:left="4" w:right="280" w:hanging="4"/>
        <w:spacing w:after="0" w:line="311" w:lineRule="auto"/>
        <w:tabs>
          <w:tab w:leader="none" w:pos="25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Descriptions of Adviser and Administrator</w:t>
      </w:r>
      <w:r>
        <w:rPr>
          <w:rFonts w:ascii="Arial" w:cs="Arial" w:eastAsia="Arial" w:hAnsi="Arial"/>
          <w:sz w:val="16"/>
          <w:szCs w:val="16"/>
          <w:color w:val="auto"/>
        </w:rPr>
        <w:t>. The descriptions of the Adviser and the Administrator contained in the Registration Statement, the General Disclosure Package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48" w:lineRule="exact"/>
        <w:rPr>
          <w:rFonts w:ascii="Arial" w:cs="Arial" w:eastAsia="Arial" w:hAnsi="Arial"/>
          <w:sz w:val="16"/>
          <w:szCs w:val="16"/>
          <w:color w:val="auto"/>
        </w:rPr>
      </w:pPr>
    </w:p>
    <w:p>
      <w:pPr>
        <w:ind w:left="4" w:hanging="4"/>
        <w:spacing w:after="0" w:line="275" w:lineRule="auto"/>
        <w:tabs>
          <w:tab w:leader="none" w:pos="30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2" w:name="page23"/>
    <w:bookmarkEnd w:id="22"/>
    <w:p>
      <w:pPr>
        <w:ind w:left="4"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161" w:lineRule="exact"/>
        <w:rPr>
          <w:sz w:val="20"/>
          <w:szCs w:val="20"/>
          <w:color w:val="auto"/>
        </w:rPr>
      </w:pPr>
    </w:p>
    <w:p>
      <w:pPr>
        <w:ind w:left="4" w:hanging="4"/>
        <w:spacing w:after="0" w:line="286" w:lineRule="auto"/>
        <w:tabs>
          <w:tab w:leader="none" w:pos="359"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Stabilization and Manipulation</w:t>
      </w:r>
      <w:r>
        <w:rPr>
          <w:rFonts w:ascii="Arial" w:cs="Arial" w:eastAsia="Arial" w:hAnsi="Arial"/>
          <w:sz w:val="17"/>
          <w:szCs w:val="17"/>
          <w:color w:val="auto"/>
        </w:rPr>
        <w:t>. Neither the Adviser nor the Administrator has taken, nor will take, directly or indirectly, without giving effect to any activities by the Underwriters, any action designed, or that would reasonably be expected, to cause or result in, or which constitutes, the stabilization or manipulation of the price of the Securities, other than activity permitted pursuant to Rule 10b-18 under the 1934 Act.</w:t>
      </w:r>
    </w:p>
    <w:p>
      <w:pPr>
        <w:spacing w:after="0" w:line="165" w:lineRule="exact"/>
        <w:rPr>
          <w:rFonts w:ascii="Arial" w:cs="Arial" w:eastAsia="Arial" w:hAnsi="Arial"/>
          <w:sz w:val="17"/>
          <w:szCs w:val="17"/>
          <w:color w:val="auto"/>
        </w:rPr>
      </w:pPr>
    </w:p>
    <w:p>
      <w:pPr>
        <w:ind w:left="4" w:right="100" w:hanging="4"/>
        <w:spacing w:after="0" w:line="289" w:lineRule="auto"/>
        <w:tabs>
          <w:tab w:leader="none" w:pos="40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166" w:lineRule="exact"/>
        <w:rPr>
          <w:rFonts w:ascii="Arial" w:cs="Arial" w:eastAsia="Arial" w:hAnsi="Arial"/>
          <w:sz w:val="16"/>
          <w:szCs w:val="16"/>
          <w:color w:val="auto"/>
        </w:rPr>
      </w:pPr>
    </w:p>
    <w:p>
      <w:pPr>
        <w:jc w:val="both"/>
        <w:ind w:left="4" w:right="80" w:hanging="4"/>
        <w:spacing w:after="0" w:line="275" w:lineRule="auto"/>
        <w:tabs>
          <w:tab w:leader="none" w:pos="399"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176" w:lineRule="exact"/>
        <w:rPr>
          <w:rFonts w:ascii="Arial" w:cs="Arial" w:eastAsia="Arial" w:hAnsi="Arial"/>
          <w:sz w:val="17"/>
          <w:szCs w:val="17"/>
          <w:color w:val="auto"/>
        </w:rPr>
      </w:pPr>
    </w:p>
    <w:p>
      <w:pPr>
        <w:ind w:left="4" w:hanging="4"/>
        <w:spacing w:after="0" w:line="273" w:lineRule="auto"/>
        <w:tabs>
          <w:tab w:leader="none" w:pos="349"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Crimea, Cuba, Iran, North Korea, and Syria).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3" w:name="page24"/>
    <w:bookmarkEnd w:id="23"/>
    <w:p>
      <w:pPr>
        <w:ind w:left="4" w:right="20" w:hanging="4"/>
        <w:spacing w:after="0" w:line="257" w:lineRule="auto"/>
        <w:tabs>
          <w:tab w:leader="none" w:pos="39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Key Employees</w:t>
      </w:r>
      <w:r>
        <w:rPr>
          <w:rFonts w:ascii="Arial" w:cs="Arial" w:eastAsia="Arial" w:hAnsi="Arial"/>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187" w:lineRule="exact"/>
        <w:rPr>
          <w:rFonts w:ascii="Arial" w:cs="Arial" w:eastAsia="Arial" w:hAnsi="Arial"/>
          <w:sz w:val="18"/>
          <w:szCs w:val="18"/>
          <w:color w:val="auto"/>
        </w:rPr>
      </w:pPr>
    </w:p>
    <w:p>
      <w:pPr>
        <w:jc w:val="both"/>
        <w:ind w:left="4" w:hanging="4"/>
        <w:spacing w:after="0" w:line="279" w:lineRule="auto"/>
        <w:tabs>
          <w:tab w:leader="none" w:pos="449"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No Labor Disputes</w:t>
      </w:r>
      <w:r>
        <w:rPr>
          <w:rFonts w:ascii="Arial" w:cs="Arial" w:eastAsia="Arial" w:hAnsi="Arial"/>
          <w:sz w:val="17"/>
          <w:szCs w:val="17"/>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171" w:lineRule="exact"/>
        <w:rPr>
          <w:rFonts w:ascii="Arial" w:cs="Arial" w:eastAsia="Arial" w:hAnsi="Arial"/>
          <w:sz w:val="17"/>
          <w:szCs w:val="17"/>
          <w:color w:val="auto"/>
        </w:rPr>
      </w:pPr>
    </w:p>
    <w:p>
      <w:pPr>
        <w:ind w:left="504" w:hanging="504"/>
        <w:spacing w:after="0"/>
        <w:tabs>
          <w:tab w:leader="none" w:pos="504"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Accounting Controls</w:t>
      </w:r>
      <w:r>
        <w:rPr>
          <w:rFonts w:ascii="Arial" w:cs="Arial" w:eastAsia="Arial" w:hAnsi="Arial"/>
          <w:sz w:val="17"/>
          <w:szCs w:val="17"/>
          <w:color w:val="auto"/>
        </w:rPr>
        <w:t>. The Adviser and the Administrator maintain systems of internal accounting controls sufficient to provide reasonable</w:t>
      </w:r>
    </w:p>
    <w:p>
      <w:pPr>
        <w:spacing w:after="0" w:line="34" w:lineRule="exact"/>
        <w:rPr>
          <w:rFonts w:ascii="Arial" w:cs="Arial" w:eastAsia="Arial" w:hAnsi="Arial"/>
          <w:sz w:val="17"/>
          <w:szCs w:val="17"/>
          <w:color w:val="auto"/>
        </w:rPr>
      </w:pPr>
    </w:p>
    <w:p>
      <w:pPr>
        <w:ind w:left="4" w:right="20"/>
        <w:spacing w:after="0" w:line="269" w:lineRule="auto"/>
        <w:rPr>
          <w:rFonts w:ascii="Arial" w:cs="Arial" w:eastAsia="Arial" w:hAnsi="Arial"/>
          <w:sz w:val="17"/>
          <w:szCs w:val="17"/>
          <w:color w:val="auto"/>
        </w:rPr>
      </w:pPr>
      <w:r>
        <w:rPr>
          <w:rFonts w:ascii="Arial" w:cs="Arial" w:eastAsia="Arial" w:hAnsi="Arial"/>
          <w:sz w:val="17"/>
          <w:szCs w:val="17"/>
          <w:color w:val="auto"/>
        </w:rPr>
        <w:t>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180" w:lineRule="exact"/>
        <w:rPr>
          <w:rFonts w:ascii="Arial" w:cs="Arial" w:eastAsia="Arial" w:hAnsi="Arial"/>
          <w:sz w:val="17"/>
          <w:szCs w:val="17"/>
          <w:color w:val="auto"/>
        </w:rPr>
      </w:pPr>
    </w:p>
    <w:p>
      <w:pPr>
        <w:ind w:left="4" w:right="400" w:hanging="4"/>
        <w:spacing w:after="0" w:line="263" w:lineRule="auto"/>
        <w:tabs>
          <w:tab w:leader="none" w:pos="39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Financial Resources</w:t>
      </w:r>
      <w:r>
        <w:rPr>
          <w:rFonts w:ascii="Arial" w:cs="Arial" w:eastAsia="Arial" w:hAnsi="Arial"/>
          <w:sz w:val="18"/>
          <w:szCs w:val="18"/>
          <w:color w:val="auto"/>
        </w:rPr>
        <w:t>. Each of the Adviser and the Administrator has the financial resources available to it necessary for the performance of its services and obligations as contemplated by the Registration Statement, the General Disclosure Package, the Prospectus and the Investment Management Agreement.</w:t>
      </w:r>
    </w:p>
    <w:p>
      <w:pPr>
        <w:spacing w:after="0" w:line="184" w:lineRule="exact"/>
        <w:rPr>
          <w:sz w:val="20"/>
          <w:szCs w:val="20"/>
          <w:color w:val="auto"/>
        </w:rPr>
      </w:pPr>
    </w:p>
    <w:p>
      <w:pPr>
        <w:jc w:val="both"/>
        <w:ind w:left="4" w:right="140" w:hanging="4"/>
        <w:spacing w:after="0" w:line="263" w:lineRule="auto"/>
        <w:tabs>
          <w:tab w:leader="none" w:pos="24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any of the Subsidiaries, the Adviser or the Administrator delivered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or to counsel for the Underwriters shall be deemed a representation and warranty by the Company, the Adviser or the Administrator, as applicable, to each Underwriter as to the matters covered thereby.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4" w:name="page25"/>
    <w:bookmarkEnd w:id="2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225" w:lineRule="exact"/>
        <w:rPr>
          <w:sz w:val="20"/>
          <w:szCs w:val="20"/>
          <w:color w:val="auto"/>
        </w:rPr>
      </w:pPr>
    </w:p>
    <w:p>
      <w:pPr>
        <w:ind w:left="4" w:hanging="4"/>
        <w:spacing w:after="0" w:line="257" w:lineRule="auto"/>
        <w:tabs>
          <w:tab w:leader="none" w:pos="248"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On the basis of the representations and warranties herein contained and subject to the terms and conditions herein set forth,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to sell to each Underwriter, severally and not jointly, and each Underwriter, severally and not jointly, agrees to purchase from the Company, at the price (the “Purchase Price”) set forth in Schedule A, the aggregate principal amount of Securities set forth in Schedule A opposite the name of such Underwriter, plus any additional aggregate principal amount of Securities which such Underwriter may become obligated to purchase pursuant to the provisions of Section 10 hereof.</w:t>
      </w:r>
    </w:p>
    <w:p>
      <w:pPr>
        <w:spacing w:after="0" w:line="187" w:lineRule="exact"/>
        <w:rPr>
          <w:rFonts w:ascii="Arial" w:cs="Arial" w:eastAsia="Arial" w:hAnsi="Arial"/>
          <w:sz w:val="18"/>
          <w:szCs w:val="18"/>
          <w:color w:val="auto"/>
        </w:rPr>
      </w:pPr>
    </w:p>
    <w:p>
      <w:pPr>
        <w:ind w:left="4" w:right="260" w:hanging="4"/>
        <w:spacing w:after="0" w:line="275" w:lineRule="auto"/>
        <w:tabs>
          <w:tab w:leader="none" w:pos="259"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Payment of the price for the Securities and delivery of the Securities, shall be made at the offices of Proskauer Rose LLP, 1001</w:t>
      </w:r>
      <w:r>
        <w:rPr>
          <w:rFonts w:ascii="Arial" w:cs="Arial" w:eastAsia="Arial" w:hAnsi="Arial"/>
          <w:sz w:val="17"/>
          <w:szCs w:val="17"/>
          <w:i w:val="1"/>
          <w:iCs w:val="1"/>
          <w:color w:val="auto"/>
        </w:rPr>
        <w:t xml:space="preserve"> </w:t>
      </w:r>
      <w:r>
        <w:rPr>
          <w:rFonts w:ascii="Arial" w:cs="Arial" w:eastAsia="Arial" w:hAnsi="Arial"/>
          <w:sz w:val="17"/>
          <w:szCs w:val="17"/>
          <w:color w:val="auto"/>
        </w:rPr>
        <w:t>Pennsylvania Ave., NW, Suite 600 South, Washington, D.C. 20004, or at such other place as shall be agreed upon by the Representatives and the Company, at 10:00 A.M. (New York City time) on the fifth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76"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Payment of the price of the Securities shall be made to the Company by wire transfer of immediately available funds to a bank account designated by the Company against delivery to a Representative through the facilities of the Depositary Trust Company for the respective accounts of the Underwriters of the Securities to be purchased by them. It is understood that each Underwriter has authorized the Representatives, for its account, to accept delivery of, receipt for, and make payment of the purchase price for, the Securities that it has agreed to purchase. The Representatives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178" w:lineRule="exact"/>
        <w:rPr>
          <w:sz w:val="20"/>
          <w:szCs w:val="20"/>
          <w:color w:val="auto"/>
        </w:rPr>
      </w:pPr>
    </w:p>
    <w:p>
      <w:pPr>
        <w:ind w:left="4" w:right="180" w:hanging="4"/>
        <w:spacing w:after="0" w:line="259" w:lineRule="auto"/>
        <w:tabs>
          <w:tab w:leader="none" w:pos="24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Securities shall be transferred electronically at the Closing Time in such denominations and registered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names as the Representatives may request in writing at least one full business day before the Closing Time. The Securities will be made available for examining and packaging by the Representatives in the City of New York not later than 10:00 A.M. (New York City time) on the business day prior to the Closing Time.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sz w:val="20"/>
          <w:szCs w:val="20"/>
          <w:color w:val="auto"/>
        </w:rPr>
      </w:pPr>
    </w:p>
    <w:p>
      <w:pPr>
        <w:ind w:left="4" w:right="200" w:hanging="4"/>
        <w:spacing w:after="0" w:line="290" w:lineRule="auto"/>
        <w:tabs>
          <w:tab w:leader="none" w:pos="248"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Rule 430B, Rule 497 and Rule 424(b), and will notify each Representative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5" w:name="page26"/>
    <w:bookmarkEnd w:id="25"/>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70" w:lineRule="exact"/>
        <w:rPr>
          <w:sz w:val="20"/>
          <w:szCs w:val="20"/>
          <w:color w:val="auto"/>
        </w:rPr>
      </w:pPr>
    </w:p>
    <w:p>
      <w:pPr>
        <w:ind w:left="4" w:hanging="4"/>
        <w:spacing w:after="0" w:line="285" w:lineRule="auto"/>
        <w:tabs>
          <w:tab w:leader="none" w:pos="259"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use its commercially reasonable efforts to comply with the 1933 Act and the 1933</w:t>
      </w:r>
      <w:r>
        <w:rPr>
          <w:rFonts w:ascii="Arial" w:cs="Arial" w:eastAsia="Arial" w:hAnsi="Arial"/>
          <w:sz w:val="16"/>
          <w:szCs w:val="16"/>
          <w:i w:val="1"/>
          <w:iCs w:val="1"/>
          <w:color w:val="auto"/>
        </w:rPr>
        <w:t xml:space="preserve"> </w:t>
      </w:r>
      <w:r>
        <w:rPr>
          <w:rFonts w:ascii="Arial" w:cs="Arial" w:eastAsia="Arial" w:hAnsi="Arial"/>
          <w:sz w:val="16"/>
          <w:szCs w:val="16"/>
          <w:color w:val="auto"/>
        </w:rPr>
        <w:t>Act Regulations so as to permit the completion of the distribution of the Securities as contemplated in this Agreement and in the Registration Statement, the General Disclosure Package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shall give the Representatives notice of its intention to make any such filing from the Applicable Time to the Closing Time and shall furnish the Representatives with copies of any such documents a reasonable amount of time prior to such proposed filing or use, as the case may be.</w:t>
      </w:r>
    </w:p>
    <w:p>
      <w:pPr>
        <w:spacing w:after="0" w:line="63" w:lineRule="exact"/>
        <w:rPr>
          <w:rFonts w:ascii="Arial" w:cs="Arial" w:eastAsia="Arial" w:hAnsi="Arial"/>
          <w:sz w:val="16"/>
          <w:szCs w:val="16"/>
          <w:color w:val="auto"/>
        </w:rPr>
      </w:pPr>
    </w:p>
    <w:p>
      <w:pPr>
        <w:ind w:left="4" w:right="20" w:hanging="4"/>
        <w:spacing w:after="0" w:line="293" w:lineRule="auto"/>
        <w:tabs>
          <w:tab w:leader="none" w:pos="24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Delivery of Commission Filings</w:t>
      </w:r>
      <w:r>
        <w:rPr>
          <w:rFonts w:ascii="Arial" w:cs="Arial" w:eastAsia="Arial" w:hAnsi="Arial"/>
          <w:sz w:val="16"/>
          <w:szCs w:val="16"/>
          <w:color w:val="auto"/>
        </w:rPr>
        <w:t>. The Company has furnished or, upon written request of the Representatives, shall deliver to the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Underwriters, without charge, conformed copies of the Registration Statement, as originally filed, and of each amendment thereto (including exhibits filed therewith) and conformed copies of all consents and certificates of experts, and will also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6" w:name="page27"/>
    <w:bookmarkEnd w:id="26"/>
    <w:p>
      <w:pPr>
        <w:jc w:val="both"/>
        <w:ind w:left="4" w:right="180" w:hanging="4"/>
        <w:spacing w:after="0" w:line="287"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Prospectuses</w:t>
      </w:r>
      <w:r>
        <w:rPr>
          <w:rFonts w:ascii="Arial" w:cs="Arial" w:eastAsia="Arial" w:hAnsi="Arial"/>
          <w:sz w:val="16"/>
          <w:szCs w:val="16"/>
          <w:color w:val="auto"/>
        </w:rPr>
        <w:t>. The Company has delivered to each Underwriter, without charge, as many copies of each preliminary prospectus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reasonably requested, and the Company hereby consents to the use of such copies for purposes permitted by the 1933 Act. The Company will furnish to each Underwriter, without charge, during the period when a prospectus relating to the Securities is required to be delivered under the</w:t>
      </w:r>
    </w:p>
    <w:p>
      <w:pPr>
        <w:spacing w:after="0" w:line="2" w:lineRule="exact"/>
        <w:rPr>
          <w:rFonts w:ascii="Arial" w:cs="Arial" w:eastAsia="Arial" w:hAnsi="Arial"/>
          <w:sz w:val="16"/>
          <w:szCs w:val="16"/>
          <w:color w:val="auto"/>
        </w:rPr>
      </w:pPr>
    </w:p>
    <w:p>
      <w:pPr>
        <w:ind w:left="4" w:right="60"/>
        <w:spacing w:after="0" w:line="255" w:lineRule="auto"/>
        <w:rPr>
          <w:rFonts w:ascii="Arial" w:cs="Arial" w:eastAsia="Arial" w:hAnsi="Arial"/>
          <w:sz w:val="16"/>
          <w:szCs w:val="16"/>
          <w:color w:val="auto"/>
        </w:rPr>
      </w:pPr>
      <w:r>
        <w:rPr>
          <w:rFonts w:ascii="Arial" w:cs="Arial" w:eastAsia="Arial" w:hAnsi="Arial"/>
          <w:sz w:val="18"/>
          <w:szCs w:val="18"/>
          <w:color w:val="auto"/>
        </w:rPr>
        <w:t>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81" w:lineRule="exact"/>
        <w:rPr>
          <w:rFonts w:ascii="Arial" w:cs="Arial" w:eastAsia="Arial" w:hAnsi="Arial"/>
          <w:sz w:val="16"/>
          <w:szCs w:val="16"/>
          <w:color w:val="auto"/>
        </w:rPr>
      </w:pPr>
    </w:p>
    <w:p>
      <w:pPr>
        <w:ind w:left="4" w:hanging="4"/>
        <w:spacing w:after="0" w:line="255" w:lineRule="auto"/>
        <w:tabs>
          <w:tab w:leader="none" w:pos="24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use its commercially reasonable efforts, in cooperation with the Underwriters, to qualify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offering and sale under the applicable securities laws of such states and other jurisdictions (domestic or foreign) as the Representatives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84" w:lineRule="exact"/>
        <w:rPr>
          <w:rFonts w:ascii="Arial" w:cs="Arial" w:eastAsia="Arial" w:hAnsi="Arial"/>
          <w:sz w:val="18"/>
          <w:szCs w:val="18"/>
          <w:color w:val="auto"/>
        </w:rPr>
      </w:pPr>
    </w:p>
    <w:p>
      <w:pPr>
        <w:ind w:left="4" w:right="100" w:hanging="4"/>
        <w:spacing w:after="0" w:line="279" w:lineRule="auto"/>
        <w:tabs>
          <w:tab w:leader="none" w:pos="229"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The Company will make generally available to its securityholders as soon as practicable an earnings statement that satisfies the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63" w:lineRule="exact"/>
        <w:rPr>
          <w:rFonts w:ascii="Arial" w:cs="Arial" w:eastAsia="Arial" w:hAnsi="Arial"/>
          <w:sz w:val="17"/>
          <w:szCs w:val="17"/>
          <w:color w:val="auto"/>
        </w:rPr>
      </w:pPr>
    </w:p>
    <w:p>
      <w:pPr>
        <w:ind w:left="4" w:right="560" w:hanging="4"/>
        <w:spacing w:after="0" w:line="277"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will cooperate with the Representatives and use its commercially reasonable efforts to permit the offered Securities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for clearance and settlement through the facilities of DTC.</w:t>
      </w:r>
    </w:p>
    <w:p>
      <w:pPr>
        <w:spacing w:after="0" w:line="62" w:lineRule="exact"/>
        <w:rPr>
          <w:rFonts w:ascii="Arial" w:cs="Arial" w:eastAsia="Arial" w:hAnsi="Arial"/>
          <w:sz w:val="18"/>
          <w:szCs w:val="18"/>
          <w:color w:val="auto"/>
        </w:rPr>
      </w:pPr>
    </w:p>
    <w:p>
      <w:pPr>
        <w:ind w:left="4" w:right="160" w:hanging="4"/>
        <w:spacing w:after="0" w:line="291"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Use of Proceeds; OFAC</w:t>
      </w:r>
      <w:r>
        <w:rPr>
          <w:rFonts w:ascii="Arial" w:cs="Arial" w:eastAsia="Arial" w:hAnsi="Arial"/>
          <w:sz w:val="16"/>
          <w:szCs w:val="16"/>
          <w:color w:val="auto"/>
        </w:rPr>
        <w:t>. The Company will use the net proceeds received by it from the sale of the Securities in the manner specified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General Disclosure Package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7" w:name="page28"/>
    <w:bookmarkEnd w:id="27"/>
    <w:p>
      <w:pPr>
        <w:ind w:left="4" w:right="60" w:hanging="4"/>
        <w:spacing w:after="0" w:line="272" w:lineRule="auto"/>
        <w:tabs>
          <w:tab w:leader="none" w:pos="219"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Clear Market</w:t>
      </w:r>
      <w:r>
        <w:rPr>
          <w:rFonts w:ascii="Arial" w:cs="Arial" w:eastAsia="Arial" w:hAnsi="Arial"/>
          <w:sz w:val="17"/>
          <w:szCs w:val="17"/>
          <w:color w:val="auto"/>
        </w:rPr>
        <w:t>. Through the Closing Time, the Company will not, without the prior written consent of the Representatives, (i) directly or indirectly,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offer, pledge, sell, contract to sell, sell any option or contract to purchase, purchase any option or contract to sell, grant any option, right or warrant to purchase or otherwise transfer or dispose of any debt securities issued or guaranteed by the Company or any securities convertible into or exercisable or exchangeable for debt securities issued or guaranteed by the Company or file any registration statement under the 1933 Act with respect to any of the foregoing or (ii) enter into any swap or any other agreement or any transaction that transfers, in whole or in part, directly or indirectly, the economic consequence of ownership of debt securities issued or guaranteed by the Company or any such other securities, without the prior written consent of the Representatives on behalf of the Underwriters, other than the Securities to be sold hereunder.</w:t>
      </w:r>
    </w:p>
    <w:p>
      <w:pPr>
        <w:spacing w:after="0" w:line="69" w:lineRule="exact"/>
        <w:rPr>
          <w:rFonts w:ascii="Arial" w:cs="Arial" w:eastAsia="Arial" w:hAnsi="Arial"/>
          <w:sz w:val="17"/>
          <w:szCs w:val="17"/>
          <w:color w:val="auto"/>
        </w:rPr>
      </w:pPr>
    </w:p>
    <w:p>
      <w:pPr>
        <w:jc w:val="both"/>
        <w:ind w:left="4" w:hanging="4"/>
        <w:spacing w:after="0" w:line="263" w:lineRule="auto"/>
        <w:tabs>
          <w:tab w:leader="none" w:pos="219"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required to be delivered under the 1933 Act,</w:t>
      </w:r>
      <w:r>
        <w:rPr>
          <w:rFonts w:ascii="Arial" w:cs="Arial" w:eastAsia="Arial" w:hAnsi="Arial"/>
          <w:sz w:val="18"/>
          <w:szCs w:val="18"/>
          <w:i w:val="1"/>
          <w:iCs w:val="1"/>
          <w:color w:val="auto"/>
        </w:rPr>
        <w:t xml:space="preserve"> </w:t>
      </w:r>
      <w:r>
        <w:rPr>
          <w:rFonts w:ascii="Arial" w:cs="Arial" w:eastAsia="Arial" w:hAnsi="Arial"/>
          <w:sz w:val="18"/>
          <w:szCs w:val="18"/>
          <w:color w:val="auto"/>
        </w:rPr>
        <w:t>will file all documents required to be filed with the Commission pursuant to the 1934 Act within the time periods required by the 1934 Act and 1934 Act Regulations.</w:t>
      </w:r>
    </w:p>
    <w:p>
      <w:pPr>
        <w:spacing w:after="0" w:line="75" w:lineRule="exact"/>
        <w:rPr>
          <w:rFonts w:ascii="Arial" w:cs="Arial" w:eastAsia="Arial" w:hAnsi="Arial"/>
          <w:sz w:val="18"/>
          <w:szCs w:val="18"/>
          <w:color w:val="auto"/>
        </w:rPr>
      </w:pPr>
    </w:p>
    <w:p>
      <w:pPr>
        <w:ind w:left="4" w:right="60" w:hanging="4"/>
        <w:spacing w:after="0" w:line="259" w:lineRule="auto"/>
        <w:tabs>
          <w:tab w:leader="none" w:pos="259"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Business Development Company Status</w:t>
      </w:r>
      <w:r>
        <w:rPr>
          <w:rFonts w:ascii="Arial" w:cs="Arial" w:eastAsia="Arial" w:hAnsi="Arial"/>
          <w:sz w:val="18"/>
          <w:szCs w:val="18"/>
          <w:color w:val="auto"/>
        </w:rPr>
        <w:t>. The Company, during the period of at least two years from the Closing Time, will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78" w:lineRule="exact"/>
        <w:rPr>
          <w:rFonts w:ascii="Arial" w:cs="Arial" w:eastAsia="Arial" w:hAnsi="Arial"/>
          <w:sz w:val="18"/>
          <w:szCs w:val="18"/>
          <w:color w:val="auto"/>
        </w:rPr>
      </w:pPr>
    </w:p>
    <w:p>
      <w:pPr>
        <w:ind w:left="4" w:right="160" w:hanging="4"/>
        <w:spacing w:after="0" w:line="342" w:lineRule="auto"/>
        <w:tabs>
          <w:tab w:leader="none" w:pos="21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Regulated Investment Company Status</w:t>
      </w:r>
      <w:r>
        <w:rPr>
          <w:rFonts w:ascii="Arial" w:cs="Arial" w:eastAsia="Arial" w:hAnsi="Arial"/>
          <w:sz w:val="16"/>
          <w:szCs w:val="16"/>
          <w:color w:val="auto"/>
        </w:rPr>
        <w:t>. The Company will use its commercially reasonable efforts to maintain its qualification as a regulated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company under Subchapter M of the Code for each full fiscal year during which it is a business development company under the 1940 Act.</w:t>
      </w:r>
    </w:p>
    <w:p>
      <w:pPr>
        <w:spacing w:after="0" w:line="15" w:lineRule="exact"/>
        <w:rPr>
          <w:rFonts w:ascii="Arial" w:cs="Arial" w:eastAsia="Arial" w:hAnsi="Arial"/>
          <w:sz w:val="16"/>
          <w:szCs w:val="16"/>
          <w:color w:val="auto"/>
        </w:rPr>
      </w:pPr>
    </w:p>
    <w:p>
      <w:pPr>
        <w:ind w:left="4" w:right="360" w:hanging="4"/>
        <w:spacing w:after="0" w:line="259" w:lineRule="auto"/>
        <w:tabs>
          <w:tab w:leader="none" w:pos="309"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to (i) test procedures and conduct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78" w:lineRule="exact"/>
        <w:rPr>
          <w:rFonts w:ascii="Arial" w:cs="Arial" w:eastAsia="Arial" w:hAnsi="Arial"/>
          <w:sz w:val="18"/>
          <w:szCs w:val="18"/>
          <w:color w:val="auto"/>
        </w:rPr>
      </w:pPr>
    </w:p>
    <w:p>
      <w:pPr>
        <w:jc w:val="both"/>
        <w:ind w:left="4" w:right="40" w:hanging="4"/>
        <w:spacing w:after="0" w:line="296" w:lineRule="auto"/>
        <w:tabs>
          <w:tab w:leader="none" w:pos="25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Accounting Controls</w:t>
      </w:r>
      <w:r>
        <w:rPr>
          <w:rFonts w:ascii="Arial" w:cs="Arial" w:eastAsia="Arial" w:hAnsi="Arial"/>
          <w:sz w:val="16"/>
          <w:szCs w:val="16"/>
          <w:color w:val="auto"/>
        </w:rPr>
        <w:t>. The Company will use commercially reasonable efforts to establish and maintain a system of internal accounting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8" w:name="page29"/>
    <w:bookmarkEnd w:id="28"/>
    <w:p>
      <w:pPr>
        <w:ind w:left="4"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68" w:lineRule="exact"/>
        <w:rPr>
          <w:sz w:val="20"/>
          <w:szCs w:val="20"/>
          <w:color w:val="auto"/>
        </w:rPr>
      </w:pPr>
    </w:p>
    <w:p>
      <w:pPr>
        <w:ind w:left="4" w:right="40" w:hanging="4"/>
        <w:spacing w:after="0" w:line="257" w:lineRule="auto"/>
        <w:tabs>
          <w:tab w:leader="none" w:pos="25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will use commercially reasonable efforts to establish and employ disclosure controls and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79" w:lineRule="exact"/>
        <w:rPr>
          <w:rFonts w:ascii="Arial" w:cs="Arial" w:eastAsia="Arial" w:hAnsi="Arial"/>
          <w:sz w:val="18"/>
          <w:szCs w:val="18"/>
          <w:color w:val="auto"/>
        </w:rPr>
      </w:pPr>
    </w:p>
    <w:p>
      <w:pPr>
        <w:ind w:left="4" w:hanging="4"/>
        <w:spacing w:after="0" w:line="275" w:lineRule="auto"/>
        <w:tabs>
          <w:tab w:leader="none" w:pos="259"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Testing-the-Waters Materials</w:t>
      </w:r>
      <w:r>
        <w:rPr>
          <w:rFonts w:ascii="Arial" w:cs="Arial" w:eastAsia="Arial" w:hAnsi="Arial"/>
          <w:sz w:val="17"/>
          <w:szCs w:val="17"/>
          <w:color w:val="auto"/>
        </w:rPr>
        <w:t>. If at any time following the distribution of any Written Testing-the-Waters Communication there has occurred or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68" w:lineRule="exact"/>
        <w:rPr>
          <w:rFonts w:ascii="Arial" w:cs="Arial" w:eastAsia="Arial" w:hAnsi="Arial"/>
          <w:sz w:val="17"/>
          <w:szCs w:val="17"/>
          <w:color w:val="auto"/>
        </w:rPr>
      </w:pPr>
    </w:p>
    <w:p>
      <w:pPr>
        <w:ind w:left="4" w:right="80" w:hanging="4"/>
        <w:spacing w:after="0" w:line="291" w:lineRule="auto"/>
        <w:tabs>
          <w:tab w:leader="none" w:pos="259"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w:t>
      </w:r>
      <w:r>
        <w:rPr>
          <w:rFonts w:ascii="Arial" w:cs="Arial" w:eastAsia="Arial" w:hAnsi="Arial"/>
          <w:sz w:val="16"/>
          <w:szCs w:val="16"/>
          <w:color w:val="auto"/>
        </w:rPr>
        <w:t>. The Company represents and agrees that, without the prior consent of the Representatives (i) it will not distribute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offering material other than the Registration Statement, the General Disclosure Package, the Prospectus or the information set forth on Schedule B hereto, and (ii) it has not made and will not make any offer relating to the Securities that would constitute a “free writing prospectus” as defined in Rule 405 under the 1933 Act (other than for the information set forth on Schedule B hereto),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 including</w:t>
      </w:r>
    </w:p>
    <w:p>
      <w:pPr>
        <w:spacing w:after="0" w:line="46" w:lineRule="exact"/>
        <w:rPr>
          <w:sz w:val="20"/>
          <w:szCs w:val="20"/>
          <w:color w:val="auto"/>
        </w:rPr>
      </w:pPr>
    </w:p>
    <w:p>
      <w:pPr>
        <w:jc w:val="both"/>
        <w:ind w:left="4" w:right="40" w:hanging="4"/>
        <w:spacing w:after="0" w:line="277" w:lineRule="auto"/>
        <w:tabs>
          <w:tab w:leader="none" w:pos="21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preparation, printing and filing of the Registration Statement (including financial statements and exhibits) as originally filed and each amendment thereto, (ii) the preparation, printing and delivery to the Underwriters of copies of each preliminary prospectus and the Prospectus and any amendments or supplements thereto, this Agreement, the Indenture, the DTC Agreement and such other documents as may be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9" w:name="page30"/>
    <w:bookmarkEnd w:id="29"/>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in connection with the offering, purchase, sale, issuance or delivery of the Securities,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the Adviser’s and the Administrator’s counsel, accountants and other advisors, (v) the qualification of the Securities under securities laws in accordance with the provisions of Section 3(e) hereof, (vi) the fees and expenses of the Trustee for the Securities, (vii) the costs and expenses of the Company relating to investor presentations on any “road show” undertaken in connection with the marketing of the Securities, including without limitation, reasonable and documented expenses associated with the production of road show slides and graphics, fees and expenses of any consultants engaged in connection with the road show presentations, documented travel and lodging expenses of officers of the Company and any such consultants and (viii)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second sentence of Section 1(a)(iv).</w:t>
      </w:r>
    </w:p>
    <w:p>
      <w:pPr>
        <w:spacing w:after="0" w:line="64" w:lineRule="exact"/>
        <w:rPr>
          <w:sz w:val="20"/>
          <w:szCs w:val="20"/>
          <w:color w:val="auto"/>
        </w:rPr>
      </w:pPr>
    </w:p>
    <w:p>
      <w:pPr>
        <w:ind w:left="264" w:hanging="264"/>
        <w:spacing w:after="0"/>
        <w:tabs>
          <w:tab w:leader="none" w:pos="264"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this Agreement is terminated by the Representatives in accordance with the provisions of Section 5 or Section 9(a)(i) or</w:t>
      </w:r>
    </w:p>
    <w:p>
      <w:pPr>
        <w:spacing w:after="0" w:line="46" w:lineRule="exact"/>
        <w:rPr>
          <w:rFonts w:ascii="Arial" w:cs="Arial" w:eastAsia="Arial" w:hAnsi="Arial"/>
          <w:sz w:val="16"/>
          <w:szCs w:val="16"/>
          <w:color w:val="auto"/>
        </w:rPr>
      </w:pPr>
    </w:p>
    <w:p>
      <w:pPr>
        <w:ind w:left="4" w:right="100" w:hanging="4"/>
        <w:spacing w:after="0" w:line="260" w:lineRule="auto"/>
        <w:tabs>
          <w:tab w:leader="none" w:pos="3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hereof, the Company shall reimburse the Underwriters for all of their reasonable and documented out-of-pocket expenses, including the reasonable and documented fees and disbursements of counsel for the Underwriters.</w:t>
      </w:r>
    </w:p>
    <w:p>
      <w:pPr>
        <w:spacing w:after="0" w:line="77"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obligations of the several Underwriters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49" w:lineRule="exact"/>
        <w:rPr>
          <w:sz w:val="20"/>
          <w:szCs w:val="20"/>
          <w:color w:val="auto"/>
        </w:rPr>
      </w:pPr>
    </w:p>
    <w:p>
      <w:pPr>
        <w:ind w:left="4" w:right="340" w:hanging="4"/>
        <w:spacing w:after="0" w:line="273" w:lineRule="auto"/>
        <w:tabs>
          <w:tab w:leader="none" w:pos="248"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Registration Statement</w:t>
      </w:r>
      <w:r>
        <w:rPr>
          <w:rFonts w:ascii="Arial" w:cs="Arial" w:eastAsia="Arial" w:hAnsi="Arial"/>
          <w:sz w:val="17"/>
          <w:szCs w:val="17"/>
          <w:color w:val="auto"/>
        </w:rPr>
        <w:t>. At the Closing Time, no stop order suspending the effectiveness of the Registration Statement or any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thereto has been issued under the 1933 Act, no order preventing or suspending the use of any preliminary prospectus,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69" w:lineRule="exact"/>
        <w:rPr>
          <w:rFonts w:ascii="Arial" w:cs="Arial" w:eastAsia="Arial" w:hAnsi="Arial"/>
          <w:sz w:val="17"/>
          <w:szCs w:val="17"/>
          <w:color w:val="auto"/>
        </w:rPr>
      </w:pPr>
    </w:p>
    <w:p>
      <w:pPr>
        <w:ind w:left="4" w:right="20" w:hanging="4"/>
        <w:spacing w:after="0" w:line="257"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Opinions of Counsel for the Company, the Adviser and the Administrator</w:t>
      </w:r>
      <w:r>
        <w:rPr>
          <w:rFonts w:ascii="Arial" w:cs="Arial" w:eastAsia="Arial" w:hAnsi="Arial"/>
          <w:sz w:val="18"/>
          <w:szCs w:val="18"/>
          <w:color w:val="auto"/>
        </w:rPr>
        <w:t>. At the Closing Time, the Representatives shall have received the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opinions, dated the Closing Time, of Dechert LLP, counsel for the Company, the Adviser and the Administrator, and of Venable LLP, counsel for the Company, in form and substance reasonably satisfactory to counsel for the Underwriters.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0" w:name="page31"/>
    <w:bookmarkEnd w:id="30"/>
    <w:p>
      <w:pPr>
        <w:ind w:left="4" w:hanging="4"/>
        <w:spacing w:after="0" w:line="259" w:lineRule="auto"/>
        <w:tabs>
          <w:tab w:leader="none" w:pos="24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 for the Underwriters</w:t>
      </w:r>
      <w:r>
        <w:rPr>
          <w:rFonts w:ascii="Arial" w:cs="Arial" w:eastAsia="Arial" w:hAnsi="Arial"/>
          <w:sz w:val="18"/>
          <w:szCs w:val="18"/>
          <w:color w:val="auto"/>
        </w:rPr>
        <w:t>. At the Closing Time, the Representatives shall have received the favorable opinion, dated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Proskauer Rose LLP, counsel for the Underwriters.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w:t>
      </w:r>
    </w:p>
    <w:p>
      <w:pPr>
        <w:spacing w:after="0" w:line="117" w:lineRule="exact"/>
        <w:rPr>
          <w:sz w:val="20"/>
          <w:szCs w:val="20"/>
          <w:color w:val="auto"/>
        </w:rPr>
      </w:pPr>
    </w:p>
    <w:p>
      <w:pPr>
        <w:ind w:left="4" w:right="60" w:hanging="4"/>
        <w:spacing w:after="0" w:line="285" w:lineRule="auto"/>
        <w:tabs>
          <w:tab w:leader="none" w:pos="2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At the Closing Time, there shall not have been, since the date hereof or since the respective dates as of which information is given in the Registration Statement, the General Disclosure Package or the Prospectus, any material adverse change in the business, properties, management, financial condition, prospects or results of operations of the Company and the Subsidiaries considered as one enterprise,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(A) there has been no such material adverse change,</w:t>
      </w:r>
    </w:p>
    <w:p>
      <w:pPr>
        <w:spacing w:after="0" w:line="1" w:lineRule="exact"/>
        <w:rPr>
          <w:rFonts w:ascii="Arial" w:cs="Arial" w:eastAsia="Arial" w:hAnsi="Arial"/>
          <w:sz w:val="16"/>
          <w:szCs w:val="16"/>
          <w:color w:val="auto"/>
        </w:rPr>
      </w:pPr>
    </w:p>
    <w:p>
      <w:pPr>
        <w:ind w:left="4" w:right="20"/>
        <w:spacing w:after="0" w:line="271" w:lineRule="auto"/>
        <w:rPr>
          <w:rFonts w:ascii="Arial" w:cs="Arial" w:eastAsia="Arial" w:hAnsi="Arial"/>
          <w:sz w:val="16"/>
          <w:szCs w:val="16"/>
          <w:color w:val="auto"/>
        </w:rPr>
      </w:pPr>
      <w:r>
        <w:rPr>
          <w:rFonts w:ascii="Arial" w:cs="Arial" w:eastAsia="Arial" w:hAnsi="Arial"/>
          <w:sz w:val="17"/>
          <w:szCs w:val="17"/>
          <w:color w:val="auto"/>
        </w:rPr>
        <w:t>(B) the representations and warranties of the Company in Section 1(a) of this Agreement are true and correct with the same force and effect as though expressly made at and as of the Closing Time, (C) the Company has complied with all agreements and satisfied all conditions on its part to be performed or satisfied at or prior to the Closing Time, and (D)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70" w:lineRule="exact"/>
        <w:rPr>
          <w:rFonts w:ascii="Arial" w:cs="Arial" w:eastAsia="Arial" w:hAnsi="Arial"/>
          <w:sz w:val="16"/>
          <w:szCs w:val="16"/>
          <w:color w:val="auto"/>
        </w:rPr>
      </w:pPr>
    </w:p>
    <w:p>
      <w:pPr>
        <w:ind w:left="4" w:right="20" w:hanging="4"/>
        <w:spacing w:after="0" w:line="254" w:lineRule="auto"/>
        <w:tabs>
          <w:tab w:leader="none" w:pos="2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the Closing Time, there shall not have been, since the date hereof or since the respective dates as of which information is given in the Prospectus, an Adviser/Administrator Material Adverse Effect, and the Representatives shall have received certificates of the managing member of each of the Adviser and the Administrator, dated the Closing Time, to the effect that (A) there has been no such Adviser/Administrator Material Adverse Effect with respect to the Adviser or the Administrator, as applicable, (B) the representations and warranties of the Adviser or the Administrator, as applicable, in Section 1(b) of this Agreement are true and correct with the same force and effect as though expressly made at and as of the Closing Time and (C) the Adviser or the Administrator, as applicable, has complied with all agreements and satisfied all conditions on their part to be performed or satisfied at or prior to the Closing Time.</w:t>
      </w:r>
    </w:p>
    <w:p>
      <w:pPr>
        <w:spacing w:after="0" w:line="87" w:lineRule="exact"/>
        <w:rPr>
          <w:sz w:val="20"/>
          <w:szCs w:val="20"/>
          <w:color w:val="auto"/>
        </w:rPr>
      </w:pPr>
    </w:p>
    <w:p>
      <w:pPr>
        <w:ind w:left="4" w:right="100" w:hanging="4"/>
        <w:spacing w:after="0" w:line="257" w:lineRule="auto"/>
        <w:tabs>
          <w:tab w:leader="none" w:pos="24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 RSM US LLP a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Company’s financial statements and certain financial information included or incorporated by reference in the Registration Statement, the General Disclosure Package and the Prospectus.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1" w:name="page32"/>
    <w:bookmarkEnd w:id="31"/>
    <w:p>
      <w:pPr>
        <w:ind w:left="4" w:right="160" w:hanging="4"/>
        <w:spacing w:after="0" w:line="263" w:lineRule="auto"/>
        <w:tabs>
          <w:tab w:leader="none" w:pos="22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Bring-down Comfort Letter</w:t>
      </w:r>
      <w:r>
        <w:rPr>
          <w:rFonts w:ascii="Arial" w:cs="Arial" w:eastAsia="Arial" w:hAnsi="Arial"/>
          <w:sz w:val="18"/>
          <w:szCs w:val="18"/>
          <w:color w:val="auto"/>
        </w:rPr>
        <w:t>. At the Closing Time, the Representatives shall have received from RSM US LLP a letter, dated as of the Closing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effect that they reaffirm the statements made in the letter furnished pursuant to subsection (e) of this Section, except that the specified date referred to shall be a date not more than three business days prior to the Closing Time.</w:t>
      </w:r>
    </w:p>
    <w:p>
      <w:pPr>
        <w:spacing w:after="0" w:line="75" w:lineRule="exact"/>
        <w:rPr>
          <w:rFonts w:ascii="Arial" w:cs="Arial" w:eastAsia="Arial" w:hAnsi="Arial"/>
          <w:sz w:val="18"/>
          <w:szCs w:val="18"/>
          <w:color w:val="auto"/>
        </w:rPr>
      </w:pPr>
    </w:p>
    <w:p>
      <w:pPr>
        <w:ind w:left="4" w:right="320" w:hanging="4"/>
        <w:spacing w:after="0" w:line="277"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Fifth Supplemental Indenture and Securities</w:t>
      </w:r>
      <w:r>
        <w:rPr>
          <w:rFonts w:ascii="Arial" w:cs="Arial" w:eastAsia="Arial" w:hAnsi="Arial"/>
          <w:sz w:val="18"/>
          <w:szCs w:val="18"/>
          <w:color w:val="auto"/>
        </w:rPr>
        <w:t>. At or prior to the Closing Time, the Company and the Trustee shall have executed and delivered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Fifth Supplemental Indenture and the Securities.</w:t>
      </w:r>
    </w:p>
    <w:p>
      <w:pPr>
        <w:spacing w:after="0" w:line="62" w:lineRule="exact"/>
        <w:rPr>
          <w:rFonts w:ascii="Arial" w:cs="Arial" w:eastAsia="Arial" w:hAnsi="Arial"/>
          <w:sz w:val="18"/>
          <w:szCs w:val="18"/>
          <w:color w:val="auto"/>
        </w:rPr>
      </w:pPr>
    </w:p>
    <w:p>
      <w:pPr>
        <w:ind w:left="4" w:right="40" w:hanging="4"/>
        <w:spacing w:after="0" w:line="259"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Maintenance of Rating</w:t>
      </w:r>
      <w:r>
        <w:rPr>
          <w:rFonts w:ascii="Arial" w:cs="Arial" w:eastAsia="Arial" w:hAnsi="Arial"/>
          <w:sz w:val="18"/>
          <w:szCs w:val="18"/>
          <w:color w:val="auto"/>
        </w:rPr>
        <w:t>. Since the execution of this Agreement, there shall not have been any decrease in or withdrawal of the rating of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any of its Subsidiaries by any “nationally recognized statistical rating organization” (as defined in Section 3(a)(62) of the 1934 Act) or any notice given of any intended or potential decrease in or withdrawal of any such rating or of a possible change in any such rating that does not indicate the direction of the possible change.</w:t>
      </w:r>
    </w:p>
    <w:p>
      <w:pPr>
        <w:spacing w:after="0" w:line="78" w:lineRule="exact"/>
        <w:rPr>
          <w:rFonts w:ascii="Arial" w:cs="Arial" w:eastAsia="Arial" w:hAnsi="Arial"/>
          <w:sz w:val="18"/>
          <w:szCs w:val="18"/>
          <w:color w:val="auto"/>
        </w:rPr>
      </w:pPr>
    </w:p>
    <w:p>
      <w:pPr>
        <w:jc w:val="both"/>
        <w:ind w:left="4" w:right="160" w:hanging="4"/>
        <w:spacing w:after="0" w:line="275" w:lineRule="auto"/>
        <w:tabs>
          <w:tab w:leader="none" w:pos="219"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At the Closing Time, counsel for the Underwriters shall have been furnished with such documents and opinions as they may</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Representatives and counsel for the Underwriters.</w:t>
      </w:r>
    </w:p>
    <w:p>
      <w:pPr>
        <w:spacing w:after="0" w:line="68" w:lineRule="exact"/>
        <w:rPr>
          <w:rFonts w:ascii="Arial" w:cs="Arial" w:eastAsia="Arial" w:hAnsi="Arial"/>
          <w:sz w:val="17"/>
          <w:szCs w:val="17"/>
          <w:color w:val="auto"/>
        </w:rPr>
      </w:pPr>
    </w:p>
    <w:p>
      <w:pPr>
        <w:ind w:left="4" w:right="80" w:hanging="4"/>
        <w:spacing w:after="0" w:line="259" w:lineRule="auto"/>
        <w:tabs>
          <w:tab w:leader="none" w:pos="21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terminated by the Representatives by notice to the Company at any time at or prior to Closing Time, and such termination shall be without liability of any party to any other party except as provided in Section 4 and except that Sections 1, 6, 7, 8, 14, 15 and 16 survive any such termination and remain in full force and effect.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59" w:lineRule="auto"/>
        <w:tabs>
          <w:tab w:leader="none" w:pos="24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the Company, the Adviser and the Administrator</w:t>
      </w:r>
      <w:r>
        <w:rPr>
          <w:rFonts w:ascii="Arial" w:cs="Arial" w:eastAsia="Arial" w:hAnsi="Arial"/>
          <w:sz w:val="18"/>
          <w:szCs w:val="18"/>
          <w:color w:val="auto"/>
        </w:rPr>
        <w:t>. The Company, the Adviser and the Administrator, severally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not jointly, agree to indemnify and hold harmless each Underwriter, its affiliates (as such term is defined in Rule 501(b) under the 1933 Act (each, an “Affiliate”)), its selling agents and each person, if any, who controls any Underwriter within the meaning of Section 15 of the 1933 Act or Section 20 of the 1934 Act as follows: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sectPr>
      </w:pPr>
    </w:p>
    <w:bookmarkStart w:id="32" w:name="page33"/>
    <w:bookmarkEnd w:id="32"/>
    <w:p>
      <w:pPr>
        <w:ind w:left="4" w:right="20" w:hanging="4"/>
        <w:spacing w:after="0" w:line="288" w:lineRule="auto"/>
        <w:tabs>
          <w:tab w:leader="none" w:pos="219"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preliminary prospectus, Issuer Free Writing Prospectus, the Prospectus, any Marketing Materials, any Written Testing-the-Waters Communication or the General Disclosure Package of a material fact necessary in order to make the statements therein, in the light of the circumstances under which they were made, not misleading;</w:t>
      </w:r>
    </w:p>
    <w:p>
      <w:pPr>
        <w:spacing w:after="0" w:line="60" w:lineRule="exact"/>
        <w:rPr>
          <w:rFonts w:ascii="Arial" w:cs="Arial" w:eastAsia="Arial" w:hAnsi="Arial"/>
          <w:sz w:val="16"/>
          <w:szCs w:val="16"/>
          <w:color w:val="auto"/>
        </w:rPr>
      </w:pPr>
    </w:p>
    <w:p>
      <w:pPr>
        <w:ind w:left="4" w:hanging="4"/>
        <w:spacing w:after="0" w:line="259" w:lineRule="auto"/>
        <w:tabs>
          <w:tab w:leader="none" w:pos="2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78" w:lineRule="exact"/>
        <w:rPr>
          <w:rFonts w:ascii="Arial" w:cs="Arial" w:eastAsia="Arial" w:hAnsi="Arial"/>
          <w:sz w:val="18"/>
          <w:szCs w:val="18"/>
          <w:color w:val="auto"/>
        </w:rPr>
      </w:pPr>
    </w:p>
    <w:p>
      <w:pPr>
        <w:ind w:left="4" w:right="60" w:hanging="4"/>
        <w:spacing w:after="0" w:line="289" w:lineRule="auto"/>
        <w:tabs>
          <w:tab w:leader="none" w:pos="3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reasonably incurred and documented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any preliminary prospectus, the General Disclosure Package or the Prospectus (or any amendment or supplement thereto) in reliance upon and in conformity with the Underwriter Information; and provided, further the Adviser’s indemnity shall only apply to statements described in (i) above regarding the Adviser and the Administrator’s indemnity shall apply only statements described in (i) above regarding the Administrator.</w:t>
      </w:r>
    </w:p>
    <w:p>
      <w:pPr>
        <w:spacing w:after="0" w:line="58" w:lineRule="exact"/>
        <w:rPr>
          <w:sz w:val="20"/>
          <w:szCs w:val="20"/>
          <w:color w:val="auto"/>
        </w:rPr>
      </w:pPr>
    </w:p>
    <w:p>
      <w:pPr>
        <w:ind w:left="4" w:right="60" w:hanging="4"/>
        <w:spacing w:after="0" w:line="291" w:lineRule="auto"/>
        <w:tabs>
          <w:tab w:leader="none" w:pos="259"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Officers, Adviser and Administrator</w:t>
      </w:r>
      <w:r>
        <w:rPr>
          <w:rFonts w:ascii="Arial" w:cs="Arial" w:eastAsia="Arial" w:hAnsi="Arial"/>
          <w:sz w:val="16"/>
          <w:szCs w:val="16"/>
          <w:color w:val="auto"/>
        </w:rPr>
        <w:t>. Each Underwriter, severally and not jointly, agrees to indemnify and</w:t>
      </w:r>
      <w:r>
        <w:rPr>
          <w:rFonts w:ascii="Arial" w:cs="Arial" w:eastAsia="Arial" w:hAnsi="Arial"/>
          <w:sz w:val="16"/>
          <w:szCs w:val="16"/>
          <w:i w:val="1"/>
          <w:iCs w:val="1"/>
          <w:color w:val="auto"/>
        </w:rPr>
        <w:t xml:space="preserve"> </w:t>
      </w:r>
      <w:r>
        <w:rPr>
          <w:rFonts w:ascii="Arial" w:cs="Arial" w:eastAsia="Arial" w:hAnsi="Arial"/>
          <w:sz w:val="16"/>
          <w:szCs w:val="16"/>
          <w:color w:val="auto"/>
        </w:rPr>
        <w:t>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the General Disclosure Package, any Issuer Free Writing Prospectus or the Prospectus (or any amendment or supplement thereto) in reliance upon and in conformity with the Underwriter Information.</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4" w:right="499" w:bottom="1440" w:gutter="0" w:footer="0" w:header="0"/>
        </w:sectPr>
      </w:pPr>
    </w:p>
    <w:bookmarkStart w:id="33" w:name="page34"/>
    <w:bookmarkEnd w:id="33"/>
    <w:p>
      <w:pPr>
        <w:ind w:left="4" w:right="40" w:hanging="4"/>
        <w:spacing w:after="0" w:line="268" w:lineRule="auto"/>
        <w:tabs>
          <w:tab w:leader="none" w:pos="248"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Actions against Parties; Notification</w:t>
      </w:r>
      <w:r>
        <w:rPr>
          <w:rFonts w:ascii="Arial" w:cs="Arial" w:eastAsia="Arial" w:hAnsi="Arial"/>
          <w:sz w:val="17"/>
          <w:szCs w:val="17"/>
          <w:color w:val="auto"/>
        </w:rPr>
        <w:t>. Each indemnified party shall give notice as promptly as reasonably practicable to each indemnifying party of</w:t>
      </w:r>
      <w:r>
        <w:rPr>
          <w:rFonts w:ascii="Arial" w:cs="Arial" w:eastAsia="Arial" w:hAnsi="Arial"/>
          <w:sz w:val="17"/>
          <w:szCs w:val="17"/>
          <w:i w:val="1"/>
          <w:iCs w:val="1"/>
          <w:color w:val="auto"/>
        </w:rPr>
        <w:t xml:space="preserve"> </w:t>
      </w:r>
      <w:r>
        <w:rPr>
          <w:rFonts w:ascii="Arial" w:cs="Arial" w:eastAsia="Arial" w:hAnsi="Arial"/>
          <w:sz w:val="17"/>
          <w:szCs w:val="17"/>
          <w:color w:val="auto"/>
        </w:rPr>
        <w:t>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71" w:lineRule="exact"/>
        <w:rPr>
          <w:rFonts w:ascii="Arial" w:cs="Arial" w:eastAsia="Arial" w:hAnsi="Arial"/>
          <w:sz w:val="17"/>
          <w:szCs w:val="17"/>
          <w:color w:val="auto"/>
        </w:rPr>
      </w:pPr>
    </w:p>
    <w:p>
      <w:pPr>
        <w:ind w:left="4" w:hanging="4"/>
        <w:spacing w:after="0" w:line="255" w:lineRule="auto"/>
        <w:tabs>
          <w:tab w:leader="none" w:pos="25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 reimburse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4" w:name="page35"/>
    <w:bookmarkEnd w:id="3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benefits received by the Company, the Adviser and the Administrator,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Underwriters,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Section 6(a).</w:t>
      </w:r>
    </w:p>
    <w:p>
      <w:pPr>
        <w:spacing w:after="0" w:line="19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relative benefits received by the Company, the Adviser and the Administrator,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relative fault of the Company, the Adviser and the Administrator,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Underwriters and the parties’ relative intent, knowledge, access to information and opportunity to correct or prevent such statement or omission.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the Adviser, the Administrator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5" w:name="page36"/>
    <w:bookmarkEnd w:id="35"/>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70" w:lineRule="exact"/>
        <w:rPr>
          <w:sz w:val="20"/>
          <w:szCs w:val="20"/>
          <w:color w:val="auto"/>
        </w:rPr>
      </w:pPr>
    </w:p>
    <w:p>
      <w:pPr>
        <w:ind w:left="4" w:right="180"/>
        <w:spacing w:after="0" w:line="293" w:lineRule="auto"/>
        <w:rPr>
          <w:sz w:val="20"/>
          <w:szCs w:val="20"/>
          <w:color w:val="auto"/>
        </w:rPr>
      </w:pPr>
      <w:r>
        <w:rPr>
          <w:rFonts w:ascii="Arial" w:cs="Arial" w:eastAsia="Arial" w:hAnsi="Arial"/>
          <w:sz w:val="16"/>
          <w:szCs w:val="16"/>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 The Underwriters’ respective obligations to contribute pursuant to this Section 7 are several in proportion to the aggregate principal amount of Securities set forth opposite their respective names in Schedule A hereto and not joint.</w:t>
      </w:r>
    </w:p>
    <w:p>
      <w:pPr>
        <w:spacing w:after="0" w:line="164"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Representations, Warranties and Agreements to Survive</w:t>
      </w:r>
      <w:r>
        <w:rPr>
          <w:rFonts w:ascii="Arial" w:cs="Arial" w:eastAsia="Arial" w:hAnsi="Arial"/>
          <w:sz w:val="16"/>
          <w:szCs w:val="16"/>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68" w:lineRule="auto"/>
        <w:tabs>
          <w:tab w:leader="none" w:pos="248"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at any time at or prior to the Closing Time (i) if there</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in the judgment of the Representatives, since the time of execution of this Agreement or since the respective dates as of which information is given in the Registration Statement, the General Disclosure Package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the preliminary prospectus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(iii) if trading in any securities of the Company has been suspended or materially limited by the Commission or The New York Stock Exchange,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6" w:name="page37"/>
    <w:bookmarkEnd w:id="36"/>
    <w:p>
      <w:pPr>
        <w:ind w:left="4" w:right="100" w:hanging="4"/>
        <w:spacing w:after="0" w:line="342" w:lineRule="auto"/>
        <w:tabs>
          <w:tab w:leader="none" w:pos="259"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Liabilities</w:t>
      </w:r>
      <w:r>
        <w:rPr>
          <w:rFonts w:ascii="Arial" w:cs="Arial" w:eastAsia="Arial" w:hAnsi="Arial"/>
          <w:sz w:val="16"/>
          <w:szCs w:val="16"/>
          <w:color w:val="auto"/>
        </w:rPr>
        <w:t>. If this Agreement is terminated pursuant to this Section, such termination shall be without liability of any party to any other party except</w:t>
      </w:r>
      <w:r>
        <w:rPr>
          <w:rFonts w:ascii="Arial" w:cs="Arial" w:eastAsia="Arial" w:hAnsi="Arial"/>
          <w:sz w:val="16"/>
          <w:szCs w:val="16"/>
          <w:i w:val="1"/>
          <w:iCs w:val="1"/>
          <w:color w:val="auto"/>
        </w:rPr>
        <w:t xml:space="preserve"> </w:t>
      </w:r>
      <w:r>
        <w:rPr>
          <w:rFonts w:ascii="Arial" w:cs="Arial" w:eastAsia="Arial" w:hAnsi="Arial"/>
          <w:sz w:val="16"/>
          <w:szCs w:val="16"/>
          <w:color w:val="auto"/>
        </w:rPr>
        <w:t>as provided in Section 4 hereof, provided that Sections 1, 6, 7, 8, 14, 15 and 16 shall survive such termination and remain in full force and effect.</w:t>
      </w:r>
    </w:p>
    <w:p>
      <w:pPr>
        <w:spacing w:after="0" w:line="124" w:lineRule="exact"/>
        <w:rPr>
          <w:sz w:val="20"/>
          <w:szCs w:val="20"/>
          <w:color w:val="auto"/>
        </w:rPr>
      </w:pPr>
    </w:p>
    <w:p>
      <w:pPr>
        <w:ind w:left="4" w:right="100"/>
        <w:spacing w:after="0" w:line="28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Default by One or More of the Underwriters</w:t>
      </w:r>
      <w:r>
        <w:rPr>
          <w:rFonts w:ascii="Arial" w:cs="Arial" w:eastAsia="Arial" w:hAnsi="Arial"/>
          <w:sz w:val="16"/>
          <w:szCs w:val="16"/>
          <w:color w:val="auto"/>
        </w:rPr>
        <w:t>. If one or more of the Underwriters shall fail at the Closing Time to purchase the Securities which it or they are obligated to purchase under this Agreement (the “Defaulted Securities”), the non-defaulting Underwriters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non-defaulting Underwriters shall not have completed such arrangements within such 24-hour period, then if the aggregate principal amount of Defaulted Securities does not exceed 10% of the aggregate principal amount of Securities to be purchased, each of the non-defaulting Underwriters shall be obligated, severally and not jointly, to purchase the full amount thereof in the proportions that their respective underwriting obligations hereunder bear to the underwriting obligations of all non-defaulting Underwriters, or if the aggregate principal amount of Defaulted Securities exceeds 10% of the aggregate principal amount of Securities to be purchased, this Agreement shall terminate without liability on the part of any non-defaulting Underwriter.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(i) the non-defaulting Underwriters or (ii) the Company shall have the right to postpone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to have been duly given if mailed or transmitted by any standard form of telecommunication. Notices to the Underwriters shall be directed to the Representatives at Raymond James &amp; Associates, Inc., 880 Carillon Parkway, St. Petersburg, Florida 33716, facsimile no. (901) 579-4891 and (727) 567-8750, Attention: Larry M. Herman, Managing Director/Financial Services Investment Banking and Thomas Donegan, General Counsel/Global Equities &amp; Investment Banking; Keefe, Bruyette &amp; Woods, Inc., 787 Seventh Avenue, Fourth Floor, New York, New York 10019 Facsimile: (212) 581-1592 Attention: Capital Markets; and Truist Securities, Inc., 3333 Peachtree Road NE, Atlanta, Georgia 30326 Facsimile: (404) 926-5027 Attention: Investment Grade Capital Markets, with a copy (which shall not constitute notice) to Proskauer Rose LLP, 1001 Pennsylvania Ave., NW, Suite 600 South, Washington, D.C. 20004, Attention: William Tuttle. Notices to the Company, the Adviser and the Administrator shall be directed to them at 590 Madison Avenue, 15th Floor, New York, NY 10022, facsimile no. (212) 905-1075, Attention: Arthur Penn.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37" w:name="page38"/>
    <w:bookmarkEnd w:id="37"/>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the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w:t>
      </w:r>
    </w:p>
    <w:p>
      <w:pPr>
        <w:spacing w:after="0" w:line="1" w:lineRule="exact"/>
        <w:rPr>
          <w:sz w:val="20"/>
          <w:szCs w:val="20"/>
          <w:color w:val="auto"/>
        </w:rPr>
      </w:pPr>
    </w:p>
    <w:p>
      <w:pPr>
        <w:ind w:left="4" w:hanging="4"/>
        <w:spacing w:after="0" w:line="277" w:lineRule="auto"/>
        <w:tabs>
          <w:tab w:leader="none" w:pos="25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73" w:lineRule="exact"/>
        <w:rPr>
          <w:sz w:val="20"/>
          <w:szCs w:val="20"/>
          <w:color w:val="auto"/>
        </w:rPr>
      </w:pPr>
    </w:p>
    <w:p>
      <w:pPr>
        <w:ind w:left="4" w:right="60"/>
        <w:spacing w:after="0" w:line="290"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each inure to the benefit of and be binding upon the Underwriters, the Company, the Adviser, the Administrator and their respective successors. Nothing expressed or mentioned in this Agreement is intended or shall be construed to give any person, firm or corporation, other than the Underwriters, the Company, the Adviser and the Administrator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the Adviser and the Administrator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5" w:lineRule="exact"/>
        <w:rPr>
          <w:sz w:val="20"/>
          <w:szCs w:val="20"/>
          <w:color w:val="auto"/>
        </w:rPr>
      </w:pPr>
    </w:p>
    <w:p>
      <w:pPr>
        <w:jc w:val="both"/>
        <w:ind w:left="4" w:right="40"/>
        <w:spacing w:after="0" w:line="28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Trial by Jury</w:t>
      </w:r>
      <w:r>
        <w:rPr>
          <w:rFonts w:ascii="Arial" w:cs="Arial" w:eastAsia="Arial" w:hAnsi="Arial"/>
          <w:sz w:val="17"/>
          <w:szCs w:val="17"/>
          <w:color w:val="auto"/>
        </w:rPr>
        <w:t>. The Company (on its behalf and, to the extent permitted by applicable law, on behalf of its stockholders and affiliates), the Adviser, the Administrator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38" w:name="page39"/>
    <w:bookmarkEnd w:id="38"/>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9" w:lineRule="auto"/>
        <w:tabs>
          <w:tab w:leader="none" w:pos="6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39" w:name="page40"/>
    <w:bookmarkEnd w:id="39"/>
    <w:p>
      <w:pPr>
        <w:ind w:left="4" w:right="20" w:firstLine="436"/>
        <w:spacing w:after="0" w:line="259" w:lineRule="auto"/>
        <w:tabs>
          <w:tab w:leader="none" w:pos="699"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4" w:firstLine="436"/>
        <w:spacing w:after="0" w:line="285" w:lineRule="auto"/>
        <w:tabs>
          <w:tab w:leader="none" w:pos="689" w:val="left"/>
        </w:tabs>
        <w:numPr>
          <w:ilvl w:val="1"/>
          <w:numId w:val="52"/>
        </w:numPr>
        <w:rPr>
          <w:rFonts w:ascii="Arial" w:cs="Arial" w:eastAsia="Arial" w:hAnsi="Arial"/>
          <w:sz w:val="16"/>
          <w:szCs w:val="16"/>
          <w:color w:val="auto"/>
        </w:rPr>
      </w:pPr>
      <w:r>
        <w:rPr>
          <w:rFonts w:ascii="Arial" w:cs="Arial" w:eastAsia="Arial" w:hAnsi="Arial"/>
          <w:sz w:val="16"/>
          <w:szCs w:val="16"/>
          <w:color w:val="auto"/>
        </w:rPr>
        <w:t>For purposes of this Section 20,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1"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0" w:name="page41"/>
    <w:bookmarkEnd w:id="4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the Company, the Adviser and the Administrator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ADMINISTRATION,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0960"/>
          </w:cols>
          <w:pgMar w:left="440" w:top="274"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RAYMOND JAMES &amp; ASSOCIATES,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Larry M.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Larry M. Herman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Allen G.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Allen G. Laufenberg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 Nordlinger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 Nordlinger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0019"/>
          </w:cols>
          <w:pgMar w:left="440" w:top="274" w:right="1440" w:bottom="1440" w:gutter="0" w:footer="0" w:header="0"/>
        </w:sectPr>
      </w:pPr>
    </w:p>
    <w:bookmarkStart w:id="42" w:name="page43"/>
    <w:bookmarkEnd w:id="4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left="184" w:hanging="184"/>
        <w:spacing w:after="0"/>
        <w:tabs>
          <w:tab w:leader="none" w:pos="1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initial offering price for the Securities shall be 99.436% of the aggregate principal amount thereof.</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Purchase Price for the Securities to be paid by the several Underwriters shall be 97.436% of the aggregate principal amount thereof.</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9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10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be Purchased</w:t>
            </w:r>
          </w:p>
        </w:tc>
        <w:tc>
          <w:tcPr>
            <w:tcW w:w="0" w:type="dxa"/>
            <w:vAlign w:val="bottom"/>
          </w:tcPr>
          <w:p>
            <w:pPr>
              <w:spacing w:after="0"/>
              <w:rPr>
                <w:sz w:val="1"/>
                <w:szCs w:val="1"/>
                <w:color w:val="auto"/>
              </w:rPr>
            </w:pPr>
          </w:p>
        </w:tc>
      </w:tr>
      <w:tr>
        <w:trPr>
          <w:trHeight w:val="203"/>
        </w:trPr>
        <w:tc>
          <w:tcPr>
            <w:tcW w:w="9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Raymond James &amp; Associates,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99,000,000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16,500,000</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16,500,000</w:t>
            </w: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16,500,000</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Compass Point Research &amp; Trading,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4,125,000</w:t>
            </w: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4,125,000</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4,125,000</w:t>
            </w:r>
          </w:p>
        </w:tc>
        <w:tc>
          <w:tcPr>
            <w:tcW w:w="0" w:type="dxa"/>
            <w:vAlign w:val="bottom"/>
          </w:tcPr>
          <w:p>
            <w:pPr>
              <w:spacing w:after="0"/>
              <w:rPr>
                <w:sz w:val="1"/>
                <w:szCs w:val="1"/>
                <w:color w:val="auto"/>
              </w:rPr>
            </w:pPr>
          </w:p>
        </w:tc>
      </w:tr>
      <w:tr>
        <w:trPr>
          <w:trHeight w:val="223"/>
        </w:trPr>
        <w:tc>
          <w:tcPr>
            <w:tcW w:w="996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165,000,000</w:t>
            </w: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43" w:name="page44"/>
    <w:bookmarkEnd w:id="43"/>
    <w:p>
      <w:pPr>
        <w:ind w:left="49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PennantPark Investment Corporation Investor Presentation (October 2021) for the quarter ended June 30,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Pricing Press Release filed with the Commission on Form 8-K on October 14,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 sheet containing the terms of the Securities, substantially in the form of Annex A hereto.</w:t>
      </w:r>
    </w:p>
    <w:p>
      <w:pPr>
        <w:sectPr>
          <w:pgSz w:w="11900" w:h="16838" w:orient="portrait"/>
          <w:cols w:equalWidth="0" w:num="1">
            <w:col w:w="10019"/>
          </w:cols>
          <w:pgMar w:left="440" w:top="270" w:right="1440" w:bottom="1440" w:gutter="0" w:footer="0" w:header="0"/>
        </w:sectPr>
      </w:pPr>
    </w:p>
    <w:bookmarkStart w:id="44" w:name="page45"/>
    <w:bookmarkEnd w:id="44"/>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GP II, LLC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II LP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Alabama Holdings Inc.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CI (GALLS) Prime Investment Holdings, LLC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Investment Holdings, LLC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 Energy Holdings, LLC (Delaware)</w:t>
      </w:r>
    </w:p>
    <w:p>
      <w:pPr>
        <w:sectPr>
          <w:pgSz w:w="11900" w:h="16838" w:orient="portrait"/>
          <w:cols w:equalWidth="0" w:num="1">
            <w:col w:w="10019"/>
          </w:cols>
          <w:pgMar w:left="440" w:top="27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October 14,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October 14, 2021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Prospectus dated January 30,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333-230014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$165,000,000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Notes due 2026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14, 2021</w:t>
      </w:r>
    </w:p>
    <w:p>
      <w:pPr>
        <w:spacing w:after="0" w:line="21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following sets forth the final terms of the 4.00% Notes due 2026 and should only be read together with the preliminary prospectus supplement dated October 14, 2021, together with the accompanying prospectus dated January 30, 2020,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88"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PennantPark Investment Corporation (“PNNT”)</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4.00% Notes due 2026 (the “Notes”)</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Rating (Egan-Jones)*:</w:t>
      </w:r>
      <w:r>
        <w:rPr>
          <w:sz w:val="20"/>
          <w:szCs w:val="20"/>
          <w:color w:val="auto"/>
        </w:rPr>
        <w:tab/>
      </w:r>
      <w:r>
        <w:rPr>
          <w:rFonts w:ascii="Arial" w:cs="Arial" w:eastAsia="Arial" w:hAnsi="Arial"/>
          <w:sz w:val="17"/>
          <w:szCs w:val="17"/>
          <w:color w:val="auto"/>
        </w:rPr>
        <w:t>BBB</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Aggregate Principal Amount Offered:</w:t>
      </w:r>
      <w:r>
        <w:rPr>
          <w:sz w:val="20"/>
          <w:szCs w:val="20"/>
          <w:color w:val="auto"/>
        </w:rPr>
        <w:tab/>
      </w:r>
      <w:r>
        <w:rPr>
          <w:rFonts w:ascii="Arial" w:cs="Arial" w:eastAsia="Arial" w:hAnsi="Arial"/>
          <w:sz w:val="16"/>
          <w:szCs w:val="16"/>
          <w:color w:val="auto"/>
        </w:rPr>
        <w:t>$165,000,000</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November 1, 2026</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Trade Date:</w:t>
      </w:r>
      <w:r>
        <w:rPr>
          <w:sz w:val="20"/>
          <w:szCs w:val="20"/>
          <w:color w:val="auto"/>
        </w:rPr>
        <w:tab/>
      </w:r>
      <w:r>
        <w:rPr>
          <w:rFonts w:ascii="Arial" w:cs="Arial" w:eastAsia="Arial" w:hAnsi="Arial"/>
          <w:sz w:val="16"/>
          <w:szCs w:val="16"/>
          <w:color w:val="auto"/>
        </w:rPr>
        <w:t>October 14, 2021</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6"/>
          <w:szCs w:val="16"/>
          <w:color w:val="auto"/>
        </w:rPr>
        <w:t>October 21, 2021 (T+5)</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PNNT intends to use a portion of the net proceeds from this offering to redeem all of the outstanding 5.50%</w:t>
      </w:r>
    </w:p>
    <w:p>
      <w:pPr>
        <w:spacing w:after="0" w:line="23" w:lineRule="exact"/>
        <w:rPr>
          <w:sz w:val="20"/>
          <w:szCs w:val="20"/>
          <w:color w:val="auto"/>
        </w:rPr>
      </w:pPr>
    </w:p>
    <w:p>
      <w:pPr>
        <w:ind w:left="2980" w:right="300"/>
        <w:spacing w:after="0" w:line="255" w:lineRule="auto"/>
        <w:rPr>
          <w:sz w:val="20"/>
          <w:szCs w:val="20"/>
          <w:color w:val="auto"/>
        </w:rPr>
      </w:pPr>
      <w:r>
        <w:rPr>
          <w:rFonts w:ascii="Arial" w:cs="Arial" w:eastAsia="Arial" w:hAnsi="Arial"/>
          <w:sz w:val="18"/>
          <w:szCs w:val="18"/>
          <w:color w:val="auto"/>
        </w:rPr>
        <w:t>notes due 2024 and the remaining net proceeds to invest in new or existing portfolio companies or for other general corporate or strategic purposes, including repaying amounts outstanding under its other existing indebtedness.</w:t>
      </w:r>
    </w:p>
    <w:p>
      <w:pPr>
        <w:sectPr>
          <w:pgSz w:w="11900" w:h="16838" w:orient="portrait"/>
          <w:cols w:equalWidth="0" w:num="1">
            <w:col w:w="11020"/>
          </w:cols>
          <w:pgMar w:left="440" w:top="270" w:right="43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Notes will be issued at a price of 99.436% of their principal amount, plus accrued interest, if any, from October 21, 2021</w:t>
      </w:r>
    </w:p>
    <w:p>
      <w:pPr>
        <w:spacing w:after="0" w:line="62"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color w:val="auto"/>
        </w:rPr>
        <w:t>Benchmark Treasury:</w:t>
      </w:r>
      <w:r>
        <w:rPr>
          <w:sz w:val="20"/>
          <w:szCs w:val="20"/>
          <w:color w:val="auto"/>
        </w:rPr>
        <w:tab/>
      </w:r>
      <w:r>
        <w:rPr>
          <w:rFonts w:ascii="Arial" w:cs="Arial" w:eastAsia="Arial" w:hAnsi="Arial"/>
          <w:sz w:val="15"/>
          <w:szCs w:val="15"/>
          <w:color w:val="auto"/>
        </w:rPr>
        <w:t>0.875% due September 30, 2026</w:t>
      </w:r>
    </w:p>
    <w:p>
      <w:pPr>
        <w:spacing w:after="0" w:line="23"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Benchmark Treasury Price and Yield:</w:t>
      </w:r>
      <w:r>
        <w:rPr>
          <w:sz w:val="20"/>
          <w:szCs w:val="20"/>
          <w:color w:val="auto"/>
        </w:rPr>
        <w:tab/>
      </w:r>
      <w:r>
        <w:rPr>
          <w:rFonts w:ascii="Arial" w:cs="Arial" w:eastAsia="Arial" w:hAnsi="Arial"/>
          <w:sz w:val="15"/>
          <w:szCs w:val="15"/>
          <w:color w:val="auto"/>
        </w:rPr>
        <w:t xml:space="preserve">99-04 </w:t>
      </w:r>
      <w:r>
        <w:rPr>
          <w:rFonts w:ascii="Arial" w:cs="Arial" w:eastAsia="Arial" w:hAnsi="Arial"/>
          <w:sz w:val="24"/>
          <w:szCs w:val="24"/>
          <w:color w:val="auto"/>
          <w:vertAlign w:val="superscript"/>
        </w:rPr>
        <w:t>3</w:t>
      </w:r>
      <w:r>
        <w:rPr>
          <w:rFonts w:ascii="Arial" w:cs="Arial" w:eastAsia="Arial" w:hAnsi="Arial"/>
          <w:sz w:val="15"/>
          <w:szCs w:val="15"/>
          <w:color w:val="auto"/>
        </w:rPr>
        <w:t>⁄</w:t>
      </w:r>
      <w:r>
        <w:rPr>
          <w:rFonts w:ascii="Arial" w:cs="Arial" w:eastAsia="Arial" w:hAnsi="Arial"/>
          <w:sz w:val="24"/>
          <w:szCs w:val="24"/>
          <w:color w:val="auto"/>
          <w:vertAlign w:val="subscript"/>
        </w:rPr>
        <w:t>4</w:t>
      </w:r>
      <w:r>
        <w:rPr>
          <w:rFonts w:ascii="Arial" w:cs="Arial" w:eastAsia="Arial" w:hAnsi="Arial"/>
          <w:sz w:val="15"/>
          <w:szCs w:val="15"/>
          <w:color w:val="auto"/>
        </w:rPr>
        <w:t xml:space="preserve"> / 1.052%</w:t>
      </w:r>
    </w:p>
    <w:p>
      <w:pPr>
        <w:spacing w:after="0" w:line="158"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Spread to Benchmark Treasury:</w:t>
      </w:r>
      <w:r>
        <w:rPr>
          <w:sz w:val="20"/>
          <w:szCs w:val="20"/>
          <w:color w:val="auto"/>
        </w:rPr>
        <w:tab/>
      </w:r>
      <w:r>
        <w:rPr>
          <w:rFonts w:ascii="Arial" w:cs="Arial" w:eastAsia="Arial" w:hAnsi="Arial"/>
          <w:sz w:val="16"/>
          <w:szCs w:val="16"/>
          <w:color w:val="auto"/>
        </w:rPr>
        <w:t>+307.3 basis points</w:t>
      </w:r>
    </w:p>
    <w:p>
      <w:pPr>
        <w:spacing w:after="0" w:line="101"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Yield to Maturity:</w:t>
      </w:r>
      <w:r>
        <w:rPr>
          <w:sz w:val="20"/>
          <w:szCs w:val="20"/>
          <w:color w:val="auto"/>
        </w:rPr>
        <w:tab/>
      </w:r>
      <w:r>
        <w:rPr>
          <w:rFonts w:ascii="Arial" w:cs="Arial" w:eastAsia="Arial" w:hAnsi="Arial"/>
          <w:sz w:val="16"/>
          <w:szCs w:val="16"/>
          <w:color w:val="auto"/>
        </w:rPr>
        <w:t>4.125%</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Coupon (Interest Rate):</w:t>
      </w:r>
      <w:r>
        <w:rPr>
          <w:sz w:val="20"/>
          <w:szCs w:val="20"/>
          <w:color w:val="auto"/>
        </w:rPr>
        <w:tab/>
      </w:r>
      <w:r>
        <w:rPr>
          <w:rFonts w:ascii="Arial" w:cs="Arial" w:eastAsia="Arial" w:hAnsi="Arial"/>
          <w:sz w:val="16"/>
          <w:szCs w:val="16"/>
          <w:color w:val="auto"/>
        </w:rPr>
        <w:t>4.00%</w:t>
      </w:r>
    </w:p>
    <w:p>
      <w:pPr>
        <w:spacing w:after="0" w:line="11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May 1 and November 1, commencing May 1, 2022</w:t>
      </w:r>
    </w:p>
    <w:p>
      <w:pPr>
        <w:sectPr>
          <w:pgSz w:w="11900" w:h="16838" w:orient="portrait"/>
          <w:cols w:equalWidth="0" w:num="1">
            <w:col w:w="11020"/>
          </w:cols>
          <w:pgMar w:left="440" w:top="270" w:right="439" w:bottom="1440" w:gutter="0" w:footer="0" w:header="0"/>
          <w:type w:val="continuous"/>
        </w:sectPr>
      </w:pPr>
    </w:p>
    <w:bookmarkStart w:id="46" w:name="page47"/>
    <w:bookmarkEnd w:id="46"/>
    <w:p>
      <w:pPr>
        <w:ind w:left="4"/>
        <w:spacing w:after="0" w:line="308" w:lineRule="auto"/>
        <w:rPr>
          <w:sz w:val="20"/>
          <w:szCs w:val="20"/>
          <w:color w:val="auto"/>
        </w:rPr>
      </w:pPr>
      <w:r>
        <w:rPr>
          <w:rFonts w:ascii="Arial" w:cs="Arial" w:eastAsia="Arial" w:hAnsi="Arial"/>
          <w:sz w:val="17"/>
          <w:szCs w:val="17"/>
          <w:color w:val="auto"/>
        </w:rPr>
        <w:t>Offer to Repurchase upon a Change of Control Repurchase Event</w:t>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Arial" w:cs="Arial" w:eastAsia="Arial" w:hAnsi="Arial"/>
          <w:sz w:val="18"/>
          <w:szCs w:val="18"/>
          <w:color w:val="auto"/>
        </w:rPr>
        <w:t>If a Change of Control Repurchase Event (as defined in the Preliminary Prospectus) occurs prior to maturity, unless PNNT has exercised its right to redeem the Notes in full, holders of the Notes will have the right, at their option, to require PNNT to repurchase for cash some or all of the Notes at a repurchase price equal to 100% of the principal amount of the Notes being repurchased, plus accrued and unpaid interest to, but not including,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-856615</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784" w:space="200"/>
            <w:col w:w="8000"/>
          </w:cols>
          <w:pgMar w:left="436" w:top="382" w:right="479" w:bottom="1440" w:gutter="0" w:footer="0" w:header="0"/>
        </w:sectPr>
      </w:pPr>
    </w:p>
    <w:p>
      <w:pPr>
        <w:ind w:left="4"/>
        <w:spacing w:after="0"/>
        <w:tabs>
          <w:tab w:leader="none" w:pos="2964" w:val="left"/>
        </w:tabs>
        <w:rPr>
          <w:sz w:val="20"/>
          <w:szCs w:val="20"/>
          <w:color w:val="auto"/>
        </w:rPr>
      </w:pPr>
      <w:r>
        <w:rPr>
          <w:rFonts w:ascii="Arial" w:cs="Arial" w:eastAsia="Arial" w:hAnsi="Arial"/>
          <w:sz w:val="18"/>
          <w:szCs w:val="18"/>
          <w:color w:val="auto"/>
        </w:rPr>
        <w:t>Make-Whole Redemption:</w:t>
      </w:r>
      <w:r>
        <w:rPr>
          <w:sz w:val="20"/>
          <w:szCs w:val="20"/>
          <w:color w:val="auto"/>
        </w:rPr>
        <w:tab/>
      </w:r>
      <w:r>
        <w:rPr>
          <w:rFonts w:ascii="Arial" w:cs="Arial" w:eastAsia="Arial" w:hAnsi="Arial"/>
          <w:sz w:val="16"/>
          <w:szCs w:val="16"/>
          <w:color w:val="auto"/>
        </w:rPr>
        <w:t>Equal to the greater of the following amounts:</w:t>
      </w:r>
    </w:p>
    <w:p>
      <w:pPr>
        <w:spacing w:after="0" w:line="131" w:lineRule="exact"/>
        <w:rPr>
          <w:sz w:val="20"/>
          <w:szCs w:val="20"/>
          <w:color w:val="auto"/>
        </w:rPr>
      </w:pPr>
    </w:p>
    <w:p>
      <w:pPr>
        <w:ind w:left="3064"/>
        <w:spacing w:after="0"/>
        <w:tabs>
          <w:tab w:leader="none" w:pos="3304" w:val="left"/>
        </w:tabs>
        <w:rPr>
          <w:sz w:val="20"/>
          <w:szCs w:val="20"/>
          <w:color w:val="auto"/>
        </w:rPr>
      </w:pPr>
      <w:r>
        <w:rPr>
          <w:rFonts w:ascii="Arial" w:cs="Arial" w:eastAsia="Arial" w:hAnsi="Arial"/>
          <w:sz w:val="18"/>
          <w:szCs w:val="18"/>
          <w:color w:val="auto"/>
        </w:rPr>
        <w:t>•</w:t>
        <w:tab/>
        <w:t>100% of the principal amount of the Notes to be redeemed, or</w:t>
      </w:r>
    </w:p>
    <w:p>
      <w:pPr>
        <w:spacing w:after="0" w:line="131" w:lineRule="exact"/>
        <w:rPr>
          <w:sz w:val="20"/>
          <w:szCs w:val="20"/>
          <w:color w:val="auto"/>
        </w:rPr>
      </w:pPr>
    </w:p>
    <w:p>
      <w:pPr>
        <w:ind w:left="3064"/>
        <w:spacing w:after="0"/>
        <w:tabs>
          <w:tab w:leader="none" w:pos="3304" w:val="left"/>
        </w:tabs>
        <w:rPr>
          <w:sz w:val="20"/>
          <w:szCs w:val="20"/>
          <w:color w:val="auto"/>
        </w:rPr>
      </w:pPr>
      <w:r>
        <w:rPr>
          <w:rFonts w:ascii="Arial" w:cs="Arial" w:eastAsia="Arial" w:hAnsi="Arial"/>
          <w:sz w:val="16"/>
          <w:szCs w:val="16"/>
          <w:color w:val="auto"/>
        </w:rPr>
        <w:t>•</w:t>
        <w:tab/>
        <w:t>the sum of the present values of the remaining scheduled payments of principal and interest (exclusive of</w:t>
      </w:r>
    </w:p>
    <w:p>
      <w:pPr>
        <w:spacing w:after="0" w:line="46" w:lineRule="exact"/>
        <w:rPr>
          <w:sz w:val="20"/>
          <w:szCs w:val="20"/>
          <w:color w:val="auto"/>
        </w:rPr>
      </w:pPr>
    </w:p>
    <w:p>
      <w:pPr>
        <w:ind w:left="3344" w:right="220"/>
        <w:spacing w:after="0" w:line="255" w:lineRule="auto"/>
        <w:rPr>
          <w:sz w:val="20"/>
          <w:szCs w:val="20"/>
          <w:color w:val="auto"/>
        </w:rPr>
      </w:pPr>
      <w:r>
        <w:rPr>
          <w:rFonts w:ascii="Arial" w:cs="Arial" w:eastAsia="Arial" w:hAnsi="Arial"/>
          <w:sz w:val="18"/>
          <w:szCs w:val="18"/>
          <w:color w:val="auto"/>
        </w:rPr>
        <w:t>accrued and unpaid interest to the date of redemption) on the Notes to be redeemed, discounted to the redemption date on a semi-annual basis (assuming a 360-day year consisting of twelve 30-day months) using the applicable Treasury Rate plus 50 basis points,</w:t>
      </w:r>
    </w:p>
    <w:p>
      <w:pPr>
        <w:spacing w:after="0" w:line="217" w:lineRule="exact"/>
        <w:rPr>
          <w:sz w:val="20"/>
          <w:szCs w:val="20"/>
          <w:color w:val="auto"/>
        </w:rPr>
      </w:pPr>
    </w:p>
    <w:p>
      <w:pPr>
        <w:ind w:left="2984" w:right="40"/>
        <w:spacing w:after="0" w:line="301" w:lineRule="auto"/>
        <w:rPr>
          <w:sz w:val="20"/>
          <w:szCs w:val="20"/>
          <w:color w:val="auto"/>
        </w:rPr>
      </w:pPr>
      <w:r>
        <w:rPr>
          <w:rFonts w:ascii="Arial" w:cs="Arial" w:eastAsia="Arial" w:hAnsi="Arial"/>
          <w:sz w:val="16"/>
          <w:szCs w:val="16"/>
          <w:color w:val="auto"/>
        </w:rPr>
        <w:t xml:space="preserve">plus, in each case, accrued and unpaid interest to, but not including, the redemption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PNNT redeems any Notes on or after August 1, 2026 (the date falling three months prior to the maturity date of the Notes), the redemption price for the Notes will be equal to 100% of the principal amount of the Notes to be redeemed, plus accrued and unpaid interest, if any, to, but not including, the date of redemption</w:t>
      </w:r>
    </w:p>
    <w:p>
      <w:pPr>
        <w:spacing w:after="0" w:line="63"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Denomination:</w:t>
      </w:r>
      <w:r>
        <w:rPr>
          <w:sz w:val="20"/>
          <w:szCs w:val="20"/>
          <w:color w:val="auto"/>
        </w:rPr>
        <w:tab/>
      </w: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708062 AD6</w:t>
      </w:r>
    </w:p>
    <w:p>
      <w:pPr>
        <w:spacing w:after="0" w:line="117"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ISIN:</w:t>
      </w:r>
      <w:r>
        <w:rPr>
          <w:sz w:val="20"/>
          <w:szCs w:val="20"/>
          <w:color w:val="auto"/>
        </w:rPr>
        <w:tab/>
      </w:r>
      <w:r>
        <w:rPr>
          <w:rFonts w:ascii="Arial" w:cs="Arial" w:eastAsia="Arial" w:hAnsi="Arial"/>
          <w:sz w:val="18"/>
          <w:szCs w:val="18"/>
          <w:color w:val="auto"/>
        </w:rPr>
        <w:t>US708062AD65</w:t>
      </w:r>
    </w:p>
    <w:p>
      <w:pPr>
        <w:spacing w:after="0" w:line="117"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Underwriting Discount</w:t>
      </w:r>
      <w:r>
        <w:rPr>
          <w:sz w:val="20"/>
          <w:szCs w:val="20"/>
          <w:color w:val="auto"/>
        </w:rPr>
        <w:tab/>
      </w:r>
      <w:r>
        <w:rPr>
          <w:rFonts w:ascii="Arial" w:cs="Arial" w:eastAsia="Arial" w:hAnsi="Arial"/>
          <w:sz w:val="16"/>
          <w:szCs w:val="16"/>
          <w:color w:val="auto"/>
        </w:rPr>
        <w:t>2.00%</w:t>
      </w:r>
    </w:p>
    <w:p>
      <w:pPr>
        <w:spacing w:after="0" w:line="117"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Joint Book-Running Managers:</w:t>
      </w:r>
      <w:r>
        <w:rPr>
          <w:sz w:val="20"/>
          <w:szCs w:val="20"/>
          <w:color w:val="auto"/>
        </w:rPr>
        <w:tab/>
      </w:r>
      <w:r>
        <w:rPr>
          <w:rFonts w:ascii="Arial" w:cs="Arial" w:eastAsia="Arial" w:hAnsi="Arial"/>
          <w:sz w:val="16"/>
          <w:szCs w:val="16"/>
          <w:color w:val="auto"/>
        </w:rPr>
        <w:t>Raymond James &amp; Associates, Inc.</w:t>
      </w:r>
    </w:p>
    <w:p>
      <w:pPr>
        <w:spacing w:after="0" w:line="23" w:lineRule="exact"/>
        <w:rPr>
          <w:sz w:val="20"/>
          <w:szCs w:val="20"/>
          <w:color w:val="auto"/>
        </w:rPr>
      </w:pPr>
    </w:p>
    <w:p>
      <w:pPr>
        <w:ind w:left="2984"/>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ind w:left="2984"/>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ind w:left="2984"/>
        <w:spacing w:after="0"/>
        <w:rPr>
          <w:sz w:val="20"/>
          <w:szCs w:val="20"/>
          <w:color w:val="auto"/>
        </w:rPr>
      </w:pPr>
      <w:r>
        <w:rPr>
          <w:rFonts w:ascii="Arial" w:cs="Arial" w:eastAsia="Arial" w:hAnsi="Arial"/>
          <w:sz w:val="18"/>
          <w:szCs w:val="18"/>
          <w:color w:val="auto"/>
        </w:rPr>
        <w:t>J.P. Morgan Securities LLC</w:t>
      </w:r>
    </w:p>
    <w:p>
      <w:pPr>
        <w:spacing w:after="0" w:line="116" w:lineRule="exact"/>
        <w:rPr>
          <w:sz w:val="20"/>
          <w:szCs w:val="20"/>
          <w:color w:val="auto"/>
        </w:rPr>
      </w:pPr>
    </w:p>
    <w:p>
      <w:pPr>
        <w:ind w:left="4"/>
        <w:spacing w:after="0"/>
        <w:tabs>
          <w:tab w:leader="none" w:pos="2964"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Compass Point Research &amp; Trading, LLC</w:t>
      </w:r>
    </w:p>
    <w:p>
      <w:pPr>
        <w:spacing w:after="0" w:line="23" w:lineRule="exact"/>
        <w:rPr>
          <w:sz w:val="20"/>
          <w:szCs w:val="20"/>
          <w:color w:val="auto"/>
        </w:rPr>
      </w:pPr>
    </w:p>
    <w:p>
      <w:pPr>
        <w:ind w:left="2984"/>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ind w:left="2984"/>
        <w:spacing w:after="0"/>
        <w:rPr>
          <w:sz w:val="20"/>
          <w:szCs w:val="20"/>
          <w:color w:val="auto"/>
        </w:rPr>
      </w:pPr>
      <w:r>
        <w:rPr>
          <w:rFonts w:ascii="Arial" w:cs="Arial" w:eastAsia="Arial" w:hAnsi="Arial"/>
          <w:sz w:val="18"/>
          <w:szCs w:val="18"/>
          <w:color w:val="auto"/>
        </w:rPr>
        <w:t>Ladenburg Thalmann &amp; Co. Inc.</w:t>
      </w:r>
    </w:p>
    <w:p>
      <w:pPr>
        <w:spacing w:after="0" w:line="9" w:lineRule="exact"/>
        <w:rPr>
          <w:sz w:val="20"/>
          <w:szCs w:val="20"/>
          <w:color w:val="auto"/>
        </w:rPr>
      </w:pPr>
    </w:p>
    <w:p>
      <w:pPr>
        <w:ind w:left="2984"/>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7"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35" w:lineRule="exact"/>
        <w:rPr>
          <w:sz w:val="20"/>
          <w:szCs w:val="20"/>
          <w:color w:val="auto"/>
        </w:rPr>
      </w:pPr>
    </w:p>
    <w:p>
      <w:pPr>
        <w:ind w:left="424" w:hanging="424"/>
        <w:spacing w:after="0" w:line="252"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PNNT expects that delivery of the Notes will be made to investors on or about October 21, 2021, which will be the fifth business day following the date of pricing of the notes (such settlement cycle being herein referred to as “T+5”). Under Rule 15c6-1 under the Securities Exchange Act of 1934, as amended, trades in the secondary market generally are required to settle in two business days, unless the parties to any such trade expressly agree otherwise. Accordingly, purchasers who wish to trade notes on any date prior to the second business day before delivery will be required, by virtue of the fact that the notes initially will settle T+5, to specify an alternate settlement cycle at the time of any such trade to prevent a failed settlement. Purchasers of notes who wish to trade notes prior to the second business day prior to the date of delivery should consult their own advisors.</w:t>
      </w:r>
    </w:p>
    <w:p>
      <w:pPr>
        <w:sectPr>
          <w:pgSz w:w="11900" w:h="16838" w:orient="portrait"/>
          <w:cols w:equalWidth="0" w:num="1">
            <w:col w:w="10984"/>
          </w:cols>
          <w:pgMar w:left="436" w:top="382" w:right="479" w:bottom="1440" w:gutter="0" w:footer="0" w:header="0"/>
          <w:type w:val="continuous"/>
        </w:sectPr>
      </w:pPr>
    </w:p>
    <w:bookmarkStart w:id="47" w:name="page48"/>
    <w:bookmarkEnd w:id="47"/>
    <w:p>
      <w:pPr>
        <w:ind w:right="12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 are advised to carefully consider the investment objectives, risks, charges and expenses of PNNT before investing. The preliminary prospectus supplement, dated October 14, 2021, and the accompanying prospectus, dated January 30, 2020, each of which has been filed with the Securities and Exchange Commission (the “SEC”), contain this and other information about PNNT and should be read carefully before investing.</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PNNT and are not soliciting an offer to buy such securities in any state or jurisdiction where such offer and sale is not permitted.</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 xml:space="preserve">PNNT’s shelf registration statement is on file and has been declared effective by the SEC. The offering may be made only by means of a preliminary prospectus supplement and an accompanying prospectus. Before you invest, you should read the preliminary prospectus supplement, dated October 14, 2021, the accompanying prospectus dated, January 30, 2020 and other documents PNNT has filed with the SEC for more complete information about PNNT and this offering. You may obtain these documents for free by visiting EDGAR on the SEC web 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Alternatively, PNNT, any underwriter or any dealer participating in the offering will arrange to send you the prospectus supplement and accompanying prospectus if you request it from any of the following: Raymond James &amp; Associates, Inc., 880 Carillon Parkway, St. Petersburg, FL 33716, email: prospectus@raymondjames.com, telephone: 800-248-8863; Keefe, Bruyette &amp; Woods, </w:t>
      </w:r>
      <w:r>
        <w:rPr>
          <w:rFonts w:ascii="Arial" w:cs="Arial" w:eastAsia="Arial" w:hAnsi="Arial"/>
          <w:sz w:val="16"/>
          <w:szCs w:val="16"/>
          <w:b w:val="1"/>
          <w:bCs w:val="1"/>
          <w:i w:val="1"/>
          <w:iCs w:val="1"/>
          <w:color w:val="auto"/>
        </w:rPr>
        <w:t>A Stifel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Company</w:t>
      </w:r>
      <w:r>
        <w:rPr>
          <w:rFonts w:ascii="Arial" w:cs="Arial" w:eastAsia="Arial" w:hAnsi="Arial"/>
          <w:sz w:val="16"/>
          <w:szCs w:val="16"/>
          <w:b w:val="1"/>
          <w:bCs w:val="1"/>
          <w:color w:val="auto"/>
        </w:rPr>
        <w:t>, Attn: Prospectus Department, 787 Seventh Avenue, Fourth Floor, New York, NY 10019, telephone: 1-800-966-1559, facsimile: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1-212-581-1592 or email: USCapitalMarkets@kbw.com; and Truist Securities, Inc., Attn: Prospectus Department, 303 Peachtree Road,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Atlanta, GA 30308, telephone: 1-800-685-4786 or email: TSIDocs@Truist.com.</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1"/>
    </w:lvl>
    <w:lvl w:ilvl="1">
      <w:lvlJc w:val="left"/>
      <w:lvlText w:val="(%2)"/>
      <w:numFmt w:val="lowerLetter"/>
      <w:start w:val="1"/>
    </w:lvl>
  </w:abstractNum>
  <w:abstractNum w:abstractNumId="2">
    <w:nsid w:val="3A95F874"/>
    <w:multiLevelType w:val="hybridMultilevel"/>
    <w:lvl w:ilvl="0">
      <w:lvlJc w:val="left"/>
      <w:lvlText w:val="(%1)"/>
      <w:numFmt w:val="lowerLetter"/>
      <w:start w:val="9"/>
    </w:lvl>
    <w:lvl w:ilvl="1">
      <w:lvlJc w:val="left"/>
      <w:lvlText w:val="%2"/>
      <w:numFmt w:val="lowerLetter"/>
      <w:start w:val="1"/>
    </w:lvl>
  </w:abstractNum>
  <w:abstractNum w:abstractNumId="3">
    <w:nsid w:val="8138641"/>
    <w:multiLevelType w:val="hybridMultilevel"/>
    <w:lvl w:ilvl="0">
      <w:lvlJc w:val="left"/>
      <w:lvlText w:val="(%1)"/>
      <w:numFmt w:val="lowerRoman"/>
      <w:start w:val="2"/>
    </w:lvl>
  </w:abstractNum>
  <w:abstractNum w:abstractNumId="4">
    <w:nsid w:val="1E7FF521"/>
    <w:multiLevelType w:val="hybridMultilevel"/>
    <w:lvl w:ilvl="0">
      <w:lvlJc w:val="left"/>
      <w:lvlText w:val="(%1)"/>
      <w:numFmt w:val="lowerRoman"/>
      <w:start w:val="2"/>
    </w:lvl>
  </w:abstractNum>
  <w:abstractNum w:abstractNumId="5">
    <w:nsid w:val="7C3DBD3D"/>
    <w:multiLevelType w:val="hybridMultilevel"/>
    <w:lvl w:ilvl="0">
      <w:lvlJc w:val="left"/>
      <w:lvlText w:val="(%1)"/>
      <w:numFmt w:val="lowerRoman"/>
      <w:start w:val="3"/>
    </w:lvl>
  </w:abstractNum>
  <w:abstractNum w:abstractNumId="6">
    <w:nsid w:val="737B8DDC"/>
    <w:multiLevelType w:val="hybridMultilevel"/>
    <w:lvl w:ilvl="0">
      <w:lvlJc w:val="left"/>
      <w:lvlText w:val="(%1)"/>
      <w:numFmt w:val="lowerRoman"/>
      <w:start w:val="5"/>
    </w:lvl>
  </w:abstractNum>
  <w:abstractNum w:abstractNumId="7">
    <w:nsid w:val="6CEAF087"/>
    <w:multiLevelType w:val="hybridMultilevel"/>
    <w:lvl w:ilvl="0">
      <w:lvlJc w:val="left"/>
      <w:lvlText w:val="(%1)"/>
      <w:numFmt w:val="lowerRoman"/>
      <w:start w:val="6"/>
    </w:lvl>
  </w:abstractNum>
  <w:abstractNum w:abstractNumId="8">
    <w:nsid w:val="22221A70"/>
    <w:multiLevelType w:val="hybridMultilevel"/>
    <w:lvl w:ilvl="0">
      <w:lvlJc w:val="left"/>
      <w:lvlText w:val="(%1)"/>
      <w:numFmt w:val="lowerRoman"/>
      <w:start w:val="10"/>
    </w:lvl>
  </w:abstractNum>
  <w:abstractNum w:abstractNumId="9">
    <w:nsid w:val="4516DDE9"/>
    <w:multiLevelType w:val="hybridMultilevel"/>
    <w:lvl w:ilvl="0">
      <w:lvlJc w:val="left"/>
      <w:lvlText w:val="(%1)"/>
      <w:numFmt w:val="lowerRoman"/>
      <w:start w:val="12"/>
    </w:lvl>
    <w:lvl w:ilvl="1">
      <w:lvlJc w:val="left"/>
      <w:lvlText w:val="(%2)"/>
      <w:numFmt w:val="lowerLetter"/>
      <w:start w:val="1"/>
    </w:lvl>
    <w:lvl w:ilvl="2">
      <w:lvlJc w:val="left"/>
      <w:lvlText w:val="(%3)"/>
      <w:numFmt w:val="lowerRoman"/>
      <w:start w:val="1"/>
    </w:lvl>
  </w:abstractNum>
  <w:abstractNum w:abstractNumId="10">
    <w:nsid w:val="3006C83E"/>
    <w:multiLevelType w:val="hybridMultilevel"/>
    <w:lvl w:ilvl="0">
      <w:lvlJc w:val="left"/>
      <w:lvlText w:val="(%1)"/>
      <w:numFmt w:val="lowerRoman"/>
      <w:start w:val="15"/>
    </w:lvl>
  </w:abstractNum>
  <w:abstractNum w:abstractNumId="11">
    <w:nsid w:val="614FD4A1"/>
    <w:multiLevelType w:val="hybridMultilevel"/>
    <w:lvl w:ilvl="0">
      <w:lvlJc w:val="left"/>
      <w:lvlText w:val="(%1)"/>
      <w:numFmt w:val="lowerRoman"/>
      <w:start w:val="17"/>
    </w:lvl>
  </w:abstractNum>
  <w:abstractNum w:abstractNumId="12">
    <w:nsid w:val="419AC241"/>
    <w:multiLevelType w:val="hybridMultilevel"/>
    <w:lvl w:ilvl="0">
      <w:lvlJc w:val="left"/>
      <w:lvlText w:val="(%1)"/>
      <w:numFmt w:val="lowerRoman"/>
      <w:start w:val="22"/>
    </w:lvl>
  </w:abstractNum>
  <w:abstractNum w:abstractNumId="13">
    <w:nsid w:val="5577F8E1"/>
    <w:multiLevelType w:val="hybridMultilevel"/>
    <w:lvl w:ilvl="0">
      <w:lvlJc w:val="left"/>
      <w:lvlText w:val="(%1)"/>
      <w:numFmt w:val="lowerRoman"/>
      <w:start w:val="25"/>
    </w:lvl>
  </w:abstractNum>
  <w:abstractNum w:abstractNumId="14">
    <w:nsid w:val="440BADFC"/>
    <w:multiLevelType w:val="hybridMultilevel"/>
    <w:lvl w:ilvl="0">
      <w:lvlJc w:val="left"/>
      <w:lvlText w:val="(%1)"/>
      <w:numFmt w:val="lowerRoman"/>
      <w:start w:val="30"/>
    </w:lvl>
  </w:abstractNum>
  <w:abstractNum w:abstractNumId="15">
    <w:nsid w:val="5072367"/>
    <w:multiLevelType w:val="hybridMultilevel"/>
    <w:lvl w:ilvl="0">
      <w:lvlJc w:val="left"/>
      <w:lvlText w:val="(%1)"/>
      <w:numFmt w:val="lowerRoman"/>
      <w:start w:val="1"/>
    </w:lvl>
  </w:abstractNum>
  <w:abstractNum w:abstractNumId="16">
    <w:nsid w:val="3804823E"/>
    <w:multiLevelType w:val="hybridMultilevel"/>
    <w:lvl w:ilvl="0">
      <w:lvlJc w:val="left"/>
      <w:lvlText w:val="(%1)"/>
      <w:numFmt w:val="lowerRoman"/>
      <w:start w:val="33"/>
    </w:lvl>
  </w:abstractNum>
  <w:abstractNum w:abstractNumId="17">
    <w:nsid w:val="77465F01"/>
    <w:multiLevelType w:val="hybridMultilevel"/>
    <w:lvl w:ilvl="0">
      <w:lvlJc w:val="left"/>
      <w:lvlText w:val="(%1)"/>
      <w:numFmt w:val="lowerRoman"/>
      <w:start w:val="34"/>
    </w:lvl>
  </w:abstractNum>
  <w:abstractNum w:abstractNumId="18">
    <w:nsid w:val="7724C67E"/>
    <w:multiLevelType w:val="hybridMultilevel"/>
    <w:lvl w:ilvl="0">
      <w:lvlJc w:val="left"/>
      <w:lvlText w:val="(%1)"/>
      <w:numFmt w:val="lowerRoman"/>
      <w:start w:val="39"/>
    </w:lvl>
  </w:abstractNum>
  <w:abstractNum w:abstractNumId="19">
    <w:nsid w:val="5C482A97"/>
    <w:multiLevelType w:val="hybridMultilevel"/>
    <w:lvl w:ilvl="0">
      <w:lvlJc w:val="left"/>
      <w:lvlText w:val="(%1)"/>
      <w:numFmt w:val="lowerLetter"/>
      <w:start w:val="2"/>
    </w:lvl>
  </w:abstractNum>
  <w:abstractNum w:abstractNumId="20">
    <w:nsid w:val="2463B9EA"/>
    <w:multiLevelType w:val="hybridMultilevel"/>
    <w:lvl w:ilvl="0">
      <w:lvlJc w:val="left"/>
      <w:lvlText w:val="(%1)"/>
      <w:numFmt w:val="lowerRoman"/>
      <w:start w:val="1"/>
    </w:lvl>
  </w:abstractNum>
  <w:abstractNum w:abstractNumId="21">
    <w:nsid w:val="5E884ADC"/>
    <w:multiLevelType w:val="hybridMultilevel"/>
    <w:lvl w:ilvl="0">
      <w:lvlJc w:val="left"/>
      <w:lvlText w:val="(%1)"/>
      <w:numFmt w:val="lowerRoman"/>
      <w:start w:val="4"/>
    </w:lvl>
  </w:abstractNum>
  <w:abstractNum w:abstractNumId="22">
    <w:nsid w:val="51EAD36B"/>
    <w:multiLevelType w:val="hybridMultilevel"/>
    <w:lvl w:ilvl="0">
      <w:lvlJc w:val="left"/>
      <w:lvlText w:val="(%1)"/>
      <w:numFmt w:val="lowerRoman"/>
      <w:start w:val="7"/>
    </w:lvl>
  </w:abstractNum>
  <w:abstractNum w:abstractNumId="23">
    <w:nsid w:val="2D517796"/>
    <w:multiLevelType w:val="hybridMultilevel"/>
    <w:lvl w:ilvl="0">
      <w:lvlJc w:val="left"/>
      <w:lvlText w:val="(%1)"/>
      <w:numFmt w:val="lowerRoman"/>
      <w:start w:val="1"/>
    </w:lvl>
  </w:abstractNum>
  <w:abstractNum w:abstractNumId="24">
    <w:nsid w:val="580BD78F"/>
    <w:multiLevelType w:val="hybridMultilevel"/>
    <w:lvl w:ilvl="0">
      <w:lvlJc w:val="left"/>
      <w:lvlText w:val="(%1)"/>
      <w:numFmt w:val="lowerRoman"/>
      <w:start w:val="9"/>
    </w:lvl>
  </w:abstractNum>
  <w:abstractNum w:abstractNumId="25">
    <w:nsid w:val="153EA438"/>
    <w:multiLevelType w:val="hybridMultilevel"/>
    <w:lvl w:ilvl="0">
      <w:lvlJc w:val="left"/>
      <w:lvlText w:val="(%1)"/>
      <w:numFmt w:val="lowerRoman"/>
      <w:start w:val="12"/>
    </w:lvl>
  </w:abstractNum>
  <w:abstractNum w:abstractNumId="26">
    <w:nsid w:val="3855585C"/>
    <w:multiLevelType w:val="hybridMultilevel"/>
    <w:lvl w:ilvl="0">
      <w:lvlJc w:val="left"/>
      <w:lvlText w:val="(%1)"/>
      <w:numFmt w:val="lowerRoman"/>
      <w:start w:val="16"/>
    </w:lvl>
  </w:abstractNum>
  <w:abstractNum w:abstractNumId="27">
    <w:nsid w:val="70A64E2A"/>
    <w:multiLevelType w:val="hybridMultilevel"/>
    <w:lvl w:ilvl="0">
      <w:lvlJc w:val="left"/>
      <w:lvlText w:val="(%1)"/>
      <w:numFmt w:val="lowerLetter"/>
      <w:start w:val="3"/>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3"/>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2"/>
    </w:lvl>
  </w:abstractNum>
  <w:abstractNum w:abstractNumId="32">
    <w:nsid w:val="2CD89A32"/>
    <w:multiLevelType w:val="hybridMultilevel"/>
    <w:lvl w:ilvl="0">
      <w:lvlJc w:val="left"/>
      <w:lvlText w:val="(%1)"/>
      <w:numFmt w:val="lowerLetter"/>
      <w:start w:val="4"/>
    </w:lvl>
  </w:abstractNum>
  <w:abstractNum w:abstractNumId="33">
    <w:nsid w:val="57E4CCAF"/>
    <w:multiLevelType w:val="hybridMultilevel"/>
    <w:lvl w:ilvl="0">
      <w:lvlJc w:val="left"/>
      <w:lvlText w:val="(%1)"/>
      <w:numFmt w:val="lowerLetter"/>
      <w:start w:val="9"/>
    </w:lvl>
  </w:abstractNum>
  <w:abstractNum w:abstractNumId="34">
    <w:nsid w:val="7A6D8D3C"/>
    <w:multiLevelType w:val="hybridMultilevel"/>
    <w:lvl w:ilvl="0">
      <w:lvlJc w:val="left"/>
      <w:lvlText w:val="(%1)"/>
      <w:numFmt w:val="lowerLetter"/>
      <w:start w:val="15"/>
    </w:lvl>
  </w:abstractNum>
  <w:abstractNum w:abstractNumId="35">
    <w:nsid w:val="4B588F54"/>
    <w:multiLevelType w:val="hybridMultilevel"/>
    <w:lvl w:ilvl="0">
      <w:lvlJc w:val="left"/>
      <w:lvlText w:val="(%1)"/>
      <w:numFmt w:val="lowerRoman"/>
      <w:start w:val="1"/>
    </w:lvl>
  </w:abstractNum>
  <w:abstractNum w:abstractNumId="36">
    <w:nsid w:val="542289EC"/>
    <w:multiLevelType w:val="hybridMultilevel"/>
    <w:lvl w:ilvl="0">
      <w:lvlJc w:val="left"/>
      <w:lvlText w:val="(%1)"/>
      <w:numFmt w:val="lowerLetter"/>
      <w:start w:val="2"/>
    </w:lvl>
  </w:abstractNum>
  <w:abstractNum w:abstractNumId="37">
    <w:nsid w:val="6DE91B18"/>
    <w:multiLevelType w:val="hybridMultilevel"/>
    <w:lvl w:ilvl="0">
      <w:lvlJc w:val="left"/>
      <w:lvlText w:val="(%1)"/>
      <w:numFmt w:val="lowerLetter"/>
      <w:start w:val="6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3"/>
    </w:lvl>
  </w:abstractNum>
  <w:abstractNum w:abstractNumId="40">
    <w:nsid w:val="32FFF902"/>
    <w:multiLevelType w:val="hybridMultilevel"/>
    <w:lvl w:ilvl="0">
      <w:lvlJc w:val="left"/>
      <w:lvlText w:val="(%1)"/>
      <w:numFmt w:val="lowerRoman"/>
      <w:start w:val="1"/>
    </w:lvl>
  </w:abstractNum>
  <w:abstractNum w:abstractNumId="41">
    <w:nsid w:val="684A481A"/>
    <w:multiLevelType w:val="hybridMultilevel"/>
    <w:lvl w:ilvl="0">
      <w:lvlJc w:val="left"/>
      <w:lvlText w:val="(%1)"/>
      <w:numFmt w:val="lowerLetter"/>
      <w:start w:val="5"/>
    </w:lvl>
  </w:abstractNum>
  <w:abstractNum w:abstractNumId="42">
    <w:nsid w:val="579478FE"/>
    <w:multiLevelType w:val="hybridMultilevel"/>
    <w:lvl w:ilvl="0">
      <w:lvlJc w:val="left"/>
      <w:lvlText w:val="(%1)"/>
      <w:numFmt w:val="lowerLetter"/>
      <w:start w:val="6"/>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Roman"/>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lowerLetter"/>
      <w:start w:val="3"/>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2"/>
    </w:lvl>
  </w:abstractNum>
  <w:abstractNum w:abstractNumId="49">
    <w:nsid w:val="70C6A529"/>
    <w:multiLevelType w:val="hybridMultilevel"/>
    <w:lvl w:ilvl="0">
      <w:lvlJc w:val="left"/>
      <w:lvlText w:val="(%1)"/>
      <w:numFmt w:val="lowerLetter"/>
      <w:start w:val="4"/>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1"/>
    </w:lvl>
    <w:lvl w:ilvl="1">
      <w:lvlJc w:val="left"/>
      <w:lvlText w:val="(%2)"/>
      <w:numFmt w:val="lowerLetter"/>
      <w:start w:val="2"/>
    </w:lvl>
  </w:abstractNum>
  <w:abstractNum w:abstractNumId="52">
    <w:nsid w:val="4F4EF005"/>
    <w:multiLevelType w:val="hybridMultilevel"/>
    <w:lvl w:ilvl="0">
      <w:lvlJc w:val="left"/>
      <w:lvlText w:val="(%1)"/>
      <w:numFmt w:val="lowerLetter"/>
      <w:start w:val="9"/>
    </w:lvl>
    <w:lvl w:ilvl="1">
      <w:lvlJc w:val="left"/>
      <w:lvlText w:val="%2"/>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2021-10-19T15:27:37Z</dcterms:created>
  <dcterms:modified xsi:type="dcterms:W3CDTF">2021-10-19T15:27:37Z</dcterms:modified>
</cp:coreProperties>
</file>