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7,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August 7, 2019, PennantPark Investment Corporation issued a press release announcing its financial results for the third fiscal quarter ended June 30, 2019.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August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7, 2019</w:t>
            </w:r>
          </w:p>
        </w:tc>
        <w:tc>
          <w:tcPr>
            <w:tcW w:w="490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1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2019</w:t>
      </w:r>
    </w:p>
    <w:p>
      <w:pPr>
        <w:spacing w:after="0" w:line="21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NEW YORK, Aug. 07, 2019 (GLOBE NEWSWIRE) -- PennantPark Investment Corporation (NASDAQ: PNNT) announced today financial results for the third fiscal quarter ended June 30, 2019.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June 30, 2019</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8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7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w w:val="89"/>
              </w:rPr>
              <w:t>1,274.8</w:t>
            </w: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585.7</w:t>
            </w:r>
          </w:p>
        </w:tc>
      </w:tr>
      <w:tr>
        <w:trPr>
          <w:trHeight w:val="274"/>
        </w:trPr>
        <w:tc>
          <w:tcPr>
            <w:tcW w:w="580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8.74</w:t>
            </w:r>
          </w:p>
        </w:tc>
      </w:tr>
      <w:tr>
        <w:trPr>
          <w:trHeight w:val="536"/>
        </w:trPr>
        <w:tc>
          <w:tcPr>
            <w:tcW w:w="5800" w:type="dxa"/>
            <w:vAlign w:val="bottom"/>
          </w:tcPr>
          <w:p>
            <w:pPr>
              <w:ind w:left="100"/>
              <w:spacing w:after="0"/>
              <w:rPr>
                <w:sz w:val="20"/>
                <w:szCs w:val="20"/>
                <w:color w:val="auto"/>
              </w:rPr>
            </w:pPr>
            <w:r>
              <w:rPr>
                <w:rFonts w:ascii="Arial" w:cs="Arial" w:eastAsia="Arial" w:hAnsi="Arial"/>
                <w:sz w:val="22"/>
                <w:szCs w:val="22"/>
                <w:color w:val="auto"/>
              </w:rPr>
              <w:t>SunTrust Credit Facility</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372.1</w:t>
            </w: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BNP Credit Facility</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177.1</w:t>
            </w:r>
          </w:p>
        </w:tc>
      </w:tr>
      <w:tr>
        <w:trPr>
          <w:trHeight w:val="274"/>
        </w:trPr>
        <w:tc>
          <w:tcPr>
            <w:tcW w:w="5800" w:type="dxa"/>
            <w:vAlign w:val="bottom"/>
          </w:tcPr>
          <w:p>
            <w:pPr>
              <w:ind w:left="100"/>
              <w:spacing w:after="0"/>
              <w:rPr>
                <w:sz w:val="20"/>
                <w:szCs w:val="20"/>
                <w:color w:val="auto"/>
              </w:rPr>
            </w:pPr>
            <w:r>
              <w:rPr>
                <w:rFonts w:ascii="Arial" w:cs="Arial" w:eastAsia="Arial" w:hAnsi="Arial"/>
                <w:sz w:val="22"/>
                <w:szCs w:val="22"/>
                <w:color w:val="auto"/>
              </w:rPr>
              <w:t>SBA Debentures</w:t>
            </w:r>
          </w:p>
        </w:tc>
        <w:tc>
          <w:tcPr>
            <w:tcW w:w="17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146.0</w:t>
            </w:r>
          </w:p>
        </w:tc>
      </w:tr>
      <w:tr>
        <w:trPr>
          <w:trHeight w:val="540"/>
        </w:trPr>
        <w:tc>
          <w:tcPr>
            <w:tcW w:w="5800" w:type="dxa"/>
            <w:vAlign w:val="bottom"/>
          </w:tcPr>
          <w:p>
            <w:pPr>
              <w:ind w:left="100"/>
              <w:spacing w:after="0"/>
              <w:rPr>
                <w:sz w:val="20"/>
                <w:szCs w:val="20"/>
                <w:color w:val="auto"/>
              </w:rPr>
            </w:pPr>
            <w:r>
              <w:rPr>
                <w:rFonts w:ascii="Arial" w:cs="Arial" w:eastAsia="Arial" w:hAnsi="Arial"/>
                <w:sz w:val="22"/>
                <w:szCs w:val="22"/>
                <w:color w:val="auto"/>
              </w:rPr>
              <w:t>Yield on debt investments at quarter-end</w:t>
            </w:r>
          </w:p>
        </w:tc>
        <w:tc>
          <w:tcPr>
            <w:tcW w:w="1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1211"/>
        </w:trPr>
        <w:tc>
          <w:tcPr>
            <w:tcW w:w="5800" w:type="dxa"/>
            <w:vAlign w:val="bottom"/>
          </w:tcPr>
          <w:p>
            <w:pPr>
              <w:spacing w:after="0"/>
              <w:rPr>
                <w:sz w:val="20"/>
                <w:szCs w:val="20"/>
                <w:color w:val="auto"/>
              </w:rPr>
            </w:pPr>
            <w:r>
              <w:rPr>
                <w:rFonts w:ascii="Arial" w:cs="Arial" w:eastAsia="Arial" w:hAnsi="Arial"/>
                <w:sz w:val="22"/>
                <w:szCs w:val="22"/>
                <w:color w:val="auto"/>
              </w:rPr>
              <w:t>Operating Results:</w:t>
            </w: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0.17</w:t>
            </w:r>
          </w:p>
        </w:tc>
      </w:tr>
      <w:tr>
        <w:trPr>
          <w:trHeight w:val="274"/>
        </w:trPr>
        <w:tc>
          <w:tcPr>
            <w:tcW w:w="580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536"/>
        </w:trPr>
        <w:tc>
          <w:tcPr>
            <w:tcW w:w="5800" w:type="dxa"/>
            <w:vAlign w:val="bottom"/>
          </w:tcPr>
          <w:p>
            <w:pPr>
              <w:spacing w:after="0"/>
              <w:rPr>
                <w:sz w:val="20"/>
                <w:szCs w:val="20"/>
                <w:color w:val="auto"/>
              </w:rPr>
            </w:pPr>
            <w:r>
              <w:rPr>
                <w:rFonts w:ascii="Arial" w:cs="Arial" w:eastAsia="Arial" w:hAnsi="Arial"/>
                <w:sz w:val="22"/>
                <w:szCs w:val="22"/>
                <w:color w:val="auto"/>
              </w:rPr>
              <w:t>Portfolio Activity:</w:t>
            </w: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116.4</w:t>
            </w:r>
          </w:p>
        </w:tc>
      </w:tr>
      <w:tr>
        <w:trPr>
          <w:trHeight w:val="274"/>
        </w:trPr>
        <w:tc>
          <w:tcPr>
            <w:tcW w:w="580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84.7</w:t>
            </w:r>
          </w:p>
        </w:tc>
      </w:tr>
      <w:tr>
        <w:trPr>
          <w:trHeight w:val="536"/>
        </w:trPr>
        <w:tc>
          <w:tcPr>
            <w:tcW w:w="580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1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580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17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580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17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11:00 A.M. EST ON AUGUST 8, 2019</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Investment Corporation (“we,” “our,” “us” or the “Company”) will host a conference call at 11:00 a.m. (Eastern Standard Time) on Thursday, August 8, 2019 to discuss its financial results. All interested parties are welcome to participate. You can access the conference call by dialing toll-free (800) 239-9838 approximately 5-10 minutes prior to the call. International callers should dial (323) 794-2551. All callers should reference PennantPark Investment Corporation. An archived replay of the call will be available through August 23, 2019 by calling toll-free (888) 203-1112. International callers please dial (719) 457-0820. For all phone replays, please reference conference ID #6277390.</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that we are making substantial progress toward enhancing our portfolio by moving into more senior secured positions, which we believe will result in even more steady and stable coverage of our dividend over time,” said Art Penn, Chairman and CEO. “Additionally, our earnings stream will continue to improve based on a gradual increase in our debt to equity ratio, while maintaining a prudent debt profile.”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June 30, 2019, our portfolio totaled $1,274.8 million and consisted of $750.0 million of first lien secured debt, $288.1 million of second lien secured debt, $58.3 million of subordinated debt and $178.4 million of preferred and common equity. Our debt portfolio consisted of 88% variable-rate investments and 12% fixed-rate investments. As of June 30, 2019, we had one portfolio company on non-accrual, respectively representing 1.5% and 0.7% of our overall portfolio on a cost and fair value basis. Overall, the portfolio had net unrealized depreciation of $58.9 million as of June 30, 2019. Our overall portfolio consisted of 68 companies with an average investment size of $18.7 million, had a weighted average yield on interest bearing debt</w:t>
      </w:r>
    </w:p>
    <w:p>
      <w:pPr>
        <w:sectPr>
          <w:pgSz w:w="11900" w:h="16962" w:orient="portrait"/>
          <w:cols w:equalWidth="0" w:num="1">
            <w:col w:w="11240"/>
          </w:cols>
          <w:pgMar w:left="320" w:top="112" w:right="339" w:bottom="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22"/>
          <w:szCs w:val="22"/>
          <w:color w:val="auto"/>
        </w:rPr>
        <w:t>investments of 10.1% and was invested 59% in first lien secured debt, 23% in second lien secured debt, 4% in subordinated debt and 14% in preferred and common equity.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2019, we invested $116.4 million in six new and 12 existing portfolio companies with a weighted average yield on debt investments of 10.3%. Sales and repayments of investments for the three months ended June 30, 2019 totaled $84.7 million. For the nine months ended June 30, 2019, we invested $494.8 million in 21 new and 38 existing portfolio companies with a weighted average yield on debt investments of 9.5 %. Sales and repayments of investments for the nine months ended June 30, 2019 totaled $325.6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2018, we invested $187.9 million in five new and 12 existing portfolio companies with a weighted average yield on debt investments of 10.5%. Sales and repayments of investments for the three months ended June 30, 2018 totaled $117.7 million. For the nine months ended June 30, 2018, we invested $423.3 million in 13 new and 25 existing portfolio companies with a weighted average yield on debt investments of 10.2%. Sales and repayments of investments for the nine months ended June 30, 2018 totaled $556.4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Investment income for the three and nine months ended June 30, 2019 was $28.1 million and $84.2 million, respectively, and was attributable to $16.7 million and $45.6 million from first lien secured debt, $9.2 million and $32.7 million from second lien secured debt and $2.2 million and $5.9 million from subordinated debt, respectively. This compares to investment income for the three and nine months ended June 30, 2018 of $24.8 million and $80.7 million, respectively, and was attributable to $11.4 million and $36.7 million from first lien secured debt, $12.2 million and $36.4 million from second lien secured debt and $1.2 million and $7.6 million from subordinated debt, preferred and common equity. The increase in investment income compared to the same periods in the prior year was primarily due to the growth of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Expenses for the three and nine months ended June 30, 2019 totaled $16.5 million and $49.2 million, respectively. Base management fee for the same periods totaled $4.7 million and $13.6 million, incentive fee totaled $2.5 million and $5.1 million, debt related interest and expenses totaled $7.8 million and $26.0 million (including $2.2 million of make-whole premium on the repayment of our 4.50% notes due 2019, or the 2019 Notes, and $2.7 million in debt issuance costs on our revolving credit facility with BNP Paribas, or the BNP Credit Facility), general and administrative expenses totaled $1.2 million and $3.6 million and provision for taxes totaled $0.3 million and $0.9 million, respectively. This compares to net expenses for the three and nine months ended June 30, 2018, which totaled $13.0 million and $41.3 million, respectively. Base management fee for the same periods totaled $3.8 million and $12.5 million (after a base management fee waiver of $0.9 million), incentive fee totaled $2.5 million and $8.0 million (after an incentive fee waiver of $0.5 million), debt related interest and expenses totaled $5.6 million and $17.4 million and general and administrative expenses totaled $1.1 million and $3.4 million, respectively. The increase in expenses compared to the three-month period ended in the prior year was primarily due to higher leverage costs and provision for taxes. The increase in expenses compared to the nine-month period ended in the prior year was primarily due to higher leverage costs, provision for taxes, and expenses related the make-whole premium on the repayment of the 2019 Notes and the debt issuance costs on the BNP Credit Facility.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investment income totaled $11.6 million and $35.0 million, or $0.17 and $0.51 per share, for the three and nine months ended June 30, 2019, respectively. Net investment income totaled $11.8 million and $39.4 million, or $0.17 and $0.55 per share, for the three and nine months ended June 30, 2018, respectively. The decrease in net investment income compared to the three-month period ended in the prior year was primarily due to higher leverage costs and provision for taxes which were partially offset by higher investment income. The decrease in net investment income compared to the nine-month period ended in the prior year was primarily due to higher leverage costs, provision for taxes, and expenses related the make-whole premium on the repayment of the 2019 Notes and the debt issuance costs on the BNP Credit Facility which were partially offset by higher investment income.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Sales and repayments of investments for the three and nine months ended June 30, 2019 totaled $84.7 million and $325.6 million, respectively, and net realized losses totaled $99.6 million and $90.1 million, respectively. Sales and repayments of investments for the three and nine months ended June 30, 2018 totaled $117.7 million and $556.4 million, respectively, and net realized gains</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22"/>
          <w:szCs w:val="22"/>
          <w:color w:val="auto"/>
        </w:rPr>
        <w:t>totaled $17.4 million and $43.0 million, respectively. The change in realized gains/losses was primarily due to changes in the market conditions of our investments and the values at which they were realized.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Facilities and the 2019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2019, we reported net change in unrealized depreciation on investments of $93.4 million and $52.9 million, respectively. For the three and nine months ended June 30, 2018, we reported net change in unrealized depreciation on investments of $13.9 million and $50.2 million, respectively. As of June 30, 2019 and September 30, 2018, our net unrealized depreciation on investments totaled $58.9 million and $111.8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2019, our BNP Credit Facility and the multi-currency, senior secured revolving credit facility with SunTrust Bank, or the SunTrust Credit Facility (collectively, the Credit Facilities), and the 2019 Notes had a net change in unrealized depreciation of $0.2 million and $9.9 million, respectively. For the three and nine months ended June 30, 2018, the SunTrust Credit Facility and the 2019 Notes had a net change in unrealized depreciation of $1.6 million and $3.1 million, respectively. As of June 30, 2019, the net unrealized depreciation on the Credit Facilities totaled $11.5 million. As of September 30, 2018, the net unrealized depreciation on the SunTrust Credit Facility and the 2019 Notes totaled $1.6 million. The net change in net unrealized depreciation compared to the same periods in the prior year was primarily due to changes in the capital markets.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$5.6 million and $7.7 million, or $0.08 and $0.11 per share, for the three and nine months ended June 30, 2019. Net change in net assets resulting from operations totaled $16.9 million and $35.2 million, or $0.24 and $0.50 per share, for the three and nine months ended June 30, 2018. The decrease in the net change in net assets from operations compared to the same periods in the prior year was primarily due to depreciation of the portfolio.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nine months ended June 30, 2019 and 2018, inclusive of the fee on the undrawn commitment under the SunTrust Credit Facility, debt issuance costs on the BNP Credit Facility, prepayment penalties on the 2019 Notes and amortized upfront fees on SBA debentures, was 5.4% and 4.6%, respectively (excluding debt issuance costs and prepayment penalties, amounts were 4.6% and 4.6%, respectively).</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2019, PennantPark Investment Funding I, LLC, or Funding I, had $178.0 million in outstanding borrowings under the BNP Credit Facility. The BNP Credit Facility had a weighted average interest rate of 5.0% as of June 30, 2019. As of June 30, 2019, Funding I had $72.0 million of unused borrowing capacity under the BNP Credit Facility, subject to the regulatory restrictions.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June 30, 2019 and September 30, 2018, we had $382.6 million (including a $12.0 million temporary draw) and $80.5 million (including a $2.0 million temporary draw), respectively, in outstanding borrowings under the SunTrust Credit Facility. The SunTrust Credit Facility had a weighted average interest rate of 4.7% and 3.8%, respectively, exclusive of the fee on undrawn commitments of 0.4%, as of June 30, 2019 and September 30, 2018. As of the same periods, we had $114.5 million and $364.5 million of unused borrowing capacity under the SunTrust Credit Facility, respectively, subject to the regulatory restrictions.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2019 and September 30, 2018, we had zero and $250.0 million in aggregate principal amount of 2019 Notes outstanding, respectively, with a fixed interest rate of 4.50% per year. As of June 30, 2019 and September 30, 2018, we had $150.0 million and $180.0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2019 and September 30, 2018, we had cash and cash equivalents of $21.7 million and $19.5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$146.7 million for the nine months ended June 30, 2019, and our financing activities provided cash of $148.9 million for the same period. Our operating activities used cash primarily for our investment activities and our financing activities provided cash primarily from net borrowings under the Credit Facilities.</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Our operating activities provided cash of $173.7 million for the nine months ended June 30, 2018 and our financing activities used cash of $104.7 million for the same period. Our operating activities provided cash from sales and repayments on our</w:t>
      </w:r>
    </w:p>
    <w:p>
      <w:pPr>
        <w:sectPr>
          <w:pgSz w:w="11900" w:h="16838" w:orient="portrait"/>
          <w:cols w:equalWidth="0" w:num="1">
            <w:col w:w="11240"/>
          </w:cols>
          <w:pgMar w:left="320" w:top="118" w:right="339" w:bottom="0" w:gutter="0" w:footer="0" w:header="0"/>
        </w:sectPr>
      </w:pPr>
    </w:p>
    <w:bookmarkStart w:id="6" w:name="page7"/>
    <w:bookmarkEnd w:id="6"/>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investments and our financing activities used cash primarily to pay distributions to stockholders and for net repayments under the SunTrust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and nine months ended June 30, 2019, we repurchased zero and 2.0 million shares of common stock, respectively, in open market transactions for an aggregate cost (including transaction costs) of zero and $14.5 million, respectively. We repurchased 4.0 million shares of common stock in open market transactions while the program was in effect for an aggregate cost (including transaction costs) of $29.5 million.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nine months ended June 30, 2019, we declared distributions of $0.18 and $0.54 per share, for total distributions of $12.1 million and $36.4 million, respectively. For the same periods in the prior year, we declared distributions of $0.18 and $0.54 per share, respectively, for total distributions of $12.6 million and $38.2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22"/>
                <w:szCs w:val="22"/>
                <w:b w:val="1"/>
                <w:bCs w:val="1"/>
                <w:color w:val="auto"/>
                <w:w w:val="90"/>
              </w:rPr>
              <w:t>September 30,</w:t>
            </w:r>
          </w:p>
        </w:tc>
      </w:tr>
      <w:tr>
        <w:trPr>
          <w:trHeight w:val="270"/>
        </w:trPr>
        <w:tc>
          <w:tcPr>
            <w:tcW w:w="8080" w:type="dxa"/>
            <w:vAlign w:val="bottom"/>
          </w:tcPr>
          <w:p>
            <w:pPr>
              <w:spacing w:after="0"/>
              <w:rPr>
                <w:sz w:val="23"/>
                <w:szCs w:val="23"/>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22"/>
                <w:szCs w:val="22"/>
                <w:b w:val="1"/>
                <w:bCs w:val="1"/>
                <w:color w:val="auto"/>
                <w:w w:val="92"/>
              </w:rPr>
              <w:t>June 30, 2019</w:t>
            </w:r>
          </w:p>
        </w:tc>
        <w:tc>
          <w:tcPr>
            <w:tcW w:w="140" w:type="dxa"/>
            <w:vAlign w:val="bottom"/>
          </w:tcPr>
          <w:p>
            <w:pPr>
              <w:spacing w:after="0"/>
              <w:rPr>
                <w:sz w:val="23"/>
                <w:szCs w:val="23"/>
                <w:color w:val="auto"/>
              </w:rPr>
            </w:pPr>
          </w:p>
        </w:tc>
        <w:tc>
          <w:tcPr>
            <w:tcW w:w="1280" w:type="dxa"/>
            <w:vAlign w:val="bottom"/>
          </w:tcPr>
          <w:p>
            <w:pPr>
              <w:jc w:val="right"/>
              <w:ind w:right="3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r>
      <w:tr>
        <w:trPr>
          <w:trHeight w:val="280"/>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w w:val="91"/>
              </w:rPr>
              <w:t>(unaudited)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80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8080" w:type="dxa"/>
            <w:vAlign w:val="bottom"/>
          </w:tcPr>
          <w:p>
            <w:pPr>
              <w:ind w:left="260"/>
              <w:spacing w:after="0" w:line="243" w:lineRule="exact"/>
              <w:rPr>
                <w:sz w:val="20"/>
                <w:szCs w:val="20"/>
                <w:color w:val="auto"/>
              </w:rPr>
            </w:pPr>
            <w:r>
              <w:rPr>
                <w:rFonts w:ascii="Arial" w:cs="Arial" w:eastAsia="Arial" w:hAnsi="Arial"/>
                <w:sz w:val="22"/>
                <w:szCs w:val="22"/>
                <w:color w:val="auto"/>
                <w:w w:val="94"/>
              </w:rPr>
              <w:t>Non-controlled, non-affiliated investments (cost—$1,002,864,286 and $896,720,950,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1,001,919,866</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905,271,258</w:t>
            </w:r>
          </w:p>
        </w:tc>
        <w:tc>
          <w:tcPr>
            <w:tcW w:w="80" w:type="dxa"/>
            <w:vAlign w:val="bottom"/>
          </w:tcPr>
          <w:p>
            <w:pPr>
              <w:spacing w:after="0"/>
              <w:rPr>
                <w:sz w:val="23"/>
                <w:szCs w:val="23"/>
                <w:color w:val="auto"/>
              </w:rPr>
            </w:pPr>
          </w:p>
        </w:tc>
      </w:tr>
      <w:tr>
        <w:trPr>
          <w:trHeight w:val="243"/>
        </w:trPr>
        <w:tc>
          <w:tcPr>
            <w:tcW w:w="80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(cost—$37,446,796 and $91,520,908,</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30,753,466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78,078,331</w:t>
            </w:r>
          </w:p>
        </w:tc>
        <w:tc>
          <w:tcPr>
            <w:tcW w:w="80" w:type="dxa"/>
            <w:vAlign w:val="bottom"/>
          </w:tcPr>
          <w:p>
            <w:pPr>
              <w:spacing w:after="0"/>
              <w:rPr>
                <w:sz w:val="23"/>
                <w:szCs w:val="23"/>
                <w:color w:val="auto"/>
              </w:rPr>
            </w:pPr>
          </w:p>
        </w:tc>
      </w:tr>
      <w:tr>
        <w:trPr>
          <w:trHeight w:val="274"/>
        </w:trPr>
        <w:tc>
          <w:tcPr>
            <w:tcW w:w="8080" w:type="dxa"/>
            <w:vAlign w:val="bottom"/>
          </w:tcPr>
          <w:p>
            <w:pPr>
              <w:ind w:left="260"/>
              <w:spacing w:after="0"/>
              <w:rPr>
                <w:sz w:val="20"/>
                <w:szCs w:val="20"/>
                <w:color w:val="auto"/>
              </w:rPr>
            </w:pPr>
            <w:r>
              <w:rPr>
                <w:rFonts w:ascii="Arial" w:cs="Arial" w:eastAsia="Arial" w:hAnsi="Arial"/>
                <w:sz w:val="22"/>
                <w:szCs w:val="22"/>
                <w:color w:val="auto"/>
                <w:w w:val="92"/>
              </w:rPr>
              <w:t>Controlled, affiliated investments (cost—$293,382,082 and $255,574,317, respectively)</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242,162,582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148,735,885</w:t>
            </w:r>
          </w:p>
        </w:tc>
        <w:tc>
          <w:tcPr>
            <w:tcW w:w="80" w:type="dxa"/>
            <w:vAlign w:val="bottom"/>
          </w:tcPr>
          <w:p>
            <w:pPr>
              <w:spacing w:after="0"/>
              <w:rPr>
                <w:sz w:val="23"/>
                <w:szCs w:val="23"/>
                <w:color w:val="auto"/>
              </w:rPr>
            </w:pPr>
          </w:p>
        </w:tc>
      </w:tr>
      <w:tr>
        <w:trPr>
          <w:trHeight w:val="259"/>
        </w:trPr>
        <w:tc>
          <w:tcPr>
            <w:tcW w:w="8080" w:type="dxa"/>
            <w:vAlign w:val="bottom"/>
          </w:tcPr>
          <w:p>
            <w:pPr>
              <w:ind w:left="260"/>
              <w:spacing w:after="0"/>
              <w:rPr>
                <w:sz w:val="20"/>
                <w:szCs w:val="20"/>
                <w:color w:val="auto"/>
              </w:rPr>
            </w:pPr>
            <w:r>
              <w:rPr>
                <w:rFonts w:ascii="Arial" w:cs="Arial" w:eastAsia="Arial" w:hAnsi="Arial"/>
                <w:sz w:val="22"/>
                <w:szCs w:val="22"/>
                <w:color w:val="auto"/>
              </w:rPr>
              <w:t>Total of investments (cost—$1,333,693,164 and $1,243,816,175, respectively)</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1,274,835,914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1,132,085,474</w:t>
            </w: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(cost—$21,754,580 and $19,543,625,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21,744,836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19,506,154</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7,219,742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7,606,964</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373,782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920,235</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1,304,174,274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1,160,118,827</w:t>
            </w:r>
          </w:p>
        </w:tc>
        <w:tc>
          <w:tcPr>
            <w:tcW w:w="80" w:type="dxa"/>
            <w:vAlign w:val="bottom"/>
          </w:tcPr>
          <w:p>
            <w:pPr>
              <w:spacing w:after="0"/>
              <w:rPr>
                <w:sz w:val="23"/>
                <w:szCs w:val="23"/>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12,068,118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12,429,712</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BNP Credit Facility payable (cost—$178,000,000 and zero,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177,110,000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7"/>
              </w:rPr>
              <w:t>SunTrust Credit Facility payable (cost—$382,636,000 and $80,520,000,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372,060,191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77,645,830</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2019 Notes payable (par— zero and $250,000,000, respectively)</w:t>
            </w:r>
          </w:p>
        </w:tc>
        <w:tc>
          <w:tcPr>
            <w:tcW w:w="1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251,322,500</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9"/>
              </w:rPr>
              <w:t>SBA debentures payable, net (par—$150,000,000 and $180,000,000,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146,001,990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175,373,229</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4,653,657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4,086,831</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2,471,086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2,964,265</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4,007,743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6,576,393</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91,965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818,172</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718,464,750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531,216,932</w:t>
            </w:r>
          </w:p>
        </w:tc>
        <w:tc>
          <w:tcPr>
            <w:tcW w:w="80" w:type="dxa"/>
            <w:vAlign w:val="bottom"/>
          </w:tcPr>
          <w:p>
            <w:pPr>
              <w:spacing w:after="0"/>
              <w:rPr>
                <w:sz w:val="23"/>
                <w:szCs w:val="23"/>
                <w:color w:val="auto"/>
              </w:rPr>
            </w:pPr>
          </w:p>
        </w:tc>
      </w:tr>
      <w:tr>
        <w:trPr>
          <w:trHeight w:val="250"/>
        </w:trPr>
        <w:tc>
          <w:tcPr>
            <w:tcW w:w="80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w w:val="93"/>
              </w:rPr>
              <w:t>Common stock, 67,045,105 and 69,053,958 shares issued and outstanding, respectively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67,045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69,054</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789,259,509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803,729,220</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4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(203,617,030)</w:t>
            </w:r>
          </w:p>
        </w:tc>
        <w:tc>
          <w:tcPr>
            <w:tcW w:w="14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w w:val="97"/>
              </w:rPr>
              <w:t>(174,896,379)</w:t>
            </w: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585,709,524</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628,901,895</w:t>
            </w:r>
          </w:p>
        </w:tc>
        <w:tc>
          <w:tcPr>
            <w:tcW w:w="80" w:type="dxa"/>
            <w:vAlign w:val="bottom"/>
          </w:tcPr>
          <w:p>
            <w:pPr>
              <w:spacing w:after="0"/>
              <w:rPr>
                <w:sz w:val="23"/>
                <w:szCs w:val="23"/>
                <w:color w:val="auto"/>
              </w:rPr>
            </w:pPr>
          </w:p>
        </w:tc>
      </w:tr>
      <w:tr>
        <w:trPr>
          <w:trHeight w:val="264"/>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1,304,174,274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1,160,118,827</w:t>
            </w:r>
          </w:p>
        </w:tc>
        <w:tc>
          <w:tcPr>
            <w:tcW w:w="8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91"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4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8.74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7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9700" w:type="dxa"/>
            <w:vAlign w:val="bottom"/>
            <w:gridSpan w:val="12"/>
          </w:tcPr>
          <w:p>
            <w:pPr>
              <w:jc w:val="center"/>
              <w:ind w:left="139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80" w:type="dxa"/>
            <w:vAlign w:val="bottom"/>
            <w:gridSpan w:val="8"/>
          </w:tcPr>
          <w:p>
            <w:pPr>
              <w:jc w:val="center"/>
              <w:ind w:left="273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920" w:type="dxa"/>
            <w:vAlign w:val="bottom"/>
            <w:gridSpan w:val="4"/>
          </w:tcPr>
          <w:p>
            <w:pPr>
              <w:jc w:val="center"/>
              <w:ind w:left="4172"/>
              <w:spacing w:after="0"/>
              <w:rPr>
                <w:sz w:val="20"/>
                <w:szCs w:val="20"/>
                <w:color w:val="auto"/>
              </w:rPr>
            </w:pPr>
            <w:r>
              <w:rPr>
                <w:rFonts w:ascii="Arial" w:cs="Arial" w:eastAsia="Arial" w:hAnsi="Arial"/>
                <w:sz w:val="22"/>
                <w:szCs w:val="22"/>
                <w:b w:val="1"/>
                <w:bCs w:val="1"/>
                <w:color w:val="auto"/>
                <w:w w:val="91"/>
              </w:rPr>
              <w:t>(Unaudited)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right"/>
              <w:ind w:right="340"/>
              <w:spacing w:after="0"/>
              <w:rPr>
                <w:sz w:val="20"/>
                <w:szCs w:val="20"/>
                <w:color w:val="auto"/>
              </w:rPr>
            </w:pPr>
            <w:r>
              <w:rPr>
                <w:rFonts w:ascii="Arial" w:cs="Arial" w:eastAsia="Arial" w:hAnsi="Arial"/>
                <w:sz w:val="22"/>
                <w:szCs w:val="22"/>
                <w:b w:val="1"/>
                <w:bCs w:val="1"/>
                <w:color w:val="auto"/>
                <w:w w:val="89"/>
              </w:rPr>
              <w:t>Three Months Ended June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30,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8"/>
          </w:tcPr>
          <w:p>
            <w:pPr>
              <w:ind w:left="40"/>
              <w:spacing w:after="0"/>
              <w:rPr>
                <w:sz w:val="20"/>
                <w:szCs w:val="20"/>
                <w:color w:val="auto"/>
              </w:rPr>
            </w:pPr>
            <w:r>
              <w:rPr>
                <w:rFonts w:ascii="Arial" w:cs="Arial" w:eastAsia="Arial" w:hAnsi="Arial"/>
                <w:sz w:val="22"/>
                <w:szCs w:val="22"/>
                <w:b w:val="1"/>
                <w:bCs w:val="1"/>
                <w:color w:val="auto"/>
                <w:w w:val="92"/>
              </w:rPr>
              <w:t>Nine Months Ended June 30,</w:t>
            </w:r>
          </w:p>
        </w:tc>
        <w:tc>
          <w:tcPr>
            <w:tcW w:w="0" w:type="dxa"/>
            <w:vAlign w:val="bottom"/>
          </w:tcPr>
          <w:p>
            <w:pPr>
              <w:spacing w:after="0"/>
              <w:rPr>
                <w:sz w:val="1"/>
                <w:szCs w:val="1"/>
                <w:color w:val="auto"/>
              </w:rPr>
            </w:pPr>
          </w:p>
        </w:tc>
      </w:tr>
      <w:tr>
        <w:trPr>
          <w:trHeight w:val="265"/>
        </w:trPr>
        <w:tc>
          <w:tcPr>
            <w:tcW w:w="544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2018</w:t>
            </w:r>
          </w:p>
        </w:tc>
        <w:tc>
          <w:tcPr>
            <w:tcW w:w="80" w:type="dxa"/>
            <w:vAlign w:val="bottom"/>
            <w:tcBorders>
              <w:top w:val="single" w:sz="8" w:color="auto"/>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2019</w:t>
            </w:r>
          </w:p>
        </w:tc>
        <w:tc>
          <w:tcPr>
            <w:tcW w:w="14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19,928,284</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96"/>
              </w:rPr>
              <w:t>19,491,552</w:t>
            </w:r>
          </w:p>
        </w:tc>
        <w:tc>
          <w:tcPr>
            <w:tcW w:w="2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22"/>
                <w:szCs w:val="22"/>
                <w:color w:val="auto"/>
                <w:w w:val="97"/>
              </w:rPr>
              <w:t>$</w:t>
            </w: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66,484,378</w:t>
            </w:r>
          </w:p>
        </w:tc>
        <w:tc>
          <w:tcPr>
            <w:tcW w:w="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60,608,891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1,987,294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1,585,945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4,625,804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4,545,929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530,923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1,494,072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1,992,875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5,567,138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253,191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2,845,090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1,807,655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3,435,510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1,480,768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7,272,766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2,931,462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1,454,009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453,974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2,855,450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2,347,371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776,944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949,445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28,112,964</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24,759,502</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6"/>
              </w:rPr>
              <w:t>84,180,718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80,653,536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4,653,657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3,772,669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13,583,748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13,381,545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2,471,085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2,497,843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5,146,696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8,528,663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7,808,175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5,565,240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21,119,041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17,363,511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538,125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521,625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1,592,375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1,564,875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692,178</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626,213</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2,002,723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1,882,793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rPr>
              <w:t>Expenses before Management Fees waiver 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provision for taxes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16,163,220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12,983,590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6"/>
              </w:rPr>
              <w:t>43,444,583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42,721,387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40" w:type="dxa"/>
            <w:vAlign w:val="bottom"/>
          </w:tcPr>
          <w:p>
            <w:pPr>
              <w:ind w:left="260"/>
              <w:spacing w:after="0"/>
              <w:rPr>
                <w:sz w:val="20"/>
                <w:szCs w:val="20"/>
                <w:color w:val="auto"/>
              </w:rPr>
            </w:pPr>
            <w:r>
              <w:rPr>
                <w:rFonts w:ascii="Arial" w:cs="Arial" w:eastAsia="Arial" w:hAnsi="Arial"/>
                <w:sz w:val="22"/>
                <w:szCs w:val="22"/>
                <w:color w:val="auto"/>
              </w:rPr>
              <w:t>Debt issuance costs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2,696,498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Make-whole premium</w:t>
            </w:r>
          </w:p>
        </w:tc>
        <w:tc>
          <w:tcPr>
            <w:tcW w:w="12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2,162,526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2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(1,427,253)</w:t>
            </w: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900,000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16,463,220</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12,983,590</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6"/>
              </w:rPr>
              <w:t>49,203,607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41,294,134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11,649,744</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11,775,912</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6"/>
              </w:rPr>
              <w:t>34,977,111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39,359,402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line="209" w:lineRule="exact"/>
              <w:rPr>
                <w:sz w:val="20"/>
                <w:szCs w:val="20"/>
                <w:color w:val="auto"/>
              </w:rPr>
            </w:pPr>
            <w:r>
              <w:rPr>
                <w:rFonts w:ascii="Arial" w:cs="Arial" w:eastAsia="Arial" w:hAnsi="Arial"/>
                <w:sz w:val="22"/>
                <w:szCs w:val="22"/>
                <w:b w:val="1"/>
                <w:bCs w:val="1"/>
                <w:color w:val="auto"/>
                <w:w w:val="93"/>
              </w:rPr>
              <w:t>Realized and unrealized (loss) gain on investments 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Net realized (loss) gain on investments on:</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2"/>
                <w:szCs w:val="22"/>
                <w:color w:val="auto"/>
                <w:w w:val="96"/>
              </w:rPr>
              <w:t>(43,486,868)</w:t>
            </w: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96"/>
              </w:rPr>
              <w:t>17,085,362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4"/>
          </w:tcPr>
          <w:p>
            <w:pPr>
              <w:jc w:val="right"/>
              <w:ind w:right="32"/>
              <w:spacing w:after="0"/>
              <w:rPr>
                <w:sz w:val="20"/>
                <w:szCs w:val="20"/>
                <w:color w:val="auto"/>
              </w:rPr>
            </w:pPr>
            <w:r>
              <w:rPr>
                <w:rFonts w:ascii="Arial" w:cs="Arial" w:eastAsia="Arial" w:hAnsi="Arial"/>
                <w:sz w:val="22"/>
                <w:szCs w:val="22"/>
                <w:color w:val="auto"/>
                <w:w w:val="92"/>
              </w:rPr>
              <w:t>(33,757,334)</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31,754,691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2"/>
                <w:szCs w:val="22"/>
                <w:color w:val="auto"/>
                <w:w w:val="96"/>
              </w:rPr>
              <w:t>(56,148,032)</w:t>
            </w: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342,086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4"/>
          </w:tcPr>
          <w:p>
            <w:pPr>
              <w:jc w:val="right"/>
              <w:ind w:right="32"/>
              <w:spacing w:after="0"/>
              <w:rPr>
                <w:sz w:val="20"/>
                <w:szCs w:val="20"/>
                <w:color w:val="auto"/>
              </w:rPr>
            </w:pPr>
            <w:r>
              <w:rPr>
                <w:rFonts w:ascii="Arial" w:cs="Arial" w:eastAsia="Arial" w:hAnsi="Arial"/>
                <w:sz w:val="22"/>
                <w:szCs w:val="22"/>
                <w:color w:val="auto"/>
                <w:w w:val="92"/>
              </w:rPr>
              <w:t>(56,375,131)</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11,199,690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Net realized (loss) gain on investments</w:t>
            </w:r>
          </w:p>
        </w:tc>
        <w:tc>
          <w:tcPr>
            <w:tcW w:w="1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9"/>
              </w:rPr>
              <w:t>(99,634,900)</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17,427,448</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86"/>
              </w:rPr>
              <w:t>(90,132,465)</w:t>
            </w:r>
          </w:p>
        </w:tc>
        <w:tc>
          <w:tcPr>
            <w:tcW w:w="220" w:type="dxa"/>
            <w:vAlign w:val="bottom"/>
            <w:gridSpan w:val="2"/>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42,954,381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w w:val="99"/>
              </w:rPr>
              <w:t>Net change in unrealized appreciation (depreciation) on:</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36,381,944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22"/>
                <w:szCs w:val="22"/>
                <w:color w:val="auto"/>
                <w:w w:val="92"/>
              </w:rPr>
              <w:t>(12,925,765)</w:t>
            </w: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7,535,406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(15,407,098)</w:t>
            </w:r>
          </w:p>
        </w:tc>
        <w:tc>
          <w:tcPr>
            <w:tcW w:w="0" w:type="dxa"/>
            <w:vAlign w:val="bottom"/>
          </w:tcPr>
          <w:p>
            <w:pPr>
              <w:spacing w:after="0"/>
              <w:rPr>
                <w:sz w:val="1"/>
                <w:szCs w:val="1"/>
                <w:color w:val="auto"/>
              </w:rPr>
            </w:pPr>
          </w:p>
        </w:tc>
      </w:tr>
      <w:tr>
        <w:trPr>
          <w:trHeight w:val="270"/>
        </w:trPr>
        <w:tc>
          <w:tcPr>
            <w:tcW w:w="54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57,045,559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22"/>
                <w:szCs w:val="22"/>
                <w:color w:val="auto"/>
              </w:rPr>
              <w:t>(927,824)</w:t>
            </w: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45,366,352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(34,752,509)</w:t>
            </w:r>
          </w:p>
        </w:tc>
        <w:tc>
          <w:tcPr>
            <w:tcW w:w="0" w:type="dxa"/>
            <w:vAlign w:val="bottom"/>
          </w:tcPr>
          <w:p>
            <w:pPr>
              <w:spacing w:after="0"/>
              <w:rPr>
                <w:sz w:val="1"/>
                <w:szCs w:val="1"/>
                <w:color w:val="auto"/>
              </w:rPr>
            </w:pPr>
          </w:p>
        </w:tc>
      </w:tr>
      <w:tr>
        <w:trPr>
          <w:trHeight w:val="274"/>
        </w:trPr>
        <w:tc>
          <w:tcPr>
            <w:tcW w:w="544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186,504</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1,560,376</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9,914,139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3,086,378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appreciation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ind w:left="260"/>
              <w:spacing w:after="0"/>
              <w:rPr>
                <w:sz w:val="20"/>
                <w:szCs w:val="20"/>
                <w:color w:val="auto"/>
              </w:rPr>
            </w:pPr>
            <w:r>
              <w:rPr>
                <w:rFonts w:ascii="Arial" w:cs="Arial" w:eastAsia="Arial" w:hAnsi="Arial"/>
                <w:sz w:val="22"/>
                <w:szCs w:val="22"/>
                <w:b w:val="1"/>
                <w:bCs w:val="1"/>
                <w:color w:val="auto"/>
              </w:rPr>
              <w:t>on investments and debt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93,614,007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22"/>
                <w:szCs w:val="22"/>
                <w:color w:val="auto"/>
                <w:w w:val="92"/>
              </w:rPr>
              <w:t>(12,293,213)</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62,815,897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(47,073,229)</w:t>
            </w: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w w:val="91"/>
              </w:rPr>
              <w:t>Net realized and unrealized loss (gain) from investments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44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2"/>
                <w:szCs w:val="22"/>
                <w:color w:val="auto"/>
              </w:rPr>
              <w:t>(6,020,893)</w:t>
            </w:r>
          </w:p>
        </w:tc>
        <w:tc>
          <w:tcPr>
            <w:tcW w:w="1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5,134,235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right"/>
              <w:ind w:right="32"/>
              <w:spacing w:after="0"/>
              <w:rPr>
                <w:sz w:val="20"/>
                <w:szCs w:val="20"/>
                <w:color w:val="auto"/>
              </w:rPr>
            </w:pPr>
            <w:r>
              <w:rPr>
                <w:rFonts w:ascii="Arial" w:cs="Arial" w:eastAsia="Arial" w:hAnsi="Arial"/>
                <w:sz w:val="22"/>
                <w:szCs w:val="22"/>
                <w:color w:val="auto"/>
                <w:w w:val="92"/>
              </w:rPr>
              <w:t>(27,316,568)</w:t>
            </w: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(4,118,848)</w:t>
            </w:r>
          </w:p>
        </w:tc>
        <w:tc>
          <w:tcPr>
            <w:tcW w:w="0" w:type="dxa"/>
            <w:vAlign w:val="bottom"/>
          </w:tcPr>
          <w:p>
            <w:pPr>
              <w:spacing w:after="0"/>
              <w:rPr>
                <w:sz w:val="1"/>
                <w:szCs w:val="1"/>
                <w:color w:val="auto"/>
              </w:rPr>
            </w:pPr>
          </w:p>
        </w:tc>
      </w:tr>
      <w:tr>
        <w:trPr>
          <w:trHeight w:val="265"/>
        </w:trPr>
        <w:tc>
          <w:tcPr>
            <w:tcW w:w="5440" w:type="dxa"/>
            <w:vAlign w:val="bottom"/>
          </w:tcPr>
          <w:p>
            <w:pPr>
              <w:spacing w:after="0"/>
              <w:rPr>
                <w:sz w:val="20"/>
                <w:szCs w:val="20"/>
                <w:color w:val="auto"/>
              </w:rPr>
            </w:pPr>
            <w:r>
              <w:rPr>
                <w:rFonts w:ascii="Arial" w:cs="Arial" w:eastAsia="Arial" w:hAnsi="Arial"/>
                <w:sz w:val="22"/>
                <w:szCs w:val="22"/>
                <w:b w:val="1"/>
                <w:bCs w:val="1"/>
                <w:color w:val="auto"/>
                <w:w w:val="99"/>
              </w:rPr>
              <w:t>Net increase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5,628,851</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16,910,147</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97"/>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7,660,543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35,240,554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in net assets resulting from operations per</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440" w:type="dxa"/>
            <w:vAlign w:val="bottom"/>
            <w:vMerge w:val="continue"/>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rPr>
              <w:t>0.08</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gridSpan w:val="2"/>
            <w:vMerge w:val="restart"/>
          </w:tcPr>
          <w:p>
            <w:pPr>
              <w:jc w:val="right"/>
              <w:spacing w:after="0"/>
              <w:rPr>
                <w:sz w:val="20"/>
                <w:szCs w:val="20"/>
                <w:color w:val="auto"/>
              </w:rPr>
            </w:pPr>
            <w:r>
              <w:rPr>
                <w:rFonts w:ascii="Arial" w:cs="Arial" w:eastAsia="Arial" w:hAnsi="Arial"/>
                <w:sz w:val="22"/>
                <w:szCs w:val="22"/>
                <w:color w:val="auto"/>
              </w:rPr>
              <w:t>0.24</w:t>
            </w:r>
          </w:p>
        </w:tc>
        <w:tc>
          <w:tcPr>
            <w:tcW w:w="22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22"/>
                <w:szCs w:val="22"/>
                <w:color w:val="auto"/>
                <w:w w:val="97"/>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0.11</w:t>
            </w:r>
          </w:p>
        </w:tc>
        <w:tc>
          <w:tcPr>
            <w:tcW w:w="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0.50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1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0.17</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0.17</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97"/>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0.51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PennantPark Investment Corporation is a business development company which invests primarily in U.S. middle-market companies in the form of first lien secured debt, second lien secured debt, subordinated debt and equity investments. PennantPark</w:t>
      </w:r>
    </w:p>
    <w:p>
      <w:pPr>
        <w:sectPr>
          <w:pgSz w:w="11900" w:h="16838" w:orient="portrait"/>
          <w:cols w:equalWidth="0" w:num="1">
            <w:col w:w="11220"/>
          </w:cols>
          <w:pgMar w:left="320" w:top="111" w:right="359" w:bottom="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Investment Corporation is managed by PennantPark Investment Advisers, LLC.</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2020-05-05T15:08:57Z</dcterms:created>
  <dcterms:modified xsi:type="dcterms:W3CDTF">2020-05-05T15:08:57Z</dcterms:modified>
</cp:coreProperties>
</file>