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7"/>
        </w:trPr>
        <w:tc>
          <w:tcPr>
            <w:tcW w:w="660" w:type="dxa"/>
            <w:vAlign w:val="bottom"/>
          </w:tcPr>
          <w:p>
            <w:pPr>
              <w:spacing w:after="0"/>
              <w:rPr>
                <w:sz w:val="24"/>
                <w:szCs w:val="24"/>
                <w:color w:val="auto"/>
              </w:rPr>
            </w:pPr>
          </w:p>
        </w:tc>
        <w:tc>
          <w:tcPr>
            <w:tcW w:w="6520" w:type="dxa"/>
            <w:vAlign w:val="bottom"/>
            <w:gridSpan w:val="2"/>
          </w:tcPr>
          <w:p>
            <w:pPr>
              <w:jc w:val="center"/>
              <w:ind w:left="3309"/>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0" w:type="dxa"/>
            <w:vAlign w:val="bottom"/>
          </w:tcPr>
          <w:p>
            <w:pPr>
              <w:spacing w:after="0"/>
              <w:rPr>
                <w:sz w:val="23"/>
                <w:szCs w:val="23"/>
                <w:color w:val="auto"/>
              </w:rPr>
            </w:pPr>
          </w:p>
        </w:tc>
        <w:tc>
          <w:tcPr>
            <w:tcW w:w="10580" w:type="dxa"/>
            <w:vAlign w:val="bottom"/>
            <w:gridSpan w:val="3"/>
          </w:tcPr>
          <w:p>
            <w:pPr>
              <w:jc w:val="center"/>
              <w:ind w:right="564"/>
              <w:spacing w:after="0" w:line="270" w:lineRule="exact"/>
              <w:rPr>
                <w:sz w:val="20"/>
                <w:szCs w:val="20"/>
                <w:color w:val="auto"/>
              </w:rPr>
            </w:pPr>
            <w:r>
              <w:rPr>
                <w:rFonts w:ascii="Times New Roman" w:cs="Times New Roman" w:eastAsia="Times New Roman" w:hAnsi="Times New Roman"/>
                <w:sz w:val="25"/>
                <w:szCs w:val="25"/>
                <w:b w:val="1"/>
                <w:bCs w:val="1"/>
                <w:color w:val="auto"/>
              </w:rPr>
              <w:t>SECURITIES AND EXCHANGE COMMISSION</w:t>
            </w:r>
          </w:p>
        </w:tc>
        <w:tc>
          <w:tcPr>
            <w:tcW w:w="0" w:type="dxa"/>
            <w:vAlign w:val="bottom"/>
          </w:tcPr>
          <w:p>
            <w:pPr>
              <w:spacing w:after="0"/>
              <w:rPr>
                <w:sz w:val="1"/>
                <w:szCs w:val="1"/>
                <w:color w:val="auto"/>
              </w:rPr>
            </w:pPr>
          </w:p>
        </w:tc>
      </w:tr>
      <w:tr>
        <w:trPr>
          <w:trHeight w:val="334"/>
        </w:trPr>
        <w:tc>
          <w:tcPr>
            <w:tcW w:w="660" w:type="dxa"/>
            <w:vAlign w:val="bottom"/>
          </w:tcPr>
          <w:p>
            <w:pPr>
              <w:spacing w:after="0"/>
              <w:rPr>
                <w:sz w:val="24"/>
                <w:szCs w:val="24"/>
                <w:color w:val="auto"/>
              </w:rPr>
            </w:pPr>
          </w:p>
        </w:tc>
        <w:tc>
          <w:tcPr>
            <w:tcW w:w="6520" w:type="dxa"/>
            <w:vAlign w:val="bottom"/>
            <w:gridSpan w:val="2"/>
          </w:tcPr>
          <w:p>
            <w:pPr>
              <w:jc w:val="center"/>
              <w:ind w:left="3329"/>
              <w:spacing w:after="0"/>
              <w:rPr>
                <w:sz w:val="20"/>
                <w:szCs w:val="20"/>
                <w:color w:val="auto"/>
              </w:rPr>
            </w:pPr>
            <w:r>
              <w:rPr>
                <w:rFonts w:ascii="Times New Roman" w:cs="Times New Roman" w:eastAsia="Times New Roman" w:hAnsi="Times New Roman"/>
                <w:sz w:val="25"/>
                <w:szCs w:val="25"/>
                <w:b w:val="1"/>
                <w:bCs w:val="1"/>
                <w:color w:val="auto"/>
                <w:w w:val="99"/>
              </w:rPr>
              <w:t>WASHINGTON, D.C. 20549</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60" w:type="dxa"/>
            <w:vAlign w:val="bottom"/>
            <w:tcBorders>
              <w:bottom w:val="single" w:sz="8" w:color="auto"/>
            </w:tcBorders>
          </w:tcPr>
          <w:p>
            <w:pPr>
              <w:spacing w:after="0"/>
              <w:rPr>
                <w:sz w:val="16"/>
                <w:szCs w:val="16"/>
                <w:color w:val="auto"/>
              </w:rPr>
            </w:pPr>
          </w:p>
        </w:tc>
        <w:tc>
          <w:tcPr>
            <w:tcW w:w="5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2"/>
        </w:trPr>
        <w:tc>
          <w:tcPr>
            <w:tcW w:w="660" w:type="dxa"/>
            <w:vAlign w:val="bottom"/>
          </w:tcPr>
          <w:p>
            <w:pPr>
              <w:spacing w:after="0"/>
              <w:rPr>
                <w:sz w:val="24"/>
                <w:szCs w:val="24"/>
                <w:color w:val="auto"/>
              </w:rPr>
            </w:pPr>
          </w:p>
        </w:tc>
        <w:tc>
          <w:tcPr>
            <w:tcW w:w="6520" w:type="dxa"/>
            <w:vAlign w:val="bottom"/>
            <w:gridSpan w:val="2"/>
          </w:tcPr>
          <w:p>
            <w:pPr>
              <w:jc w:val="center"/>
              <w:ind w:left="3309"/>
              <w:spacing w:after="0"/>
              <w:rPr>
                <w:sz w:val="20"/>
                <w:szCs w:val="20"/>
                <w:color w:val="auto"/>
              </w:rPr>
            </w:pPr>
            <w:r>
              <w:rPr>
                <w:rFonts w:ascii="Times New Roman" w:cs="Times New Roman" w:eastAsia="Times New Roman" w:hAnsi="Times New Roman"/>
                <w:sz w:val="25"/>
                <w:szCs w:val="25"/>
                <w:b w:val="1"/>
                <w:bCs w:val="1"/>
                <w:color w:val="auto"/>
              </w:rPr>
              <w:t>FORM 10-K</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660" w:type="dxa"/>
            <w:vAlign w:val="bottom"/>
            <w:tcBorders>
              <w:bottom w:val="single" w:sz="8" w:color="auto"/>
            </w:tcBorders>
          </w:tcPr>
          <w:p>
            <w:pPr>
              <w:spacing w:after="0"/>
              <w:rPr>
                <w:sz w:val="15"/>
                <w:szCs w:val="15"/>
                <w:color w:val="auto"/>
              </w:rPr>
            </w:pPr>
          </w:p>
        </w:tc>
        <w:tc>
          <w:tcPr>
            <w:tcW w:w="5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6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(Mark One)</w:t>
            </w:r>
          </w:p>
        </w:tc>
        <w:tc>
          <w:tcPr>
            <w:tcW w:w="10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216"/>
        </w:trPr>
        <w:tc>
          <w:tcPr>
            <w:tcW w:w="660" w:type="dxa"/>
            <w:vAlign w:val="bottom"/>
          </w:tcPr>
          <w:p>
            <w:pPr>
              <w:spacing w:after="0" w:line="198" w:lineRule="exact"/>
              <w:rPr>
                <w:sz w:val="20"/>
                <w:szCs w:val="20"/>
                <w:color w:val="auto"/>
              </w:rPr>
            </w:pPr>
            <w:r>
              <w:rPr>
                <w:rFonts w:ascii="Wingdings" w:cs="Wingdings" w:eastAsia="Wingdings" w:hAnsi="Wingdings"/>
                <w:sz w:val="18"/>
                <w:szCs w:val="18"/>
                <w:b w:val="1"/>
                <w:bCs w:val="1"/>
                <w:color w:val="auto"/>
                <w:highlight w:val="black"/>
              </w:rPr>
              <w:t></w:t>
            </w:r>
          </w:p>
        </w:tc>
        <w:tc>
          <w:tcPr>
            <w:tcW w:w="10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660" w:type="dxa"/>
            <w:vAlign w:val="bottom"/>
          </w:tcPr>
          <w:p>
            <w:pPr>
              <w:spacing w:after="0"/>
              <w:rPr>
                <w:sz w:val="24"/>
                <w:szCs w:val="24"/>
                <w:color w:val="auto"/>
              </w:rPr>
            </w:pPr>
          </w:p>
        </w:tc>
        <w:tc>
          <w:tcPr>
            <w:tcW w:w="10580" w:type="dxa"/>
            <w:vAlign w:val="bottom"/>
            <w:gridSpan w:val="3"/>
          </w:tcPr>
          <w:p>
            <w:pPr>
              <w:jc w:val="center"/>
              <w:ind w:right="584"/>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SEPTEMBER 30, 2022</w:t>
            </w:r>
          </w:p>
        </w:tc>
        <w:tc>
          <w:tcPr>
            <w:tcW w:w="0" w:type="dxa"/>
            <w:vAlign w:val="bottom"/>
          </w:tcPr>
          <w:p>
            <w:pPr>
              <w:spacing w:after="0"/>
              <w:rPr>
                <w:sz w:val="1"/>
                <w:szCs w:val="1"/>
                <w:color w:val="auto"/>
              </w:rPr>
            </w:pPr>
          </w:p>
        </w:tc>
      </w:tr>
      <w:tr>
        <w:trPr>
          <w:trHeight w:val="310"/>
        </w:trPr>
        <w:tc>
          <w:tcPr>
            <w:tcW w:w="660" w:type="dxa"/>
            <w:vAlign w:val="bottom"/>
          </w:tcPr>
          <w:p>
            <w:pPr>
              <w:spacing w:after="0"/>
              <w:rPr>
                <w:sz w:val="24"/>
                <w:szCs w:val="24"/>
                <w:color w:val="auto"/>
              </w:rPr>
            </w:pPr>
          </w:p>
        </w:tc>
        <w:tc>
          <w:tcPr>
            <w:tcW w:w="6520" w:type="dxa"/>
            <w:vAlign w:val="bottom"/>
            <w:gridSpan w:val="2"/>
          </w:tcPr>
          <w:p>
            <w:pPr>
              <w:jc w:val="center"/>
              <w:ind w:left="3309"/>
              <w:spacing w:after="0"/>
              <w:rPr>
                <w:sz w:val="20"/>
                <w:szCs w:val="20"/>
                <w:color w:val="auto"/>
              </w:rPr>
            </w:pPr>
            <w:r>
              <w:rPr>
                <w:rFonts w:ascii="Times New Roman" w:cs="Times New Roman" w:eastAsia="Times New Roman" w:hAnsi="Times New Roman"/>
                <w:sz w:val="18"/>
                <w:szCs w:val="18"/>
                <w:b w:val="1"/>
                <w:bCs w:val="1"/>
                <w:color w:val="auto"/>
              </w:rPr>
              <w:t>OR</w:t>
            </w: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60" w:type="dxa"/>
            <w:vAlign w:val="bottom"/>
          </w:tcPr>
          <w:p>
            <w:pPr>
              <w:spacing w:after="0"/>
              <w:rPr>
                <w:sz w:val="20"/>
                <w:szCs w:val="20"/>
                <w:color w:val="auto"/>
              </w:rPr>
            </w:pPr>
            <w:r>
              <w:rPr>
                <w:rFonts w:ascii="Wingdings" w:cs="Wingdings" w:eastAsia="Wingdings" w:hAnsi="Wingdings"/>
                <w:sz w:val="18"/>
                <w:szCs w:val="18"/>
                <w:b w:val="1"/>
                <w:bCs w:val="1"/>
                <w:color w:val="auto"/>
                <w:highlight w:val="black"/>
              </w:rPr>
              <w:t></w:t>
            </w:r>
          </w:p>
        </w:tc>
        <w:tc>
          <w:tcPr>
            <w:tcW w:w="10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598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22"/>
                <w:szCs w:val="22"/>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0" w:type="dxa"/>
            <w:vAlign w:val="bottom"/>
          </w:tcPr>
          <w:p>
            <w:pPr>
              <w:spacing w:after="0"/>
              <w:rPr>
                <w:sz w:val="1"/>
                <w:szCs w:val="1"/>
                <w:color w:val="auto"/>
              </w:rPr>
            </w:pPr>
          </w:p>
        </w:tc>
      </w:tr>
      <w:tr>
        <w:trPr>
          <w:trHeight w:val="331"/>
        </w:trPr>
        <w:tc>
          <w:tcPr>
            <w:tcW w:w="660" w:type="dxa"/>
            <w:vAlign w:val="bottom"/>
          </w:tcPr>
          <w:p>
            <w:pPr>
              <w:spacing w:after="0"/>
              <w:rPr>
                <w:sz w:val="24"/>
                <w:szCs w:val="24"/>
                <w:color w:val="auto"/>
              </w:rPr>
            </w:pPr>
          </w:p>
        </w:tc>
        <w:tc>
          <w:tcPr>
            <w:tcW w:w="10580" w:type="dxa"/>
            <w:vAlign w:val="bottom"/>
            <w:gridSpan w:val="3"/>
          </w:tcPr>
          <w:p>
            <w:pPr>
              <w:jc w:val="center"/>
              <w:ind w:right="564"/>
              <w:spacing w:after="0"/>
              <w:rPr>
                <w:sz w:val="20"/>
                <w:szCs w:val="20"/>
                <w:color w:val="auto"/>
              </w:rPr>
            </w:pPr>
            <w:r>
              <w:rPr>
                <w:rFonts w:ascii="Times New Roman" w:cs="Times New Roman" w:eastAsia="Times New Roman" w:hAnsi="Times New Roman"/>
                <w:sz w:val="18"/>
                <w:szCs w:val="18"/>
                <w:b w:val="1"/>
                <w:bCs w:val="1"/>
                <w:color w:val="auto"/>
              </w:rPr>
              <w:t>COMMISSION FILE NUMBER: 814-00736</w:t>
            </w:r>
          </w:p>
        </w:tc>
        <w:tc>
          <w:tcPr>
            <w:tcW w:w="0" w:type="dxa"/>
            <w:vAlign w:val="bottom"/>
          </w:tcPr>
          <w:p>
            <w:pPr>
              <w:spacing w:after="0"/>
              <w:rPr>
                <w:sz w:val="1"/>
                <w:szCs w:val="1"/>
                <w:color w:val="auto"/>
              </w:rPr>
            </w:pPr>
          </w:p>
        </w:tc>
      </w:tr>
      <w:tr>
        <w:trPr>
          <w:trHeight w:val="189"/>
        </w:trPr>
        <w:tc>
          <w:tcPr>
            <w:tcW w:w="660" w:type="dxa"/>
            <w:vAlign w:val="bottom"/>
            <w:tcBorders>
              <w:bottom w:val="single" w:sz="8" w:color="auto"/>
            </w:tcBorders>
          </w:tcPr>
          <w:p>
            <w:pPr>
              <w:spacing w:after="0"/>
              <w:rPr>
                <w:sz w:val="16"/>
                <w:szCs w:val="16"/>
                <w:color w:val="auto"/>
              </w:rPr>
            </w:pPr>
          </w:p>
        </w:tc>
        <w:tc>
          <w:tcPr>
            <w:tcW w:w="598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509"/>
        </w:trPr>
        <w:tc>
          <w:tcPr>
            <w:tcW w:w="660" w:type="dxa"/>
            <w:vAlign w:val="bottom"/>
          </w:tcPr>
          <w:p>
            <w:pPr>
              <w:spacing w:after="0"/>
              <w:rPr>
                <w:sz w:val="24"/>
                <w:szCs w:val="24"/>
                <w:color w:val="auto"/>
              </w:rPr>
            </w:pPr>
          </w:p>
        </w:tc>
        <w:tc>
          <w:tcPr>
            <w:tcW w:w="10580" w:type="dxa"/>
            <w:vAlign w:val="bottom"/>
            <w:gridSpan w:val="3"/>
          </w:tcPr>
          <w:p>
            <w:pPr>
              <w:jc w:val="center"/>
              <w:ind w:right="584"/>
              <w:spacing w:after="0"/>
              <w:rPr>
                <w:sz w:val="20"/>
                <w:szCs w:val="20"/>
                <w:color w:val="auto"/>
              </w:rPr>
            </w:pPr>
            <w:r>
              <w:rPr>
                <w:rFonts w:ascii="Times New Roman" w:cs="Times New Roman" w:eastAsia="Times New Roman" w:hAnsi="Times New Roman"/>
                <w:sz w:val="29"/>
                <w:szCs w:val="29"/>
                <w:b w:val="1"/>
                <w:bCs w:val="1"/>
                <w:color w:val="auto"/>
                <w:w w:val="98"/>
              </w:rPr>
              <w:t>PENNANTPARK INVESTMENT CORPORATION</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10580" w:type="dxa"/>
            <w:vAlign w:val="bottom"/>
            <w:gridSpan w:val="3"/>
          </w:tcPr>
          <w:p>
            <w:pPr>
              <w:jc w:val="center"/>
              <w:ind w:right="564"/>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520" w:type="dxa"/>
            <w:vAlign w:val="bottom"/>
            <w:gridSpan w:val="2"/>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4060" w:type="dxa"/>
            <w:vAlign w:val="bottom"/>
          </w:tcPr>
          <w:p>
            <w:pPr>
              <w:jc w:val="right"/>
              <w:ind w:right="2324"/>
              <w:spacing w:after="0"/>
              <w:rPr>
                <w:sz w:val="20"/>
                <w:szCs w:val="20"/>
                <w:color w:val="auto"/>
              </w:rPr>
            </w:pPr>
            <w:r>
              <w:rPr>
                <w:rFonts w:ascii="Times New Roman" w:cs="Times New Roman" w:eastAsia="Times New Roman" w:hAnsi="Times New Roman"/>
                <w:sz w:val="14"/>
                <w:szCs w:val="14"/>
                <w:b w:val="1"/>
                <w:bCs w:val="1"/>
                <w:color w:val="auto"/>
              </w:rPr>
              <w:t>20-8250744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520" w:type="dxa"/>
            <w:vAlign w:val="bottom"/>
            <w:gridSpan w:val="2"/>
          </w:tcPr>
          <w:p>
            <w:pPr>
              <w:jc w:val="center"/>
              <w:ind w:right="2320"/>
              <w:spacing w:after="0"/>
              <w:rPr>
                <w:sz w:val="20"/>
                <w:szCs w:val="20"/>
                <w:color w:val="auto"/>
              </w:rPr>
            </w:pPr>
            <w:r>
              <w:rPr>
                <w:rFonts w:ascii="Times New Roman" w:cs="Times New Roman" w:eastAsia="Times New Roman" w:hAnsi="Times New Roman"/>
                <w:sz w:val="12"/>
                <w:szCs w:val="12"/>
                <w:b w:val="1"/>
                <w:bCs w:val="1"/>
                <w:color w:val="auto"/>
                <w:w w:val="96"/>
              </w:rPr>
              <w:t>(State or other jurisdiction of incorporation or organization)</w:t>
            </w:r>
          </w:p>
        </w:tc>
        <w:tc>
          <w:tcPr>
            <w:tcW w:w="4060" w:type="dxa"/>
            <w:vAlign w:val="bottom"/>
          </w:tcPr>
          <w:p>
            <w:pPr>
              <w:jc w:val="center"/>
              <w:ind w:right="1344"/>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96"/>
        </w:trPr>
        <w:tc>
          <w:tcPr>
            <w:tcW w:w="660" w:type="dxa"/>
            <w:vAlign w:val="bottom"/>
          </w:tcPr>
          <w:p>
            <w:pPr>
              <w:spacing w:after="0"/>
              <w:rPr>
                <w:sz w:val="24"/>
                <w:szCs w:val="24"/>
                <w:color w:val="auto"/>
              </w:rPr>
            </w:pPr>
          </w:p>
        </w:tc>
        <w:tc>
          <w:tcPr>
            <w:tcW w:w="6520" w:type="dxa"/>
            <w:vAlign w:val="bottom"/>
            <w:gridSpan w:val="2"/>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1691 Michigan Avenue</w:t>
            </w:r>
          </w:p>
        </w:tc>
        <w:tc>
          <w:tcPr>
            <w:tcW w:w="4060" w:type="dxa"/>
            <w:vAlign w:val="bottom"/>
            <w:vMerge w:val="restart"/>
          </w:tcPr>
          <w:p>
            <w:pPr>
              <w:jc w:val="right"/>
              <w:ind w:right="2484"/>
              <w:spacing w:after="0"/>
              <w:rPr>
                <w:sz w:val="20"/>
                <w:szCs w:val="20"/>
                <w:color w:val="auto"/>
              </w:rPr>
            </w:pPr>
            <w:r>
              <w:rPr>
                <w:rFonts w:ascii="Times New Roman" w:cs="Times New Roman" w:eastAsia="Times New Roman" w:hAnsi="Times New Roman"/>
                <w:sz w:val="14"/>
                <w:szCs w:val="14"/>
                <w:b w:val="1"/>
                <w:bCs w:val="1"/>
                <w:color w:val="auto"/>
              </w:rPr>
              <w:t>33319</w:t>
            </w:r>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6520" w:type="dxa"/>
            <w:vAlign w:val="bottom"/>
            <w:gridSpan w:val="2"/>
            <w:vMerge w:val="restart"/>
          </w:tcPr>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Miami, Florida.</w:t>
            </w:r>
          </w:p>
        </w:tc>
        <w:tc>
          <w:tcPr>
            <w:tcW w:w="4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6520" w:type="dxa"/>
            <w:vAlign w:val="bottom"/>
            <w:gridSpan w:val="2"/>
            <w:vMerge w:val="continue"/>
          </w:tcPr>
          <w:p>
            <w:pPr>
              <w:spacing w:after="0"/>
              <w:rPr>
                <w:sz w:val="5"/>
                <w:szCs w:val="5"/>
                <w:color w:val="auto"/>
              </w:rPr>
            </w:pPr>
          </w:p>
        </w:tc>
        <w:tc>
          <w:tcPr>
            <w:tcW w:w="4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6520" w:type="dxa"/>
            <w:vAlign w:val="bottom"/>
            <w:gridSpan w:val="2"/>
          </w:tcPr>
          <w:p>
            <w:pPr>
              <w:jc w:val="center"/>
              <w:ind w:right="2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060" w:type="dxa"/>
            <w:vAlign w:val="bottom"/>
          </w:tcPr>
          <w:p>
            <w:pPr>
              <w:jc w:val="center"/>
              <w:ind w:right="1364"/>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24"/>
        </w:trPr>
        <w:tc>
          <w:tcPr>
            <w:tcW w:w="660" w:type="dxa"/>
            <w:vAlign w:val="bottom"/>
          </w:tcPr>
          <w:p>
            <w:pPr>
              <w:spacing w:after="0"/>
              <w:rPr>
                <w:sz w:val="24"/>
                <w:szCs w:val="24"/>
                <w:color w:val="auto"/>
              </w:rPr>
            </w:pPr>
          </w:p>
        </w:tc>
        <w:tc>
          <w:tcPr>
            <w:tcW w:w="5980" w:type="dxa"/>
            <w:vAlign w:val="bottom"/>
          </w:tcPr>
          <w:p>
            <w:pPr>
              <w:jc w:val="center"/>
              <w:ind w:left="3869"/>
              <w:spacing w:after="0"/>
              <w:rPr>
                <w:sz w:val="20"/>
                <w:szCs w:val="20"/>
                <w:color w:val="auto"/>
              </w:rPr>
            </w:pPr>
            <w:r>
              <w:rPr>
                <w:rFonts w:ascii="Times New Roman" w:cs="Times New Roman" w:eastAsia="Times New Roman" w:hAnsi="Times New Roman"/>
                <w:sz w:val="14"/>
                <w:szCs w:val="14"/>
                <w:b w:val="1"/>
                <w:bCs w:val="1"/>
                <w:color w:val="auto"/>
              </w:rPr>
              <w:t>(786) 297-9500</w:t>
            </w:r>
          </w:p>
        </w:tc>
        <w:tc>
          <w:tcPr>
            <w:tcW w:w="5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60" w:type="dxa"/>
            <w:vAlign w:val="bottom"/>
          </w:tcPr>
          <w:p>
            <w:pPr>
              <w:spacing w:after="0"/>
              <w:rPr>
                <w:sz w:val="13"/>
                <w:szCs w:val="13"/>
                <w:color w:val="auto"/>
              </w:rPr>
            </w:pPr>
          </w:p>
        </w:tc>
        <w:tc>
          <w:tcPr>
            <w:tcW w:w="6520" w:type="dxa"/>
            <w:vAlign w:val="bottom"/>
            <w:gridSpan w:val="2"/>
          </w:tcPr>
          <w:p>
            <w:pPr>
              <w:jc w:val="center"/>
              <w:ind w:left="3309"/>
              <w:spacing w:after="0"/>
              <w:rPr>
                <w:sz w:val="20"/>
                <w:szCs w:val="20"/>
                <w:color w:val="auto"/>
              </w:rPr>
            </w:pPr>
            <w:r>
              <w:rPr>
                <w:rFonts w:ascii="Times New Roman" w:cs="Times New Roman" w:eastAsia="Times New Roman" w:hAnsi="Times New Roman"/>
                <w:sz w:val="12"/>
                <w:szCs w:val="12"/>
                <w:b w:val="1"/>
                <w:bCs w:val="1"/>
                <w:color w:val="auto"/>
                <w:w w:val="96"/>
              </w:rPr>
              <w:t>(Registrant’s Telephone Number, Including Area Code)</w:t>
            </w:r>
          </w:p>
        </w:tc>
        <w:tc>
          <w:tcPr>
            <w:tcW w:w="4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-2778760</wp:posOffset>
            </wp:positionV>
            <wp:extent cx="73025" cy="113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025" cy="113030"/>
                    </a:xfrm>
                    <a:prstGeom prst="rect">
                      <a:avLst/>
                    </a:prstGeom>
                    <a:noFill/>
                  </pic:spPr>
                </pic:pic>
              </a:graphicData>
            </a:graphic>
          </wp:anchor>
        </w:drawing>
        <w:drawing>
          <wp:anchor simplePos="0" relativeHeight="251657728" behindDoc="1" locked="0" layoutInCell="0" allowOverlap="1">
            <wp:simplePos x="0" y="0"/>
            <wp:positionH relativeFrom="column">
              <wp:posOffset>101600</wp:posOffset>
            </wp:positionH>
            <wp:positionV relativeFrom="paragraph">
              <wp:posOffset>-2186940</wp:posOffset>
            </wp:positionV>
            <wp:extent cx="73025" cy="113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25" cy="113030"/>
                    </a:xfrm>
                    <a:prstGeom prst="rect">
                      <a:avLst/>
                    </a:prstGeom>
                    <a:noFill/>
                  </pic:spPr>
                </pic:pic>
              </a:graphicData>
            </a:graphic>
          </wp:anchor>
        </w:drawing>
      </w: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40"/>
          </w:cols>
          <w:pgMar w:left="320" w:top="633" w:right="339" w:bottom="1440" w:gutter="0" w:footer="0" w:header="0"/>
        </w:sectPr>
      </w:pPr>
    </w:p>
    <w:p>
      <w:pPr>
        <w:spacing w:after="0" w:line="18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1800" w:space="720"/>
            <w:col w:w="3660"/>
          </w:cols>
          <w:pgMar w:left="320" w:top="633" w:right="3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The New York Stock Exchange</w:t>
      </w:r>
    </w:p>
    <w:p>
      <w:pPr>
        <w:spacing w:after="0" w:line="200" w:lineRule="exact"/>
        <w:rPr>
          <w:sz w:val="24"/>
          <w:szCs w:val="24"/>
          <w:color w:val="auto"/>
        </w:rPr>
      </w:pPr>
    </w:p>
    <w:p>
      <w:pPr>
        <w:sectPr>
          <w:pgSz w:w="11900" w:h="16838" w:orient="portrait"/>
          <w:cols w:equalWidth="0" w:num="3">
            <w:col w:w="4720" w:space="720"/>
            <w:col w:w="1940" w:space="720"/>
            <w:col w:w="3140"/>
          </w:cols>
          <w:pgMar w:left="320" w:top="633" w:right="339" w:bottom="1440" w:gutter="0" w:footer="0" w:header="0"/>
          <w:type w:val="continuous"/>
        </w:sect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p>
      <w:pPr>
        <w:sectPr>
          <w:pgSz w:w="11900" w:h="16838" w:orient="portrait"/>
          <w:cols w:equalWidth="0" w:num="1">
            <w:col w:w="11240"/>
          </w:cols>
          <w:pgMar w:left="320" w:top="633" w:right="339" w:bottom="1440" w:gutter="0" w:footer="0" w:header="0"/>
          <w:type w:val="continuous"/>
        </w:sectPr>
      </w:pPr>
    </w:p>
    <w:p>
      <w:pPr>
        <w:spacing w:after="0" w:line="7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 xml:space="preserve">Yes </w:t>
      </w:r>
      <w:r>
        <w:rPr>
          <w:rFonts w:ascii="Wingdings" w:cs="Wingdings" w:eastAsia="Wingdings" w:hAnsi="Wingdings"/>
          <w:sz w:val="13"/>
          <w:szCs w:val="13"/>
          <w:b w:val="1"/>
          <w:bCs w:val="1"/>
          <w:color w:val="auto"/>
        </w:rPr>
        <w:t></w:t>
      </w:r>
    </w:p>
    <w:p>
      <w:pPr>
        <w:spacing w:after="0" w:line="20" w:lineRule="exact"/>
        <w:rPr>
          <w:sz w:val="24"/>
          <w:szCs w:val="24"/>
          <w:color w:val="auto"/>
        </w:rPr>
      </w:pPr>
      <w:r>
        <w:rPr>
          <w:sz w:val="24"/>
          <w:szCs w:val="24"/>
          <w:color w:val="auto"/>
        </w:rPr>
        <w:br w:type="column"/>
      </w:r>
    </w:p>
    <w:p>
      <w:pPr>
        <w:spacing w:after="0" w:line="5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w:t>
      </w:r>
    </w:p>
    <w:p>
      <w:pPr>
        <w:spacing w:after="0" w:line="69" w:lineRule="exact"/>
        <w:rPr>
          <w:sz w:val="24"/>
          <w:szCs w:val="24"/>
          <w:color w:val="auto"/>
        </w:rPr>
      </w:pPr>
    </w:p>
    <w:p>
      <w:pPr>
        <w:sectPr>
          <w:pgSz w:w="11900" w:h="16838" w:orient="portrait"/>
          <w:cols w:equalWidth="0" w:num="3">
            <w:col w:w="7220" w:space="140"/>
            <w:col w:w="360" w:space="160"/>
            <w:col w:w="3360"/>
          </w:cols>
          <w:pgMar w:left="320" w:top="633"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w:t>
      </w:r>
    </w:p>
    <w:p>
      <w:pPr>
        <w:spacing w:after="0" w:line="69" w:lineRule="exact"/>
        <w:rPr>
          <w:sz w:val="24"/>
          <w:szCs w:val="24"/>
          <w:color w:val="auto"/>
        </w:rPr>
      </w:pPr>
    </w:p>
    <w:p>
      <w:pPr>
        <w:sectPr>
          <w:pgSz w:w="11900" w:h="16838" w:orient="portrait"/>
          <w:cols w:equalWidth="0" w:num="3">
            <w:col w:w="7340" w:space="140"/>
            <w:col w:w="380" w:space="140"/>
            <w:col w:w="3240"/>
          </w:cols>
          <w:pgMar w:left="320" w:top="633" w:right="339" w:bottom="1440" w:gutter="0" w:footer="0" w:header="0"/>
          <w:type w:val="continuous"/>
        </w:sectPr>
      </w:pPr>
    </w:p>
    <w:p>
      <w:pPr>
        <w:ind w:right="180" w:firstLine="449"/>
        <w:spacing w:after="0" w:line="28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w:t>
      </w:r>
    </w:p>
    <w:p>
      <w:pPr>
        <w:spacing w:after="0" w:line="13" w:lineRule="exact"/>
        <w:rPr>
          <w:sz w:val="24"/>
          <w:szCs w:val="24"/>
          <w:color w:val="auto"/>
        </w:rPr>
      </w:pPr>
    </w:p>
    <w:p>
      <w:pPr>
        <w:ind w:right="140" w:firstLine="449"/>
        <w:spacing w:after="0" w:line="2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p>
    <w:p>
      <w:pPr>
        <w:spacing w:after="0" w:line="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p>
      <w:pPr>
        <w:spacing w:after="0" w:line="1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10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500" w:type="dxa"/>
            <w:vAlign w:val="bottom"/>
          </w:tcPr>
          <w:p>
            <w:pPr>
              <w:spacing w:after="0"/>
              <w:rPr>
                <w:sz w:val="16"/>
                <w:szCs w:val="16"/>
                <w:color w:val="auto"/>
              </w:rPr>
            </w:pPr>
          </w:p>
        </w:tc>
      </w:tr>
      <w:tr>
        <w:trPr>
          <w:trHeight w:val="348"/>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680"/>
              <w:spacing w:after="0"/>
              <w:rPr>
                <w:sz w:val="20"/>
                <w:szCs w:val="20"/>
                <w:color w:val="auto"/>
              </w:rPr>
            </w:pPr>
            <w:r>
              <w:rPr>
                <w:rFonts w:ascii="Wingdings" w:cs="Wingdings" w:eastAsia="Wingdings" w:hAnsi="Wingdings"/>
                <w:sz w:val="14"/>
                <w:szCs w:val="14"/>
                <w:b w:val="1"/>
                <w:bCs w:val="1"/>
                <w:color w:val="auto"/>
              </w:rPr>
              <w:t></w:t>
            </w:r>
          </w:p>
        </w:tc>
        <w:tc>
          <w:tcPr>
            <w:tcW w:w="476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rPr>
                <w:sz w:val="20"/>
                <w:szCs w:val="20"/>
                <w:color w:val="auto"/>
              </w:rPr>
            </w:pPr>
            <w:r>
              <w:rPr>
                <w:rFonts w:ascii="Wingdings" w:cs="Wingdings" w:eastAsia="Wingdings" w:hAnsi="Wingdings"/>
                <w:sz w:val="14"/>
                <w:szCs w:val="14"/>
                <w:b w:val="1"/>
                <w:bCs w:val="1"/>
                <w:color w:val="auto"/>
                <w:w w:val="79"/>
              </w:rPr>
              <w:t></w:t>
            </w:r>
          </w:p>
        </w:tc>
      </w:tr>
      <w:tr>
        <w:trPr>
          <w:trHeight w:val="297"/>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680"/>
              <w:spacing w:after="0"/>
              <w:rPr>
                <w:sz w:val="20"/>
                <w:szCs w:val="20"/>
                <w:color w:val="auto"/>
              </w:rPr>
            </w:pPr>
            <w:r>
              <w:rPr>
                <w:rFonts w:ascii="Wingdings" w:cs="Wingdings" w:eastAsia="Wingdings" w:hAnsi="Wingdings"/>
                <w:sz w:val="14"/>
                <w:szCs w:val="14"/>
                <w:b w:val="1"/>
                <w:bCs w:val="1"/>
                <w:color w:val="auto"/>
              </w:rPr>
              <w:t></w:t>
            </w:r>
          </w:p>
        </w:tc>
        <w:tc>
          <w:tcPr>
            <w:tcW w:w="4760" w:type="dxa"/>
            <w:vAlign w:val="bottom"/>
          </w:tcPr>
          <w:p>
            <w:pPr>
              <w:ind w:left="27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rPr>
                <w:sz w:val="20"/>
                <w:szCs w:val="20"/>
                <w:color w:val="auto"/>
              </w:rPr>
            </w:pPr>
            <w:r>
              <w:rPr>
                <w:rFonts w:ascii="Wingdings" w:cs="Wingdings" w:eastAsia="Wingdings" w:hAnsi="Wingdings"/>
                <w:sz w:val="14"/>
                <w:szCs w:val="14"/>
                <w:b w:val="1"/>
                <w:bCs w:val="1"/>
                <w:color w:val="auto"/>
                <w:w w:val="79"/>
              </w:rPr>
              <w:t></w:t>
            </w:r>
          </w:p>
        </w:tc>
      </w:tr>
      <w:tr>
        <w:trPr>
          <w:trHeight w:val="283"/>
        </w:trPr>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620" w:type="dxa"/>
            <w:vAlign w:val="bottom"/>
          </w:tcPr>
          <w:p>
            <w:pPr>
              <w:ind w:left="680"/>
              <w:spacing w:after="0"/>
              <w:rPr>
                <w:sz w:val="20"/>
                <w:szCs w:val="20"/>
                <w:color w:val="auto"/>
              </w:rPr>
            </w:pPr>
            <w:r>
              <w:rPr>
                <w:rFonts w:ascii="Wingdings" w:cs="Wingdings" w:eastAsia="Wingdings" w:hAnsi="Wingdings"/>
                <w:sz w:val="14"/>
                <w:szCs w:val="14"/>
                <w:b w:val="1"/>
                <w:bCs w:val="1"/>
                <w:color w:val="auto"/>
              </w:rPr>
              <w:t></w:t>
            </w:r>
          </w:p>
        </w:tc>
        <w:tc>
          <w:tcPr>
            <w:tcW w:w="47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76" w:lineRule="exact"/>
        <w:rPr>
          <w:sz w:val="24"/>
          <w:szCs w:val="24"/>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w:t>
      </w:r>
    </w:p>
    <w:p>
      <w:pPr>
        <w:spacing w:after="0" w:line="148" w:lineRule="exact"/>
        <w:rPr>
          <w:sz w:val="24"/>
          <w:szCs w:val="24"/>
          <w:color w:val="auto"/>
        </w:rPr>
      </w:pPr>
    </w:p>
    <w:p>
      <w:pPr>
        <w:ind w:right="8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1" w:lineRule="exact"/>
        <w:rPr>
          <w:sz w:val="24"/>
          <w:szCs w:val="24"/>
          <w:color w:val="auto"/>
        </w:rPr>
      </w:pPr>
    </w:p>
    <w:p>
      <w:pPr>
        <w:ind w:left="460"/>
        <w:spacing w:after="0"/>
        <w:tabs>
          <w:tab w:leader="none" w:pos="7120" w:val="left"/>
          <w:tab w:leader="none" w:pos="7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w:t>
      </w:r>
    </w:p>
    <w:p>
      <w:pPr>
        <w:spacing w:after="0" w:line="6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on March 31, 2022 based on the closing price on that date of $7.78 on The New York Stock</w:t>
      </w:r>
    </w:p>
    <w:p>
      <w:pPr>
        <w:spacing w:after="0" w:line="17" w:lineRule="exact"/>
        <w:rPr>
          <w:sz w:val="24"/>
          <w:szCs w:val="24"/>
          <w:color w:val="auto"/>
        </w:rPr>
      </w:pPr>
    </w:p>
    <w:p>
      <w:pPr>
        <w:ind w:right="480"/>
        <w:spacing w:after="0" w:line="239" w:lineRule="auto"/>
        <w:rPr>
          <w:sz w:val="20"/>
          <w:szCs w:val="20"/>
          <w:color w:val="auto"/>
        </w:rPr>
      </w:pPr>
      <w:r>
        <w:rPr>
          <w:rFonts w:ascii="Times New Roman" w:cs="Times New Roman" w:eastAsia="Times New Roman" w:hAnsi="Times New Roman"/>
          <w:sz w:val="14"/>
          <w:szCs w:val="14"/>
          <w:color w:val="auto"/>
        </w:rPr>
        <w:t>Exchange was approximately $514.5 million. For the purposes of calculating the aggregate market value of common stock held by non-affiliates, all directors and executive officers of the Registrant have been treated as affiliates. There were 65,224,500 shares of the Registrant’s common stock outstanding as of November 17, 2022.</w:t>
      </w:r>
    </w:p>
    <w:p>
      <w:pPr>
        <w:spacing w:after="0" w:line="41" w:lineRule="exact"/>
        <w:rPr>
          <w:sz w:val="24"/>
          <w:szCs w:val="24"/>
          <w:color w:val="auto"/>
        </w:rPr>
      </w:pPr>
    </w:p>
    <w:p>
      <w:pPr>
        <w:ind w:right="160" w:firstLine="449"/>
        <w:spacing w:after="0" w:line="282" w:lineRule="auto"/>
        <w:rPr>
          <w:sz w:val="20"/>
          <w:szCs w:val="20"/>
          <w:color w:val="auto"/>
        </w:rPr>
      </w:pPr>
      <w:r>
        <w:rPr>
          <w:rFonts w:ascii="Times New Roman" w:cs="Times New Roman" w:eastAsia="Times New Roman" w:hAnsi="Times New Roman"/>
          <w:sz w:val="14"/>
          <w:szCs w:val="14"/>
          <w:color w:val="auto"/>
        </w:rPr>
        <w:t>Documents Incorporated by Reference: Portions of the Registrant’s Proxy Statement relating to the Registrant’s 2023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20" w:type="dxa"/>
            <w:vAlign w:val="bottom"/>
            <w:gridSpan w:val="1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60" w:type="dxa"/>
            <w:vAlign w:val="bottom"/>
            <w:gridSpan w:val="13"/>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20" w:type="dxa"/>
            <w:vAlign w:val="bottom"/>
            <w:gridSpan w:val="15"/>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FOR THE FISCAL YEAR ENDED SEPTEMBER 30, 2022</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60" w:type="dxa"/>
            <w:vAlign w:val="bottom"/>
            <w:gridSpan w:val="13"/>
          </w:tcPr>
          <w:p>
            <w:pPr>
              <w:jc w:val="center"/>
              <w:ind w:right="26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11"/>
          </w:tcPr>
          <w:p>
            <w:pPr>
              <w:jc w:val="center"/>
              <w:ind w:right="342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42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Business</w:t>
            </w:r>
          </w:p>
        </w:tc>
        <w:tc>
          <w:tcPr>
            <w:tcW w:w="460" w:type="dxa"/>
            <w:vAlign w:val="bottom"/>
            <w:tcBorders>
              <w:top w:val="single" w:sz="8" w:color="0000FF"/>
            </w:tcBorders>
            <w:gridSpan w:val="2"/>
          </w:tcPr>
          <w:p>
            <w:pPr>
              <w:spacing w:after="0"/>
              <w:rPr>
                <w:sz w:val="24"/>
                <w:szCs w:val="24"/>
                <w:color w:val="auto"/>
              </w:rPr>
            </w:pPr>
          </w:p>
        </w:tc>
        <w:tc>
          <w:tcPr>
            <w:tcW w:w="3440" w:type="dxa"/>
            <w:vAlign w:val="bottom"/>
            <w:gridSpan w:val="8"/>
          </w:tcPr>
          <w:p>
            <w:pPr>
              <w:spacing w:after="0"/>
              <w:rPr>
                <w:sz w:val="24"/>
                <w:szCs w:val="24"/>
                <w:color w:val="auto"/>
              </w:rPr>
            </w:pP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5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w:t>
            </w:r>
          </w:p>
        </w:tc>
        <w:tc>
          <w:tcPr>
            <w:tcW w:w="0" w:type="dxa"/>
            <w:vAlign w:val="bottom"/>
          </w:tcPr>
          <w:p>
            <w:pPr>
              <w:spacing w:after="0" w:line="20" w:lineRule="exact"/>
              <w:rPr>
                <w:sz w:val="1"/>
                <w:szCs w:val="1"/>
                <w:color w:val="auto"/>
              </w:rPr>
            </w:pPr>
          </w:p>
        </w:tc>
      </w:tr>
      <w:tr>
        <w:trPr>
          <w:trHeight w:val="479"/>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1B.</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0" w:type="dxa"/>
            <w:vAlign w:val="bottom"/>
          </w:tcPr>
          <w:p>
            <w:pPr>
              <w:spacing w:after="0" w:line="20" w:lineRule="exact"/>
              <w:rPr>
                <w:sz w:val="1"/>
                <w:szCs w:val="1"/>
                <w:color w:val="auto"/>
              </w:rPr>
            </w:pPr>
          </w:p>
        </w:tc>
      </w:tr>
      <w:tr>
        <w:trPr>
          <w:trHeight w:val="479"/>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6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0" w:type="dxa"/>
            <w:vAlign w:val="bottom"/>
          </w:tcPr>
          <w:p>
            <w:pPr>
              <w:spacing w:after="0" w:line="20" w:lineRule="exact"/>
              <w:rPr>
                <w:sz w:val="1"/>
                <w:szCs w:val="1"/>
                <w:color w:val="auto"/>
              </w:rPr>
            </w:pPr>
          </w:p>
        </w:tc>
      </w:tr>
      <w:tr>
        <w:trPr>
          <w:trHeight w:val="479"/>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11"/>
          </w:tcPr>
          <w:p>
            <w:pPr>
              <w:jc w:val="center"/>
              <w:ind w:right="3420"/>
              <w:spacing w:after="0"/>
              <w:rPr>
                <w:sz w:val="20"/>
                <w:szCs w:val="20"/>
                <w:color w:val="auto"/>
              </w:rPr>
            </w:pPr>
            <w:r>
              <w:rPr>
                <w:rFonts w:ascii="Times New Roman" w:cs="Times New Roman" w:eastAsia="Times New Roman" w:hAnsi="Times New Roman"/>
                <w:sz w:val="14"/>
                <w:szCs w:val="14"/>
                <w:b w:val="1"/>
                <w:bCs w:val="1"/>
                <w:color w:val="0000FF"/>
                <w:w w:val="95"/>
              </w:rPr>
              <w:t>PART II</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6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39</w:t>
            </w:r>
          </w:p>
        </w:tc>
        <w:tc>
          <w:tcPr>
            <w:tcW w:w="0" w:type="dxa"/>
            <w:vAlign w:val="bottom"/>
          </w:tcPr>
          <w:p>
            <w:pPr>
              <w:spacing w:after="0" w:line="20" w:lineRule="exact"/>
              <w:rPr>
                <w:sz w:val="1"/>
                <w:szCs w:val="1"/>
                <w:color w:val="auto"/>
              </w:rPr>
            </w:pPr>
          </w:p>
        </w:tc>
      </w:tr>
      <w:tr>
        <w:trPr>
          <w:trHeight w:val="479"/>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w:t>
            </w:r>
          </w:p>
        </w:tc>
        <w:tc>
          <w:tcPr>
            <w:tcW w:w="0" w:type="dxa"/>
            <w:vAlign w:val="bottom"/>
          </w:tcPr>
          <w:p>
            <w:pPr>
              <w:spacing w:after="0" w:line="20" w:lineRule="exact"/>
              <w:rPr>
                <w:sz w:val="1"/>
                <w:szCs w:val="1"/>
                <w:color w:val="auto"/>
              </w:rPr>
            </w:pPr>
          </w:p>
        </w:tc>
      </w:tr>
      <w:tr>
        <w:trPr>
          <w:trHeight w:val="479"/>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Selected Financial Data</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7.</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44</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7A.</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w:t>
            </w:r>
          </w:p>
        </w:tc>
        <w:tc>
          <w:tcPr>
            <w:tcW w:w="0" w:type="dxa"/>
            <w:vAlign w:val="bottom"/>
          </w:tcPr>
          <w:p>
            <w:pPr>
              <w:spacing w:after="0" w:line="20" w:lineRule="exact"/>
              <w:rPr>
                <w:sz w:val="1"/>
                <w:szCs w:val="1"/>
                <w:color w:val="auto"/>
              </w:rPr>
            </w:pPr>
          </w:p>
        </w:tc>
      </w:tr>
      <w:tr>
        <w:trPr>
          <w:trHeight w:val="479"/>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59</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Consolidated Financial Statements and Supplementary Data</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9.</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95</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9A.</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95</w:t>
            </w:r>
          </w:p>
        </w:tc>
        <w:tc>
          <w:tcPr>
            <w:tcW w:w="0" w:type="dxa"/>
            <w:vAlign w:val="bottom"/>
          </w:tcPr>
          <w:p>
            <w:pPr>
              <w:spacing w:after="0" w:line="20" w:lineRule="exact"/>
              <w:rPr>
                <w:sz w:val="1"/>
                <w:szCs w:val="1"/>
                <w:color w:val="auto"/>
              </w:rPr>
            </w:pPr>
          </w:p>
        </w:tc>
      </w:tr>
      <w:tr>
        <w:trPr>
          <w:trHeight w:val="479"/>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9B.</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95</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Borders>
              <w:bottom w:val="single" w:sz="8" w:color="0000FF"/>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3380" w:type="dxa"/>
            <w:vAlign w:val="bottom"/>
            <w:gridSpan w:val="5"/>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Item 10.</w:t>
            </w: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96</w:t>
            </w: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11.</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gridSpan w:val="5"/>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96</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12.</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EE"/>
            </w:tcBorders>
            <w:gridSpan w:val="5"/>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96</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13.</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96</w:t>
            </w:r>
          </w:p>
        </w:tc>
        <w:tc>
          <w:tcPr>
            <w:tcW w:w="0" w:type="dxa"/>
            <w:vAlign w:val="bottom"/>
          </w:tcPr>
          <w:p>
            <w:pPr>
              <w:spacing w:after="0" w:line="20" w:lineRule="exact"/>
              <w:rPr>
                <w:sz w:val="1"/>
                <w:szCs w:val="1"/>
                <w:color w:val="auto"/>
              </w:rPr>
            </w:pPr>
          </w:p>
        </w:tc>
      </w:tr>
      <w:tr>
        <w:trPr>
          <w:trHeight w:val="479"/>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0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96</w:t>
            </w:r>
          </w:p>
        </w:tc>
        <w:tc>
          <w:tcPr>
            <w:tcW w:w="0" w:type="dxa"/>
            <w:vAlign w:val="bottom"/>
          </w:tcPr>
          <w:p>
            <w:pPr>
              <w:spacing w:after="0" w:line="20" w:lineRule="exact"/>
              <w:rPr>
                <w:sz w:val="1"/>
                <w:szCs w:val="1"/>
                <w:color w:val="auto"/>
              </w:rPr>
            </w:pPr>
          </w:p>
        </w:tc>
      </w:tr>
      <w:tr>
        <w:trPr>
          <w:trHeight w:val="480"/>
        </w:trPr>
        <w:tc>
          <w:tcPr>
            <w:tcW w:w="1160" w:type="dxa"/>
            <w:vAlign w:val="bottom"/>
            <w:vMerge w:val="continue"/>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1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11"/>
          </w:tcPr>
          <w:p>
            <w:pPr>
              <w:jc w:val="center"/>
              <w:ind w:right="338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42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20" w:type="dxa"/>
            <w:vAlign w:val="bottom"/>
            <w:tcBorders>
              <w:top w:val="single" w:sz="8" w:color="0000FF"/>
            </w:tcBorders>
            <w:gridSpan w:val="5"/>
          </w:tcPr>
          <w:p>
            <w:pPr>
              <w:spacing w:after="0"/>
              <w:rPr>
                <w:sz w:val="24"/>
                <w:szCs w:val="24"/>
                <w:color w:val="auto"/>
              </w:rPr>
            </w:pPr>
          </w:p>
        </w:tc>
        <w:tc>
          <w:tcPr>
            <w:tcW w:w="3400" w:type="dxa"/>
            <w:vAlign w:val="bottom"/>
            <w:gridSpan w:val="6"/>
          </w:tcPr>
          <w:p>
            <w:pPr>
              <w:spacing w:after="0"/>
              <w:rPr>
                <w:sz w:val="24"/>
                <w:szCs w:val="24"/>
                <w:color w:val="auto"/>
              </w:rPr>
            </w:pPr>
          </w:p>
        </w:tc>
        <w:tc>
          <w:tcPr>
            <w:tcW w:w="1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1920" w:type="dxa"/>
            <w:vAlign w:val="bottom"/>
            <w:gridSpan w:val="8"/>
            <w:shd w:val="clear" w:color="auto" w:fill="0000FF"/>
          </w:tcPr>
          <w:p>
            <w:pPr>
              <w:spacing w:after="0" w:line="20" w:lineRule="exact"/>
              <w:rPr>
                <w:sz w:val="1"/>
                <w:szCs w:val="1"/>
                <w:color w:val="auto"/>
              </w:rPr>
            </w:pPr>
          </w:p>
        </w:tc>
        <w:tc>
          <w:tcPr>
            <w:tcW w:w="5620" w:type="dxa"/>
            <w:vAlign w:val="bottom"/>
            <w:gridSpan w:val="15"/>
          </w:tcPr>
          <w:p>
            <w:pPr>
              <w:spacing w:after="0" w:line="20" w:lineRule="exact"/>
              <w:rPr>
                <w:sz w:val="1"/>
                <w:szCs w:val="1"/>
                <w:color w:val="auto"/>
              </w:rPr>
            </w:pPr>
          </w:p>
        </w:tc>
        <w:tc>
          <w:tcPr>
            <w:tcW w:w="1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99</w:t>
            </w:r>
          </w:p>
        </w:tc>
        <w:tc>
          <w:tcPr>
            <w:tcW w:w="0" w:type="dxa"/>
            <w:vAlign w:val="bottom"/>
          </w:tcPr>
          <w:p>
            <w:pPr>
              <w:spacing w:after="0" w:line="20" w:lineRule="exact"/>
              <w:rPr>
                <w:sz w:val="1"/>
                <w:szCs w:val="1"/>
                <w:color w:val="auto"/>
              </w:rPr>
            </w:pPr>
          </w:p>
        </w:tc>
      </w:tr>
      <w:tr>
        <w:trPr>
          <w:trHeight w:val="480"/>
        </w:trPr>
        <w:tc>
          <w:tcPr>
            <w:tcW w:w="1160" w:type="dxa"/>
            <w:vAlign w:val="bottom"/>
          </w:tcPr>
          <w:p>
            <w:pPr>
              <w:spacing w:after="0"/>
              <w:rPr>
                <w:sz w:val="24"/>
                <w:szCs w:val="24"/>
                <w:color w:val="auto"/>
              </w:rPr>
            </w:pPr>
          </w:p>
        </w:tc>
        <w:tc>
          <w:tcPr>
            <w:tcW w:w="8140" w:type="dxa"/>
            <w:vAlign w:val="bottom"/>
            <w:gridSpan w:val="25"/>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94"/>
        </w:trPr>
        <w:tc>
          <w:tcPr>
            <w:tcW w:w="116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48" w:lineRule="exact"/>
        <w:rPr>
          <w:sz w:val="20"/>
          <w:szCs w:val="20"/>
          <w:color w:val="auto"/>
        </w:rPr>
      </w:pPr>
    </w:p>
    <w:p>
      <w:pPr>
        <w:ind w:firstLine="449"/>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In this annual report on Form 10-K, or the Report, except where context suggest otherwise, the terms “Company,” “we,” “our” or “us” refers to PennantPark Investment Corporation and its consolidated subsidiaries; “PennantPark Investment” refers to only PennantPark Investment Corporation; “our SBIC Fund” refers collectively to our consolidated subsidiary, PennantPark SBIC II LP, or SBIC II, and its general partner, PennantPark SBIC GP II, LLC; “Funding I” refers to PennantPark Investment Funding I, LLC, a wholly-owned subsidiary prior to deconsolidation on July 31, 2020; “Taxable Subsidiary” refers to PNNT Investment Holdings, LLC; “PSLF” refers to PennantPark Senior Loan Fund, LLC, an unconsolidated joint venture; “PTSF II” refers to PennantPark-TSO Senior Loan Fund II, LP, an unconsolidated limited partnership;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refers to our multi-currency, senior secured revolving credit facility with Truist Bank (formerly SunTrust Bank), as amended and restated; “2024 Notes” refers to our 5.50% Notes due 2024; “2026 Notes” refers to our 4.50% Notes due May 2026; “2026 Notes-2” refers to our 4.00% Notes due November 2026;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SBIC II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Investing in our common stock involves a high degree of risk. Some, but not all, of the risks and uncertainties that we face are related to:</w:t>
      </w:r>
    </w:p>
    <w:p>
      <w:pPr>
        <w:spacing w:after="0" w:line="204"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in compliance with the financial and operational covenants of our Truist Credit Facility;</w:t>
      </w:r>
    </w:p>
    <w:p>
      <w:pPr>
        <w:spacing w:after="0" w:line="2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in a highly competitive market for investment opportunities;</w:t>
      </w:r>
    </w:p>
    <w:p>
      <w:pPr>
        <w:spacing w:after="0" w:line="203" w:lineRule="exact"/>
        <w:rPr>
          <w:rFonts w:ascii="Times New Roman" w:cs="Times New Roman" w:eastAsia="Times New Roman" w:hAnsi="Times New Roman"/>
          <w:sz w:val="14"/>
          <w:szCs w:val="14"/>
          <w:color w:val="auto"/>
        </w:rPr>
      </w:pPr>
    </w:p>
    <w:p>
      <w:pPr>
        <w:ind w:left="760" w:right="100" w:hanging="378"/>
        <w:spacing w:after="0" w:line="30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prospects of our portfolio companies and the ability of our portfolio companies to achieve their objectives, the decline or failure of which may result in our borrowers defaulting on their payments to us;</w:t>
      </w:r>
    </w:p>
    <w:p>
      <w:pPr>
        <w:spacing w:after="0" w:line="134"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hire and retain qualified personnel, to monitor and administer our investments and to manage our future growth effectively;</w:t>
      </w:r>
    </w:p>
    <w:p>
      <w:pPr>
        <w:spacing w:after="0" w:line="2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interest rate environment, including the phasing out of LIBOR and the uncertainties associated therewith;</w:t>
      </w:r>
    </w:p>
    <w:p>
      <w:pPr>
        <w:spacing w:after="0" w:line="203" w:lineRule="exact"/>
        <w:rPr>
          <w:rFonts w:ascii="Times New Roman" w:cs="Times New Roman" w:eastAsia="Times New Roman" w:hAnsi="Times New Roman"/>
          <w:sz w:val="14"/>
          <w:szCs w:val="14"/>
          <w:color w:val="auto"/>
        </w:rPr>
      </w:pPr>
    </w:p>
    <w:p>
      <w:pPr>
        <w:ind w:left="760" w:right="80" w:hanging="378"/>
        <w:spacing w:after="0" w:line="28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information systems, the failure of which could result in delays or other problems with our business activities, and the susceptibility of such systems to cybersecurity threats;</w:t>
      </w:r>
    </w:p>
    <w:p>
      <w:pPr>
        <w:spacing w:after="0" w:line="16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replicate historical performance of other investment companies and funds with which our professionals have been affiliated;</w:t>
      </w:r>
    </w:p>
    <w:p>
      <w:pPr>
        <w:spacing w:after="0" w:line="257" w:lineRule="exact"/>
        <w:rPr>
          <w:rFonts w:ascii="Times New Roman" w:cs="Times New Roman" w:eastAsia="Times New Roman" w:hAnsi="Times New Roman"/>
          <w:sz w:val="14"/>
          <w:szCs w:val="14"/>
          <w:color w:val="auto"/>
        </w:rPr>
      </w:pPr>
    </w:p>
    <w:p>
      <w:pPr>
        <w:ind w:left="760" w:right="120" w:hanging="378"/>
        <w:spacing w:after="0" w:line="28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capital while remaining in compliance with certain annual distribution, asset coverage, asset composition and other regulatory requirements needed to maintain our status as a BDC and a RIC;</w:t>
      </w:r>
    </w:p>
    <w:p>
      <w:pPr>
        <w:spacing w:after="0" w:line="148"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applicable SBA requirements;</w:t>
      </w:r>
    </w:p>
    <w:p>
      <w:pPr>
        <w:spacing w:after="0" w:line="217" w:lineRule="exact"/>
        <w:rPr>
          <w:rFonts w:ascii="Times New Roman" w:cs="Times New Roman" w:eastAsia="Times New Roman" w:hAnsi="Times New Roman"/>
          <w:sz w:val="14"/>
          <w:szCs w:val="14"/>
          <w:color w:val="auto"/>
        </w:rPr>
      </w:pPr>
    </w:p>
    <w:p>
      <w:pPr>
        <w:ind w:left="760" w:right="20" w:hanging="378"/>
        <w:spacing w:after="0" w:line="28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leverage to fund our investments, including the indebtedness resulting from our Truist Credit Facility, 2026 Notes, 2026 Notes-2, and SBA debentures, and the risk that we may fail to comply with the terms governing such indebtedness or maintain certain asset coverage ratio requirements;</w:t>
      </w:r>
    </w:p>
    <w:p>
      <w:pPr>
        <w:spacing w:after="0" w:line="16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issuance of debt securities and/or preferred stock and the impact of such issuances on the value of our common stock or NAV;</w:t>
      </w:r>
    </w:p>
    <w:p>
      <w:pPr>
        <w:spacing w:after="0" w:line="20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that may make it difficult for us to refinance or extend the maturity of our existing indebtedness;</w:t>
      </w:r>
    </w:p>
    <w:p>
      <w:pPr>
        <w:spacing w:after="0" w:line="2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conflicts of interest of our Investment Adviser and Administrator;</w:t>
      </w:r>
    </w:p>
    <w:p>
      <w:pPr>
        <w:spacing w:after="0" w:line="2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dilution caused by any future issuances of subscription rights or warrants;</w:t>
      </w:r>
    </w:p>
    <w:p>
      <w:pPr>
        <w:spacing w:after="0" w:line="203" w:lineRule="exact"/>
        <w:rPr>
          <w:rFonts w:ascii="Times New Roman" w:cs="Times New Roman" w:eastAsia="Times New Roman" w:hAnsi="Times New Roman"/>
          <w:sz w:val="14"/>
          <w:szCs w:val="14"/>
          <w:color w:val="auto"/>
        </w:rPr>
      </w:pPr>
    </w:p>
    <w:p>
      <w:pPr>
        <w:ind w:left="760" w:right="440" w:hanging="378"/>
        <w:spacing w:after="0" w:line="28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recent financial reform legislation, uncertainty about presidential administration initiatives and any future laws and regulations on our business and our portfolio companies;</w:t>
      </w:r>
    </w:p>
    <w:p>
      <w:pPr>
        <w:spacing w:after="0" w:line="161" w:lineRule="exact"/>
        <w:rPr>
          <w:rFonts w:ascii="Times New Roman" w:cs="Times New Roman" w:eastAsia="Times New Roman" w:hAnsi="Times New Roman"/>
          <w:sz w:val="14"/>
          <w:szCs w:val="14"/>
          <w:color w:val="auto"/>
        </w:rPr>
      </w:pPr>
    </w:p>
    <w:p>
      <w:pPr>
        <w:ind w:left="760" w:right="260" w:hanging="378"/>
        <w:spacing w:after="0" w:line="28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objectives and decisions advanced by the board of directors or the Investment Adviser which are not subject to stockholder approval and potential activism by our shareholders;</w:t>
      </w:r>
    </w:p>
    <w:p>
      <w:pPr>
        <w:spacing w:after="0" w:line="16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illiquid nature of the assets in which we invest and our valuation procedures with respect to such assets;</w:t>
      </w:r>
    </w:p>
    <w:p>
      <w:pPr>
        <w:spacing w:after="0" w:line="203" w:lineRule="exact"/>
        <w:rPr>
          <w:rFonts w:ascii="Times New Roman" w:cs="Times New Roman" w:eastAsia="Times New Roman" w:hAnsi="Times New Roman"/>
          <w:sz w:val="14"/>
          <w:szCs w:val="14"/>
          <w:color w:val="auto"/>
        </w:rPr>
      </w:pPr>
    </w:p>
    <w:p>
      <w:pPr>
        <w:ind w:left="760" w:right="80" w:hanging="378"/>
        <w:spacing w:after="0" w:line="30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investments in first lien secured debt, second lien secured debt, subordinated debt and the equity of certain portfolio companies, and the risks of making such investments in privately held middle-market companies;</w:t>
      </w:r>
    </w:p>
    <w:p>
      <w:pPr>
        <w:spacing w:after="0" w:line="134" w:lineRule="exact"/>
        <w:rPr>
          <w:rFonts w:ascii="Times New Roman" w:cs="Times New Roman" w:eastAsia="Times New Roman" w:hAnsi="Times New Roman"/>
          <w:sz w:val="14"/>
          <w:szCs w:val="14"/>
          <w:color w:val="auto"/>
        </w:rPr>
      </w:pPr>
    </w:p>
    <w:p>
      <w:pPr>
        <w:ind w:left="760" w:right="440" w:hanging="378"/>
        <w:spacing w:after="0" w:line="28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Adviser’s incentive to make speculative investments to earn a greater incentive fee and, in some instances, our obligation to pay incentive compensation to our Investment Adviser even after we incur a loss;</w:t>
      </w:r>
    </w:p>
    <w:p>
      <w:pPr>
        <w:spacing w:after="0" w:line="16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dilution of our common stock which may result from issuances of our common stock below the then current NAV per share;</w:t>
      </w:r>
    </w:p>
    <w:p>
      <w:pPr>
        <w:spacing w:after="0" w:line="203" w:lineRule="exact"/>
        <w:rPr>
          <w:rFonts w:ascii="Times New Roman" w:cs="Times New Roman" w:eastAsia="Times New Roman" w:hAnsi="Times New Roman"/>
          <w:sz w:val="14"/>
          <w:szCs w:val="14"/>
          <w:color w:val="auto"/>
        </w:rPr>
      </w:pPr>
    </w:p>
    <w:p>
      <w:pPr>
        <w:ind w:left="760" w:right="380" w:hanging="378"/>
        <w:spacing w:after="0" w:line="302" w:lineRule="auto"/>
        <w:tabs>
          <w:tab w:leader="none" w:pos="7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allocation of net proceeds from offering in ways which you may not agree and our inability to invest proceeds from offerings in new investment opportunities, which could negatively affect our financial performance;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3" w:name="page4"/>
    <w:bookmarkEnd w:id="3"/>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liabilities resulting from reinvestments in our common stock or from receiving our stock as a distribution;</w:t>
      </w:r>
    </w:p>
    <w:p>
      <w:pPr>
        <w:spacing w:after="0" w:line="20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measures we have taken to deter takeover attempts, which may adversely impact the price of our common stock;</w:t>
      </w:r>
    </w:p>
    <w:p>
      <w:pPr>
        <w:spacing w:after="0" w:line="217" w:lineRule="exact"/>
        <w:rPr>
          <w:rFonts w:ascii="Times New Roman" w:cs="Times New Roman" w:eastAsia="Times New Roman" w:hAnsi="Times New Roman"/>
          <w:sz w:val="14"/>
          <w:szCs w:val="14"/>
          <w:color w:val="auto"/>
        </w:rPr>
      </w:pPr>
    </w:p>
    <w:p>
      <w:pPr>
        <w:ind w:left="760" w:right="100" w:hanging="378"/>
        <w:spacing w:after="0" w:line="282" w:lineRule="auto"/>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political, economic or industry conditions or conditions affecting the financial and capital markets, including changes caused by the ongoing invasion of Ukraine by Russia and the United Kingdom’s withdrawal from the European Union, that could cause volatility or prolonged disruption of the capital markets and impact the value of our assets;</w:t>
      </w:r>
    </w:p>
    <w:p>
      <w:pPr>
        <w:spacing w:after="0" w:line="16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novel coronavirus ("COVID-19") pandemic and its effect on our results of operations and the operations of our portfolio companies;</w:t>
      </w:r>
    </w:p>
    <w:p>
      <w:pPr>
        <w:spacing w:after="0" w:line="203" w:lineRule="exact"/>
        <w:rPr>
          <w:rFonts w:ascii="Times New Roman" w:cs="Times New Roman" w:eastAsia="Times New Roman" w:hAnsi="Times New Roman"/>
          <w:sz w:val="14"/>
          <w:szCs w:val="14"/>
          <w:color w:val="auto"/>
        </w:rPr>
      </w:pPr>
    </w:p>
    <w:p>
      <w:pPr>
        <w:ind w:left="760" w:right="280" w:hanging="378"/>
        <w:spacing w:after="0" w:line="282" w:lineRule="auto"/>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economic sanction laws in the United States and other jurisdictions which may prohibit us and our affiliates from transacting with certain countries, individuals and companies;</w:t>
      </w:r>
    </w:p>
    <w:p>
      <w:pPr>
        <w:spacing w:after="0" w:line="161"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litigation, whether initiated by shareholders or other parties; and</w:t>
      </w:r>
    </w:p>
    <w:p>
      <w:pPr>
        <w:spacing w:after="0" w:line="21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global climate change on the operations of our portfolio companies.</w:t>
      </w:r>
    </w:p>
    <w:p>
      <w:pPr>
        <w:spacing w:after="0" w:line="204"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4"/>
          <w:szCs w:val="14"/>
          <w:color w:val="auto"/>
        </w:rPr>
        <w:t>Additional risks and uncertainties not currently known to us or that we currently deem to be immaterial may also have a material adverse effect on our business, financial condition and/or operating results. For a more detailed discussion of the risks that you should consider prior to investing in our securities, see Item “1A. Risk Factors” below.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Business of PennantPark Investment Corporation</w:t>
      </w:r>
    </w:p>
    <w:p>
      <w:pPr>
        <w:spacing w:after="0" w:line="154"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09" w:lineRule="exact"/>
        <w:rPr>
          <w:sz w:val="20"/>
          <w:szCs w:val="20"/>
          <w:color w:val="auto"/>
        </w:rPr>
      </w:pPr>
    </w:p>
    <w:p>
      <w:pPr>
        <w:ind w:firstLine="449"/>
        <w:spacing w:after="0" w:line="247" w:lineRule="auto"/>
        <w:rPr>
          <w:sz w:val="20"/>
          <w:szCs w:val="20"/>
          <w:color w:val="auto"/>
        </w:rPr>
      </w:pPr>
      <w:r>
        <w:rPr>
          <w:rFonts w:ascii="Times New Roman" w:cs="Times New Roman" w:eastAsia="Times New Roman" w:hAnsi="Times New Roman"/>
          <w:sz w:val="14"/>
          <w:szCs w:val="14"/>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9"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154"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4" w:lineRule="exact"/>
        <w:rPr>
          <w:sz w:val="20"/>
          <w:szCs w:val="20"/>
          <w:color w:val="auto"/>
        </w:rPr>
      </w:pPr>
    </w:p>
    <w:p>
      <w:pPr>
        <w:jc w:val="both"/>
        <w:ind w:right="340" w:firstLine="449"/>
        <w:spacing w:after="0" w:line="261" w:lineRule="auto"/>
        <w:rPr>
          <w:sz w:val="20"/>
          <w:szCs w:val="20"/>
          <w:color w:val="auto"/>
        </w:rPr>
      </w:pPr>
      <w:r>
        <w:rPr>
          <w:rFonts w:ascii="Times New Roman" w:cs="Times New Roman" w:eastAsia="Times New Roman" w:hAnsi="Times New Roman"/>
          <w:sz w:val="14"/>
          <w:szCs w:val="14"/>
          <w:color w:val="auto"/>
        </w:rPr>
        <w:t>SBIC II, our wholly-owned subsidiary, was organized in Delaware as a limited partnership in July 2012. SBIC II received a license from the SBA to operate as a SBIC under Section 301(c) of the 1958 Act in 2013. SBIC II’s objectives are to generate both current income and capital appreciation through debt and equity investments generally by investing in SBA-eligible businesses that meet the investment selection criteria used by PennantPark Investment.</w:t>
      </w:r>
    </w:p>
    <w:p>
      <w:pPr>
        <w:spacing w:after="0" w:line="150"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4"/>
          <w:szCs w:val="14"/>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did not increase our consolidated management fee. The BNP Credit Facility allowed Funding I to borrow up to $250 million at LIBOR (or an alternative risk-free floating interest rate index) plus 260 basis points during the reinvestment period. The BNP Credit Facility was secured by all of the assets held by Funding I. Funding I is no longer a subsidiary of PennantPark Investment as a result of the joint venture described below.</w:t>
      </w:r>
    </w:p>
    <w:p>
      <w:pPr>
        <w:spacing w:after="0" w:line="171"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 Adviser and Administrator</w:t>
      </w:r>
    </w:p>
    <w:p>
      <w:pPr>
        <w:spacing w:after="0" w:line="154" w:lineRule="exact"/>
        <w:rPr>
          <w:sz w:val="20"/>
          <w:szCs w:val="20"/>
          <w:color w:val="auto"/>
        </w:rPr>
      </w:pPr>
    </w:p>
    <w:p>
      <w:pPr>
        <w:ind w:right="20" w:firstLine="449"/>
        <w:spacing w:after="0" w:line="248" w:lineRule="auto"/>
        <w:rPr>
          <w:sz w:val="20"/>
          <w:szCs w:val="20"/>
          <w:color w:val="auto"/>
        </w:rPr>
      </w:pPr>
      <w:r>
        <w:rPr>
          <w:rFonts w:ascii="Times New Roman" w:cs="Times New Roman" w:eastAsia="Times New Roman" w:hAnsi="Times New Roman"/>
          <w:sz w:val="14"/>
          <w:szCs w:val="14"/>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middle-market companies across changing economic and market cycles. We believe this experience and history have resulted in a reputation as a respected partner to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color w:val="auto"/>
        </w:rPr>
        <w:t>$17.1 billion in 628 companies with more than 200 different financial sponsors through its managed funds, which includes investments by the Company totaling $7.3 billion in 324 companies.</w:t>
      </w:r>
    </w:p>
    <w:p>
      <w:pPr>
        <w:spacing w:after="0" w:line="150"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Opportunity</w:t>
      </w:r>
    </w:p>
    <w:p>
      <w:pPr>
        <w:spacing w:after="0" w:line="154"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92" w:lineRule="exact"/>
        <w:rPr>
          <w:sz w:val="20"/>
          <w:szCs w:val="20"/>
          <w:color w:val="auto"/>
        </w:rPr>
      </w:pPr>
    </w:p>
    <w:p>
      <w:pPr>
        <w:ind w:left="960" w:right="260" w:hanging="382"/>
        <w:spacing w:after="0" w:line="285" w:lineRule="auto"/>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middle-market companies have faced difficulty raising debt in private markets. </w:t>
      </w:r>
      <w:r>
        <w:rPr>
          <w:rFonts w:ascii="Times New Roman" w:cs="Times New Roman" w:eastAsia="Times New Roman" w:hAnsi="Times New Roman"/>
          <w:sz w:val="14"/>
          <w:szCs w:val="14"/>
          <w:color w:val="auto"/>
        </w:rPr>
        <w:t>From time to time, banks, finance companies, hedge funds and collateralized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loan obligation, or CLO, funds have withdrawn, and may again withdraw, capital from the middle-market, resulting in opportunities for alternative funding sources.</w:t>
      </w:r>
    </w:p>
    <w:p>
      <w:pPr>
        <w:spacing w:after="0" w:line="90" w:lineRule="exact"/>
        <w:rPr>
          <w:rFonts w:ascii="Times New Roman" w:cs="Times New Roman" w:eastAsia="Times New Roman" w:hAnsi="Times New Roman"/>
          <w:sz w:val="14"/>
          <w:szCs w:val="14"/>
          <w:color w:val="auto"/>
        </w:rPr>
      </w:pPr>
    </w:p>
    <w:p>
      <w:pPr>
        <w:ind w:left="960" w:right="20" w:hanging="383"/>
        <w:spacing w:after="0" w:line="273" w:lineRule="auto"/>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4"/>
          <w:szCs w:val="14"/>
          <w:color w:val="auto"/>
        </w:rPr>
        <w:t>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98" w:lineRule="exact"/>
        <w:rPr>
          <w:rFonts w:ascii="Times New Roman" w:cs="Times New Roman" w:eastAsia="Times New Roman" w:hAnsi="Times New Roman"/>
          <w:sz w:val="14"/>
          <w:szCs w:val="14"/>
          <w:color w:val="auto"/>
        </w:rPr>
      </w:pPr>
    </w:p>
    <w:p>
      <w:pPr>
        <w:ind w:left="960" w:hanging="383"/>
        <w:spacing w:after="0" w:line="263" w:lineRule="auto"/>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4"/>
          <w:szCs w:val="14"/>
          <w:color w:val="auto"/>
        </w:rPr>
        <w:t>From time to time, market participants have reduced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05" w:lineRule="exact"/>
        <w:rPr>
          <w:rFonts w:ascii="Times New Roman" w:cs="Times New Roman" w:eastAsia="Times New Roman" w:hAnsi="Times New Roman"/>
          <w:sz w:val="14"/>
          <w:szCs w:val="14"/>
          <w:color w:val="auto"/>
        </w:rPr>
      </w:pPr>
    </w:p>
    <w:p>
      <w:pPr>
        <w:ind w:left="960" w:right="120" w:hanging="383"/>
        <w:spacing w:after="0" w:line="273" w:lineRule="auto"/>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4"/>
          <w:szCs w:val="14"/>
          <w:color w:val="auto"/>
        </w:rPr>
        <w:t>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98" w:lineRule="exact"/>
        <w:rPr>
          <w:rFonts w:ascii="Times New Roman" w:cs="Times New Roman" w:eastAsia="Times New Roman" w:hAnsi="Times New Roman"/>
          <w:sz w:val="14"/>
          <w:szCs w:val="14"/>
          <w:color w:val="auto"/>
        </w:rPr>
      </w:pPr>
    </w:p>
    <w:p>
      <w:pPr>
        <w:ind w:left="960" w:right="40" w:hanging="383"/>
        <w:spacing w:after="0" w:line="256" w:lineRule="auto"/>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4"/>
          <w:szCs w:val="14"/>
          <w:color w:val="auto"/>
        </w:rPr>
        <w:t>We believe that demand for debt financing from middle-market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Advantages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believe that we have the following competitive advantages over other capital providers to middle-market companies:</w:t>
      </w:r>
    </w:p>
    <w:p>
      <w:pPr>
        <w:spacing w:after="0" w:line="146" w:lineRule="exact"/>
        <w:rPr>
          <w:sz w:val="20"/>
          <w:szCs w:val="20"/>
          <w:color w:val="auto"/>
        </w:rPr>
      </w:pPr>
    </w:p>
    <w:p>
      <w:pPr>
        <w:ind w:left="960" w:hanging="383"/>
        <w:spacing w:after="0"/>
        <w:tabs>
          <w:tab w:leader="none" w:pos="960" w:val="left"/>
        </w:tabs>
        <w:numPr>
          <w:ilvl w:val="0"/>
          <w:numId w:val="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Experienced Management Team</w:t>
      </w:r>
    </w:p>
    <w:p>
      <w:pPr>
        <w:spacing w:after="0" w:line="154"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middle-market companies across changing economic and market cycles. We believe this extensive experience and history have resulted in a strong reputation across the capital markets.</w:t>
      </w:r>
    </w:p>
    <w:p>
      <w:pPr>
        <w:spacing w:after="0" w:line="110" w:lineRule="exact"/>
        <w:rPr>
          <w:sz w:val="20"/>
          <w:szCs w:val="20"/>
          <w:color w:val="auto"/>
        </w:rPr>
      </w:pPr>
    </w:p>
    <w:p>
      <w:pPr>
        <w:ind w:right="220" w:firstLine="449"/>
        <w:spacing w:after="0" w:line="255" w:lineRule="auto"/>
        <w:rPr>
          <w:sz w:val="20"/>
          <w:szCs w:val="20"/>
          <w:color w:val="auto"/>
        </w:rPr>
      </w:pPr>
      <w:r>
        <w:rPr>
          <w:rFonts w:ascii="Times New Roman" w:cs="Times New Roman" w:eastAsia="Times New Roman" w:hAnsi="Times New Roman"/>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108" w:lineRule="exact"/>
        <w:rPr>
          <w:sz w:val="20"/>
          <w:szCs w:val="20"/>
          <w:color w:val="auto"/>
        </w:rPr>
      </w:pPr>
    </w:p>
    <w:p>
      <w:pPr>
        <w:ind w:left="960" w:hanging="383"/>
        <w:spacing w:after="0"/>
        <w:tabs>
          <w:tab w:leader="none" w:pos="960" w:val="left"/>
        </w:tabs>
        <w:numPr>
          <w:ilvl w:val="0"/>
          <w:numId w:val="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Disciplined Investment Approach with Strong Value Orientation</w:t>
      </w:r>
    </w:p>
    <w:p>
      <w:pPr>
        <w:spacing w:after="0" w:line="154"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10" w:lineRule="exact"/>
        <w:rPr>
          <w:sz w:val="20"/>
          <w:szCs w:val="20"/>
          <w:color w:val="auto"/>
        </w:rPr>
      </w:pPr>
    </w:p>
    <w:p>
      <w:pPr>
        <w:ind w:right="260" w:firstLine="449"/>
        <w:spacing w:after="0" w:line="261" w:lineRule="auto"/>
        <w:rPr>
          <w:sz w:val="20"/>
          <w:szCs w:val="20"/>
          <w:color w:val="auto"/>
        </w:rPr>
      </w:pPr>
      <w:r>
        <w:rPr>
          <w:rFonts w:ascii="Times New Roman" w:cs="Times New Roman" w:eastAsia="Times New Roman" w:hAnsi="Times New Roman"/>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4"/>
          <w:szCs w:val="14"/>
          <w:color w:val="auto"/>
        </w:rPr>
        <w:t>In addition to engaging in extensive due diligence, our Investment Adviser seeks to reduce risk by focusing on businesses with:</w:t>
      </w:r>
    </w:p>
    <w:p>
      <w:pPr>
        <w:spacing w:after="0" w:line="150" w:lineRule="exact"/>
        <w:rPr>
          <w:sz w:val="20"/>
          <w:szCs w:val="20"/>
          <w:color w:val="auto"/>
        </w:rPr>
      </w:pPr>
    </w:p>
    <w:p>
      <w:pPr>
        <w:ind w:left="960" w:hanging="383"/>
        <w:spacing w:after="0"/>
        <w:tabs>
          <w:tab w:leader="none" w:pos="9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strong competitive positions;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cash flow that is steady and stable;</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experienced management teams with strong track records;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for growth and viable exit strategies; and</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structures offering appropriate risk-adjusted terms and covenants.</w:t>
      </w:r>
    </w:p>
    <w:p>
      <w:pPr>
        <w:spacing w:after="0" w:line="132" w:lineRule="exact"/>
        <w:rPr>
          <w:sz w:val="20"/>
          <w:szCs w:val="20"/>
          <w:color w:val="auto"/>
        </w:rPr>
      </w:pPr>
    </w:p>
    <w:p>
      <w:pPr>
        <w:ind w:left="960" w:hanging="383"/>
        <w:spacing w:after="0"/>
        <w:tabs>
          <w:tab w:leader="none" w:pos="960"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Ability to Source and Evaluate Transactions through our Investment Adviser’s Proactive, Research Capability and Established Network</w:t>
      </w:r>
    </w:p>
    <w:p>
      <w:pPr>
        <w:spacing w:after="0" w:line="154"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06" w:lineRule="exact"/>
        <w:rPr>
          <w:sz w:val="20"/>
          <w:szCs w:val="20"/>
          <w:color w:val="auto"/>
        </w:rPr>
      </w:pPr>
    </w:p>
    <w:p>
      <w:pPr>
        <w:ind w:left="960" w:hanging="383"/>
        <w:spacing w:after="0"/>
        <w:tabs>
          <w:tab w:leader="none" w:pos="960"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Flexible Transaction Structuring</w:t>
      </w:r>
    </w:p>
    <w:p>
      <w:pPr>
        <w:spacing w:after="0" w:line="154"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4"/>
          <w:szCs w:val="14"/>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9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10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4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4"/>
          <w:szCs w:val="14"/>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1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4"/>
          <w:szCs w:val="14"/>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Leverage</w:t>
      </w:r>
    </w:p>
    <w:p>
      <w:pPr>
        <w:spacing w:after="0" w:line="208"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4"/>
          <w:szCs w:val="14"/>
          <w:color w:val="auto"/>
        </w:rPr>
        <w:t>As of September 30, 2022, we had the multi-currency Truist Credit Facility for up to $500.0 million (increased from $465.0 million in July 2022), which may be further increased up to $750.0 million in borrowings with certain lenders and Truist Bank (formerly SunTrust Bank), acting as administrative agent, and JPMorgan Chase Bank, N.A., acting as syndication agent for the lenders. The Truist Credit Facility is a revolving facility with a stated maturity date of July 29, 2027 for $475.0 million out of the total $500.0 million commitments (with the revolving period with respect to the remaining $25.0 million of commitments expiring on September 4, 2023 and the related obligations maturing on September 4, 2024) and pricing set at 235 basis points over SOFR. As of September 30, 2022 and 2021, we had $385.9 million and $316.5 million, respectively, in outstanding borrowings under the Truist Credit Facility. The Truist Credit Facility had a weighted average interest rate of 5.3% and 2.4%, respectively, exclusive of the fee on undrawn commitment, as of September 30, 2022 and 2021. As of September 30, 2022 and 2021, we had $114.1 million and $118.5 million of unused borrowing capacity under the Truist Credit Facility, respectively, subject to leverage and borrowing base restrictions. The Truist Credit Facility is secured by substantially all of our assets excluding assets held by SBIC II. As of September 30, 2022, we were in compliance with the terms of the Truist Credit Facility.</w:t>
      </w:r>
    </w:p>
    <w:p>
      <w:pPr>
        <w:spacing w:after="0" w:line="114"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4"/>
          <w:szCs w:val="14"/>
          <w:color w:val="auto"/>
        </w:rPr>
        <w:t>As of September 30, 2022 and 2021, SBIC II had $20.0 million and $63.5 million in debt commitments, respectively, all of which was drawn, with a weighted average interest rate of 2.9% and 3.3%, respectively, exclusive of 3.4% of upfront fees. As of September 30, 2022 and 2021, our SBA debentures mature between March 2026 to March 2028.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II and have a priority claim over such assets relative to all other creditors. See “Regulation” for more information.</w:t>
      </w:r>
    </w:p>
    <w:p>
      <w:pPr>
        <w:spacing w:after="0" w:line="269"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As of September 30, 2022 and 2021, we had zero and $86.3 million in aggregate principal amount of 2024 Notes outstanding, respectively. Interest on the 2024 Notes was paid quarterly on January 15, April 15, July 15 and October 15, at a rate of 5.5% per year, commencing January 15, 2020. The 2024 Notes were redeemed on November 13, 2021 at a redemption price of $25.00 per 2024 Note, plus accrued and unpaid interest to November 13, 2021, pursuant to the indenture governing the 2024 Notes.</w:t>
      </w:r>
    </w:p>
    <w:p>
      <w:pPr>
        <w:spacing w:after="0" w:line="109"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2026 Notes-2 mature on November 1, 2026 and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6" w:name="page7"/>
    <w:bookmarkEnd w:id="6"/>
    <w:p>
      <w:pPr>
        <w:ind w:right="140"/>
        <w:spacing w:after="0" w:line="255" w:lineRule="auto"/>
        <w:rPr>
          <w:sz w:val="20"/>
          <w:szCs w:val="20"/>
          <w:color w:val="auto"/>
        </w:rPr>
      </w:pPr>
      <w:r>
        <w:rPr>
          <w:rFonts w:ascii="Times New Roman" w:cs="Times New Roman" w:eastAsia="Times New Roman" w:hAnsi="Times New Roman"/>
          <w:sz w:val="14"/>
          <w:szCs w:val="14"/>
          <w:color w:val="auto"/>
        </w:rPr>
        <w:t>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12" w:lineRule="exact"/>
        <w:rPr>
          <w:sz w:val="20"/>
          <w:szCs w:val="20"/>
          <w:color w:val="auto"/>
        </w:rPr>
      </w:pPr>
    </w:p>
    <w:p>
      <w:pPr>
        <w:ind w:right="20" w:firstLine="449"/>
        <w:spacing w:after="0" w:line="255"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See “Management’s Discussion and Analysis of Financial Condition and Results of Operations” for more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Policy Overview</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seek to create a diversified portfolio that includes first lien secured debt, second lien secured debt, subordinated debt and, to a lesser extent, equity by targeting an investment size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 million to $50 million in securities, on average, of middle-market companies. We expect this investment size to vary proportionately with the size of our capital base. The companies in which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invest are typically highly leveraged, and, in most cases, are not rated by national rating agencies. If such unrated companies were rated, we believe that they would typically receive a rating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investment grade (between BB and CCC under the Standard &amp; Poor’s system) from the national rating agencies. Securities rated below investment grade are often referred to as “leveraged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“high yield” securities or “junk bonds” and are often higher risk compared to debt instruments that are rated above investment grade and have speculative characteristics. In addition,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expect our debt investments to range in maturity from three to ten years.</w:t>
      </w:r>
    </w:p>
    <w:p>
      <w:pPr>
        <w:spacing w:after="0" w:line="120"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 Qualifying Assets” and “Investment Selection Criteria” for more information.</w:t>
      </w:r>
    </w:p>
    <w:p>
      <w:pPr>
        <w:spacing w:after="0" w:line="171"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First Lien Secured Debt</w:t>
      </w:r>
    </w:p>
    <w:p>
      <w:pPr>
        <w:spacing w:after="0" w:line="208"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Second Lien Secured Debt</w:t>
      </w:r>
    </w:p>
    <w:p>
      <w:pPr>
        <w:spacing w:after="0" w:line="208"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Subordinated Debt</w:t>
      </w:r>
    </w:p>
    <w:p>
      <w:pPr>
        <w:spacing w:after="0" w:line="208"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4"/>
          <w:szCs w:val="14"/>
          <w:color w:val="auto"/>
        </w:rPr>
        <w:t>Structurally, subordinated debt usually ranks junior in priority of payment to first lien secured debt and second lien secured debt, and is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Selection Criteria</w:t>
      </w:r>
    </w:p>
    <w:p>
      <w:pPr>
        <w:spacing w:after="0" w:line="140"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We are committed to a value-oriented philosophy used by the senior investment professionals of our Investment Adviser who manage our portfolio and seek to minimize the risk of capital loss without foregoing potential for capital appreciation.</w:t>
      </w:r>
    </w:p>
    <w:p>
      <w:pPr>
        <w:spacing w:after="0" w:line="94"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92" w:lineRule="exact"/>
        <w:rPr>
          <w:sz w:val="20"/>
          <w:szCs w:val="20"/>
          <w:color w:val="auto"/>
        </w:rPr>
      </w:pPr>
    </w:p>
    <w:p>
      <w:pPr>
        <w:ind w:left="960" w:hanging="383"/>
        <w:spacing w:after="0"/>
        <w:tabs>
          <w:tab w:leader="none" w:pos="96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Leading and defensible competitive market positions</w:t>
      </w:r>
    </w:p>
    <w:p>
      <w:pPr>
        <w:spacing w:after="0" w:line="154" w:lineRule="exact"/>
        <w:rPr>
          <w:sz w:val="20"/>
          <w:szCs w:val="20"/>
          <w:color w:val="auto"/>
        </w:rPr>
      </w:pPr>
    </w:p>
    <w:p>
      <w:pPr>
        <w:jc w:val="both"/>
        <w:ind w:right="360" w:firstLine="449"/>
        <w:spacing w:after="0" w:line="261" w:lineRule="auto"/>
        <w:rPr>
          <w:sz w:val="20"/>
          <w:szCs w:val="20"/>
          <w:color w:val="auto"/>
        </w:rPr>
      </w:pPr>
      <w:r>
        <w:rPr>
          <w:rFonts w:ascii="Times New Roman" w:cs="Times New Roman" w:eastAsia="Times New Roman" w:hAnsi="Times New Roman"/>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05" w:lineRule="exact"/>
        <w:rPr>
          <w:sz w:val="20"/>
          <w:szCs w:val="20"/>
          <w:color w:val="auto"/>
        </w:rPr>
      </w:pPr>
    </w:p>
    <w:p>
      <w:pPr>
        <w:ind w:left="960" w:hanging="383"/>
        <w:spacing w:after="0"/>
        <w:tabs>
          <w:tab w:leader="none" w:pos="960"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Investing in stable borrowers with positive cash flow</w:t>
      </w:r>
    </w:p>
    <w:p>
      <w:pPr>
        <w:spacing w:after="0" w:line="154"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ind w:right="180"/>
        <w:spacing w:after="0" w:line="282" w:lineRule="auto"/>
        <w:rPr>
          <w:sz w:val="20"/>
          <w:szCs w:val="20"/>
          <w:color w:val="auto"/>
        </w:rPr>
      </w:pPr>
      <w:r>
        <w:rPr>
          <w:rFonts w:ascii="Times New Roman" w:cs="Times New Roman" w:eastAsia="Times New Roman" w:hAnsi="Times New Roman"/>
          <w:sz w:val="14"/>
          <w:szCs w:val="14"/>
          <w:color w:val="auto"/>
        </w:rPr>
        <w:t>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90" w:lineRule="exact"/>
        <w:rPr>
          <w:sz w:val="20"/>
          <w:szCs w:val="20"/>
          <w:color w:val="auto"/>
        </w:rPr>
      </w:pPr>
    </w:p>
    <w:p>
      <w:pPr>
        <w:ind w:left="960" w:hanging="383"/>
        <w:spacing w:after="0"/>
        <w:tabs>
          <w:tab w:leader="none" w:pos="960"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Proven management teams</w:t>
      </w:r>
    </w:p>
    <w:p>
      <w:pPr>
        <w:spacing w:after="0" w:line="15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05" w:lineRule="exact"/>
        <w:rPr>
          <w:sz w:val="20"/>
          <w:szCs w:val="20"/>
          <w:color w:val="auto"/>
        </w:rPr>
      </w:pPr>
    </w:p>
    <w:p>
      <w:pPr>
        <w:ind w:left="960" w:hanging="383"/>
        <w:spacing w:after="0"/>
        <w:tabs>
          <w:tab w:leader="none" w:pos="960"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Financial sponsorship</w:t>
      </w:r>
    </w:p>
    <w:p>
      <w:pPr>
        <w:spacing w:after="0" w:line="154"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08" w:lineRule="exact"/>
        <w:rPr>
          <w:sz w:val="20"/>
          <w:szCs w:val="20"/>
          <w:color w:val="auto"/>
        </w:rPr>
      </w:pPr>
    </w:p>
    <w:p>
      <w:pPr>
        <w:ind w:left="960" w:hanging="383"/>
        <w:spacing w:after="0"/>
        <w:tabs>
          <w:tab w:leader="none" w:pos="960"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Investments in different borrowers, industries and geographies</w:t>
      </w:r>
    </w:p>
    <w:p>
      <w:pPr>
        <w:spacing w:after="0" w:line="15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92" w:lineRule="exact"/>
        <w:rPr>
          <w:sz w:val="20"/>
          <w:szCs w:val="20"/>
          <w:color w:val="auto"/>
        </w:rPr>
      </w:pPr>
    </w:p>
    <w:p>
      <w:pPr>
        <w:ind w:left="960" w:hanging="383"/>
        <w:spacing w:after="0"/>
        <w:tabs>
          <w:tab w:leader="none" w:pos="960"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Viable exit strategy</w:t>
      </w:r>
    </w:p>
    <w:p>
      <w:pPr>
        <w:spacing w:after="0" w:line="154"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Due Diligence</w:t>
      </w:r>
    </w:p>
    <w:p>
      <w:pPr>
        <w:spacing w:after="0" w:line="154" w:lineRule="exact"/>
        <w:rPr>
          <w:sz w:val="20"/>
          <w:szCs w:val="20"/>
          <w:color w:val="auto"/>
        </w:rPr>
      </w:pPr>
    </w:p>
    <w:p>
      <w:pPr>
        <w:jc w:val="both"/>
        <w:ind w:right="340" w:firstLine="449"/>
        <w:spacing w:after="0" w:line="261" w:lineRule="auto"/>
        <w:rPr>
          <w:sz w:val="20"/>
          <w:szCs w:val="20"/>
          <w:color w:val="auto"/>
        </w:rPr>
      </w:pPr>
      <w:r>
        <w:rPr>
          <w:rFonts w:ascii="Times New Roman" w:cs="Times New Roman" w:eastAsia="Times New Roman" w:hAnsi="Times New Roman"/>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due diligence may include:</w:t>
      </w:r>
    </w:p>
    <w:p>
      <w:pPr>
        <w:spacing w:after="0" w:line="136" w:lineRule="exact"/>
        <w:rPr>
          <w:sz w:val="20"/>
          <w:szCs w:val="20"/>
          <w:color w:val="auto"/>
        </w:rPr>
      </w:pPr>
    </w:p>
    <w:p>
      <w:pPr>
        <w:ind w:left="960" w:hanging="383"/>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historical and prospective financial information;</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relating to the portfolio company’s management, industry, markets, products and services and competitors;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interviews with management, employees, customers and vendors of the potential portfolio company;</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on-site visits;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loan documents; and</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background checks.</w:t>
      </w:r>
    </w:p>
    <w:p>
      <w:pPr>
        <w:spacing w:after="0" w:line="150"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4"/>
          <w:szCs w:val="14"/>
          <w:color w:val="auto"/>
        </w:rPr>
        <w:t>Additional due diligence with respect to any investment may be conducted on our behalf by attorneys and accountants prior to the closing of the investment, as well as other outside advisers, as appropriate.</w:t>
      </w:r>
    </w:p>
    <w:p>
      <w:pPr>
        <w:spacing w:after="0" w:line="94" w:lineRule="exact"/>
        <w:rPr>
          <w:sz w:val="20"/>
          <w:szCs w:val="20"/>
          <w:color w:val="auto"/>
        </w:rPr>
      </w:pPr>
    </w:p>
    <w:p>
      <w:pPr>
        <w:ind w:right="60" w:firstLine="449"/>
        <w:spacing w:after="0" w:line="271" w:lineRule="auto"/>
        <w:rPr>
          <w:sz w:val="20"/>
          <w:szCs w:val="20"/>
          <w:color w:val="auto"/>
        </w:rPr>
      </w:pPr>
      <w:r>
        <w:rPr>
          <w:rFonts w:ascii="Times New Roman" w:cs="Times New Roman" w:eastAsia="Times New Roman" w:hAnsi="Times New Roman"/>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Structure</w:t>
      </w:r>
    </w:p>
    <w:p>
      <w:pPr>
        <w:spacing w:after="0" w:line="154" w:lineRule="exact"/>
        <w:rPr>
          <w:sz w:val="20"/>
          <w:szCs w:val="20"/>
          <w:color w:val="auto"/>
        </w:rPr>
      </w:pPr>
    </w:p>
    <w:p>
      <w:pPr>
        <w:jc w:val="both"/>
        <w:ind w:right="300" w:firstLine="449"/>
        <w:spacing w:after="0" w:line="271" w:lineRule="auto"/>
        <w:rPr>
          <w:sz w:val="20"/>
          <w:szCs w:val="20"/>
          <w:color w:val="auto"/>
        </w:rPr>
      </w:pPr>
      <w:r>
        <w:rPr>
          <w:rFonts w:ascii="Times New Roman" w:cs="Times New Roman" w:eastAsia="Times New Roman" w:hAnsi="Times New Roman"/>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03" w:lineRule="exact"/>
        <w:rPr>
          <w:sz w:val="20"/>
          <w:szCs w:val="20"/>
          <w:color w:val="auto"/>
        </w:rPr>
      </w:pPr>
    </w:p>
    <w:p>
      <w:pPr>
        <w:ind w:right="420" w:firstLine="449"/>
        <w:spacing w:after="0" w:line="282" w:lineRule="auto"/>
        <w:rPr>
          <w:sz w:val="20"/>
          <w:szCs w:val="20"/>
          <w:color w:val="auto"/>
        </w:rPr>
      </w:pPr>
      <w:r>
        <w:rPr>
          <w:rFonts w:ascii="Times New Roman" w:cs="Times New Roman" w:eastAsia="Times New Roman" w:hAnsi="Times New Roman"/>
          <w:sz w:val="14"/>
          <w:szCs w:val="14"/>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94"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 w:name="page9"/>
    <w:bookmarkEnd w:id="8"/>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09" w:lineRule="exact"/>
        <w:rPr>
          <w:sz w:val="20"/>
          <w:szCs w:val="20"/>
          <w:color w:val="auto"/>
        </w:rPr>
      </w:pPr>
    </w:p>
    <w:p>
      <w:pPr>
        <w:ind w:left="960" w:hanging="383"/>
        <w:spacing w:after="0"/>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total return on our investments (including both interest in the form of a floor and potential equity appreciation) that compensates us for credit risk;</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incorporating “put” rights and call protection into the investment structure; and</w:t>
      </w:r>
    </w:p>
    <w:p>
      <w:pPr>
        <w:spacing w:after="0" w:line="149" w:lineRule="exact"/>
        <w:rPr>
          <w:rFonts w:ascii="Times New Roman" w:cs="Times New Roman" w:eastAsia="Times New Roman" w:hAnsi="Times New Roman"/>
          <w:sz w:val="14"/>
          <w:szCs w:val="14"/>
          <w:color w:val="auto"/>
        </w:rPr>
      </w:pPr>
    </w:p>
    <w:p>
      <w:pPr>
        <w:jc w:val="both"/>
        <w:ind w:left="960" w:right="260" w:hanging="383"/>
        <w:spacing w:after="0" w:line="271" w:lineRule="auto"/>
        <w:tabs>
          <w:tab w:leader="none" w:pos="9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03"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3"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Ongoing Relationships with Portfolio Companies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Monitoring</w:t>
      </w:r>
    </w:p>
    <w:p>
      <w:pPr>
        <w:spacing w:after="0" w:line="140" w:lineRule="exact"/>
        <w:rPr>
          <w:sz w:val="20"/>
          <w:szCs w:val="20"/>
          <w:color w:val="auto"/>
        </w:rPr>
      </w:pPr>
    </w:p>
    <w:p>
      <w:pPr>
        <w:ind w:right="120" w:firstLine="449"/>
        <w:spacing w:after="0" w:line="302" w:lineRule="auto"/>
        <w:rPr>
          <w:sz w:val="20"/>
          <w:szCs w:val="20"/>
          <w:color w:val="auto"/>
        </w:rPr>
      </w:pPr>
      <w:r>
        <w:rPr>
          <w:rFonts w:ascii="Times New Roman" w:cs="Times New Roman" w:eastAsia="Times New Roman" w:hAnsi="Times New Roman"/>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Investment Adviser has several methods of evaluating and monitoring the performance and fair value of our investments, which may include the following:</w:t>
      </w:r>
    </w:p>
    <w:p>
      <w:pPr>
        <w:spacing w:after="0" w:line="150" w:lineRule="exact"/>
        <w:rPr>
          <w:sz w:val="20"/>
          <w:szCs w:val="20"/>
          <w:color w:val="auto"/>
        </w:rPr>
      </w:pPr>
    </w:p>
    <w:p>
      <w:pPr>
        <w:ind w:left="960" w:hanging="383"/>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assessment of success in adhering to a portfolio company’s business plan and compliance with covenants;</w:t>
      </w:r>
    </w:p>
    <w:p>
      <w:pPr>
        <w:spacing w:after="0" w:line="136" w:lineRule="exact"/>
        <w:rPr>
          <w:rFonts w:ascii="Times New Roman" w:cs="Times New Roman" w:eastAsia="Times New Roman" w:hAnsi="Times New Roman"/>
          <w:sz w:val="14"/>
          <w:szCs w:val="14"/>
          <w:color w:val="auto"/>
        </w:rPr>
      </w:pPr>
    </w:p>
    <w:p>
      <w:pPr>
        <w:ind w:left="960" w:right="800" w:hanging="383"/>
        <w:spacing w:after="0" w:line="302" w:lineRule="auto"/>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 or regular contact with portfolio company management and, if appropriate, the financial or strategic sponsor, to discuss financial position, requirements and accomplishments;</w:t>
      </w:r>
    </w:p>
    <w:p>
      <w:pPr>
        <w:spacing w:after="0" w:line="80"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comparisons to other portfolio companies in the industry, if any;</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attendance at and participation in board meetings or presentations by portfolio companies; and</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periodic financial statements and financial projections for portfolio companies.</w:t>
      </w:r>
    </w:p>
    <w:p>
      <w:pPr>
        <w:spacing w:after="0" w:line="150"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4"/>
          <w:szCs w:val="14"/>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Managerial Assistance</w:t>
      </w:r>
    </w:p>
    <w:p>
      <w:pPr>
        <w:spacing w:after="0" w:line="154"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4"/>
          <w:szCs w:val="14"/>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Staffing</w:t>
      </w:r>
    </w:p>
    <w:p>
      <w:pPr>
        <w:spacing w:after="0" w:line="154"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Corporate Information</w:t>
      </w:r>
    </w:p>
    <w:p>
      <w:pPr>
        <w:spacing w:after="0" w:line="15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 xml:space="preserve">Our administrative and principal executive offices are located at 1691 Michigan Avenue, Miami, Florida . Our common stock is quoted on The New York Stock Exchange under the symbol “PNNT”. Our phone number is (786) 297-9500, and our Internet website address is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that contains material that we file with the SEC on the Electronic Data Gathering, Analysis and Retrieval, or EDGAR, Database.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i w:val="1"/>
          <w:iCs w:val="1"/>
          <w:color w:val="auto"/>
        </w:rPr>
        <w:t>Our Portfolio</w:t>
      </w:r>
    </w:p>
    <w:p>
      <w:pPr>
        <w:spacing w:after="0" w:line="154"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4"/>
          <w:szCs w:val="14"/>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Aerospace and Defense</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 and Utilities</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Sector</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Environmental Services</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Beverage, Food and Tobacco</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Financial Services</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Broadcasting and Entertainment</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Grocery</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Buildings and Real Estate</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Healthcare, Education and Childcare</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Building Materials</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High Tech Industries</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Business Services</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Home &amp; Office Furnishings, Housewares &amp; Durable Consumer Products</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Cable Television</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Hotels, Motels, Inns and Gaming</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Equipment</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Cargo Transportation</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Leisure, Amusement, Motion Picture, Entertainment</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Logistics</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Communications</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Manufacturing/Basic Industries</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 Products</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Media</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Consumer Services</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Mining, Steel, Iron and Non-Precious Metals</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Containers Packaging &amp; Glass</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Oil and Gas</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Media</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Diversified/Conglomerate Manufacturing</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Personal, Food and Miscellaneous Services</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Diversified/Conglomerate Services</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Printing and Publishing</w:t>
            </w:r>
          </w:p>
        </w:tc>
      </w:tr>
      <w:tr>
        <w:trPr>
          <w:trHeight w:val="176"/>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Diversified Natural Resources, Precious Metals and Minerals</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Retail</w:t>
            </w:r>
          </w:p>
        </w:tc>
      </w:tr>
      <w:tr>
        <w:trPr>
          <w:trHeight w:val="188"/>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Education</w:t>
            </w:r>
          </w:p>
        </w:tc>
        <w:tc>
          <w:tcPr>
            <w:tcW w:w="114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4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Wholesale</w:t>
            </w:r>
          </w:p>
        </w:tc>
      </w:tr>
    </w:tbl>
    <w:p>
      <w:pPr>
        <w:ind w:left="320" w:hanging="299"/>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Listed below are our top ten portfolio companies and industries represented as a percentage of our consolidated portfolio assets (excluding cash and cash equivalents) as of September 30: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18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11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42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RAM Energy Holdings LLC</w:t>
            </w: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20" w:type="dxa"/>
            <w:vAlign w:val="bottom"/>
            <w:tcBorders>
              <w:top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CFF"/>
          </w:tcPr>
          <w:p>
            <w:pPr>
              <w:spacing w:after="0"/>
              <w:rPr>
                <w:sz w:val="14"/>
                <w:szCs w:val="14"/>
                <w:color w:val="auto"/>
              </w:rPr>
            </w:pPr>
          </w:p>
        </w:tc>
        <w:tc>
          <w:tcPr>
            <w:tcW w:w="42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PT Network, LLC</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AKW Holdings Limited</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RAM Energy Holdings LLC</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Cartessa Aesthetics, LLC</w:t>
            </w:r>
          </w:p>
        </w:tc>
        <w:tc>
          <w:tcPr>
            <w:tcW w:w="1200" w:type="dxa"/>
            <w:vAlign w:val="bottom"/>
            <w:gridSpan w:val="5"/>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4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Cascade Environmental LLC</w:t>
            </w:r>
          </w:p>
        </w:tc>
        <w:tc>
          <w:tcPr>
            <w:tcW w:w="11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Cano Health, LLC</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Cano Health, LLC</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Pragmatic Institute, LLC</w:t>
            </w:r>
          </w:p>
        </w:tc>
        <w:tc>
          <w:tcPr>
            <w:tcW w:w="1200" w:type="dxa"/>
            <w:vAlign w:val="bottom"/>
            <w:gridSpan w:val="5"/>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4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JF Acquisition</w:t>
            </w:r>
          </w:p>
        </w:tc>
        <w:tc>
          <w:tcPr>
            <w:tcW w:w="11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Sigma Defense Systems, LLC</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AKW Holdings Limited</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Flock Financial, LLC</w:t>
            </w:r>
          </w:p>
        </w:tc>
        <w:tc>
          <w:tcPr>
            <w:tcW w:w="1200" w:type="dxa"/>
            <w:vAlign w:val="bottom"/>
            <w:gridSpan w:val="5"/>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4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Lilly Lashes</w:t>
            </w:r>
          </w:p>
        </w:tc>
        <w:tc>
          <w:tcPr>
            <w:tcW w:w="11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Cascade Environmental LLC</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Halo Buyer, Inc.</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Halo Buyer, Inc.</w:t>
            </w:r>
          </w:p>
        </w:tc>
        <w:tc>
          <w:tcPr>
            <w:tcW w:w="1200" w:type="dxa"/>
            <w:vAlign w:val="bottom"/>
            <w:gridSpan w:val="5"/>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CFF"/>
          </w:tcPr>
          <w:p>
            <w:pPr>
              <w:spacing w:after="0"/>
              <w:rPr>
                <w:sz w:val="15"/>
                <w:szCs w:val="15"/>
                <w:color w:val="auto"/>
              </w:rPr>
            </w:pPr>
          </w:p>
        </w:tc>
        <w:tc>
          <w:tcPr>
            <w:tcW w:w="40" w:type="dxa"/>
            <w:vAlign w:val="bottom"/>
            <w:shd w:val="clear" w:color="auto" w:fill="CCECFF"/>
          </w:tcPr>
          <w:p>
            <w:pPr>
              <w:spacing w:after="0"/>
              <w:rPr>
                <w:sz w:val="15"/>
                <w:szCs w:val="15"/>
                <w:color w:val="auto"/>
              </w:rPr>
            </w:pPr>
          </w:p>
        </w:tc>
        <w:tc>
          <w:tcPr>
            <w:tcW w:w="4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Walker Edison Furniture Company LLC</w:t>
            </w:r>
          </w:p>
        </w:tc>
        <w:tc>
          <w:tcPr>
            <w:tcW w:w="11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Kinetic Purchaser, LLC</w:t>
            </w:r>
          </w:p>
        </w:tc>
        <w:tc>
          <w:tcPr>
            <w:tcW w:w="120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Horizons, LLC</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8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 xml:space="preserve">2021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9"/>
        </w:trPr>
        <w:tc>
          <w:tcPr>
            <w:tcW w:w="42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20" w:type="dxa"/>
            <w:vAlign w:val="bottom"/>
            <w:tcBorders>
              <w:top w:val="single" w:sz="8" w:color="auto"/>
            </w:tcBorders>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428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160" w:type="dxa"/>
            <w:vAlign w:val="bottom"/>
            <w:shd w:val="clear" w:color="auto" w:fill="CCECFF"/>
          </w:tcPr>
          <w:p>
            <w:pPr>
              <w:spacing w:after="0"/>
              <w:rPr>
                <w:sz w:val="14"/>
                <w:szCs w:val="14"/>
                <w:color w:val="auto"/>
              </w:rPr>
            </w:pPr>
          </w:p>
        </w:tc>
        <w:tc>
          <w:tcPr>
            <w:tcW w:w="96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4"/>
                <w:szCs w:val="14"/>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118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4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11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Energy and Utilities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Energy and Utilities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118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4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11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Telecommunications</w:t>
            </w:r>
          </w:p>
        </w:tc>
        <w:tc>
          <w:tcPr>
            <w:tcW w:w="118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4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Environmental Services</w:t>
            </w:r>
          </w:p>
        </w:tc>
        <w:tc>
          <w:tcPr>
            <w:tcW w:w="11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Hotels, Motels, Inns and Gaming</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1180" w:type="dxa"/>
            <w:vAlign w:val="bottom"/>
            <w:gridSpan w:val="4"/>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42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Education</w:t>
            </w:r>
          </w:p>
        </w:tc>
        <w:tc>
          <w:tcPr>
            <w:tcW w:w="1120" w:type="dxa"/>
            <w:vAlign w:val="bottom"/>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88"/>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Auto Sector</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Building Materials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1912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82" w:lineRule="exact"/>
        <w:rPr>
          <w:sz w:val="20"/>
          <w:szCs w:val="20"/>
          <w:color w:val="auto"/>
        </w:rPr>
      </w:pPr>
    </w:p>
    <w:p>
      <w:pPr>
        <w:ind w:left="380" w:hanging="372"/>
        <w:spacing w:after="0"/>
        <w:tabs>
          <w:tab w:leader="none" w:pos="38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Excludes investments in PSLF.</w:t>
      </w:r>
    </w:p>
    <w:p>
      <w:pPr>
        <w:spacing w:after="0" w:line="200"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286"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6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Management Agreement</w:t>
      </w:r>
    </w:p>
    <w:p>
      <w:pPr>
        <w:spacing w:after="0" w:line="154"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SBIC II under its respective investment management agreement. Such investment management agreement does not affect the management or incentive fees that we pay to the Investment Adviser on a consolidated basis. Under the terms of our Investment Management Agreement, the Investment Adviser:</w:t>
      </w:r>
    </w:p>
    <w:p>
      <w:pPr>
        <w:spacing w:after="0" w:line="113" w:lineRule="exact"/>
        <w:rPr>
          <w:sz w:val="20"/>
          <w:szCs w:val="20"/>
          <w:color w:val="auto"/>
        </w:rPr>
      </w:pPr>
    </w:p>
    <w:p>
      <w:pPr>
        <w:ind w:left="960" w:hanging="383"/>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determines the composition of our portfolio, the nature and timing of the changes to our portfolio and the manner of implementing such changes;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identifies, evaluates and negotiates the structure of the investments we make (including performing due diligence on our prospective portfolio companies);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closes and monitors the investments we make; and</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us with such other investment advisory, research and related services, as we may need from time to time.</w:t>
      </w:r>
    </w:p>
    <w:p>
      <w:pPr>
        <w:spacing w:after="0" w:line="136" w:lineRule="exact"/>
        <w:rPr>
          <w:sz w:val="20"/>
          <w:szCs w:val="20"/>
          <w:color w:val="auto"/>
        </w:rPr>
      </w:pPr>
    </w:p>
    <w:p>
      <w:pPr>
        <w:ind w:right="280"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Fees</w:t>
      </w:r>
    </w:p>
    <w:p>
      <w:pPr>
        <w:spacing w:after="0" w:line="140" w:lineRule="exact"/>
        <w:rPr>
          <w:sz w:val="20"/>
          <w:szCs w:val="20"/>
          <w:color w:val="auto"/>
        </w:rPr>
      </w:pPr>
    </w:p>
    <w:p>
      <w:pPr>
        <w:ind w:right="180" w:firstLine="449"/>
        <w:spacing w:after="0" w:line="249" w:lineRule="auto"/>
        <w:rPr>
          <w:sz w:val="20"/>
          <w:szCs w:val="20"/>
          <w:color w:val="auto"/>
        </w:rPr>
      </w:pPr>
      <w:r>
        <w:rPr>
          <w:rFonts w:ascii="Times New Roman" w:cs="Times New Roman" w:eastAsia="Times New Roman" w:hAnsi="Times New Roman"/>
          <w:sz w:val="14"/>
          <w:szCs w:val="14"/>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w:t>
      </w:r>
    </w:p>
    <w:p>
      <w:pPr>
        <w:spacing w:after="0" w:line="1"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4"/>
          <w:szCs w:val="14"/>
          <w:color w:val="auto"/>
        </w:rPr>
        <w:t>our board of directors’ approval of the application of the modified asset coverage requirement under the 1940 Act to the Company, our board of directors also approved an amendment to the Investment Advisory Agreement reducing the Investment Adviser’s annual base management fee from 1.50% to 1.00% on gross assets that exceed 200% of the Company’s total net assets as of</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w:t>
      </w:r>
    </w:p>
    <w:p>
      <w:pPr>
        <w:spacing w:after="0" w:line="1" w:lineRule="exact"/>
        <w:rPr>
          <w:sz w:val="20"/>
          <w:szCs w:val="20"/>
          <w:color w:val="auto"/>
        </w:rPr>
      </w:pPr>
    </w:p>
    <w:p>
      <w:pPr>
        <w:ind w:right="420"/>
        <w:spacing w:after="0" w:line="231" w:lineRule="auto"/>
        <w:rPr>
          <w:sz w:val="20"/>
          <w:szCs w:val="20"/>
          <w:color w:val="auto"/>
        </w:rPr>
      </w:pPr>
      <w:r>
        <w:rPr>
          <w:rFonts w:ascii="Times New Roman" w:cs="Times New Roman" w:eastAsia="Times New Roman" w:hAnsi="Times New Roman"/>
          <w:sz w:val="14"/>
          <w:szCs w:val="14"/>
          <w:color w:val="auto"/>
        </w:rPr>
        <w:t>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periods prior to January 1, 2018, the base management fee was calculated at an annual rate of 2.00% of our “average adjusted gross assets”. For the years ended September 30, 2022, 2021, and 2020, the Investment Adviser earned base management fees of $19.8 million, $17.3 million and $18.6 million, respectively, from us.</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is a hypothetical example of the calculation of average adjusted gross assets:</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Gross assets as of December 31, 20XX = $160 million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U.S. Treasury bills and temporary draws on credit facilities as of December 31, 20XX = $10 million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Adjusted gross assets as of December 31, 20XX = $150 million</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Gross assets as of March 31, 20XX = $200 million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U.S. Treasury bills and temporary draws on credit facilities as of March 31, 20XX = $20 million</w:t>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Adjusted gross assets as of March 31, 20XX = $180 million</w:t>
      </w:r>
    </w:p>
    <w:p>
      <w:pPr>
        <w:spacing w:after="0" w:line="136"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4"/>
          <w:szCs w:val="14"/>
          <w:color w:val="auto"/>
        </w:rPr>
        <w:t>Average value of adjusted gross assets as of March 31, 20XX and December 31, 20XX, which are the two immediately preceding calendar quarters, and appropriately adjusted for any share issuances or repurchases during the current calendar quarter equals ($150 million + $180 million) / 2 = $165 million.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90"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our operating expenses for the quarter (including the base management fee, any expenses payable under the Administration Agreement (as defined below), and any interest expense or amendment fees under any credit facilities and distribution paid on any issued and outstanding preferred stock, but excluding the incentive fee). Pre-Incentive Fee Net Investment Income includes, in the case</w:t>
      </w:r>
    </w:p>
    <w:p>
      <w:pPr>
        <w:spacing w:after="0" w:line="1"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4"/>
          <w:szCs w:val="14"/>
          <w:color w:val="auto"/>
        </w:rPr>
        <w:t>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w:t>
      </w:r>
    </w:p>
    <w:p>
      <w:pPr>
        <w:spacing w:after="0" w:line="222" w:lineRule="auto"/>
        <w:rPr>
          <w:sz w:val="20"/>
          <w:szCs w:val="20"/>
          <w:color w:val="auto"/>
        </w:rPr>
      </w:pPr>
      <w:r>
        <w:rPr>
          <w:rFonts w:ascii="Times New Roman" w:cs="Times New Roman" w:eastAsia="Times New Roman" w:hAnsi="Times New Roman"/>
          <w:sz w:val="14"/>
          <w:szCs w:val="14"/>
          <w:color w:val="auto"/>
        </w:rPr>
        <w:t>Fee Net Investment Income, expressed as a percentage of the value of our net assets at the end of the immediately preceding calendar quarter, is compared to the hurdle rate of 1.75% per quarter</w:t>
      </w:r>
    </w:p>
    <w:p>
      <w:pPr>
        <w:spacing w:after="0"/>
        <w:rPr>
          <w:sz w:val="20"/>
          <w:szCs w:val="20"/>
          <w:color w:val="auto"/>
        </w:rPr>
      </w:pPr>
      <w:r>
        <w:rPr>
          <w:rFonts w:ascii="Times New Roman" w:cs="Times New Roman" w:eastAsia="Times New Roman" w:hAnsi="Times New Roman"/>
          <w:sz w:val="14"/>
          <w:szCs w:val="14"/>
          <w:color w:val="auto"/>
        </w:rPr>
        <w:t>(7.00% annualized). Effective January 1, 2018, we pay the Investment Adviser an incentive fee with respect to our Pre-Incentive Fee Net Investment Income in each calendar quarter as follows:</w:t>
      </w:r>
    </w:p>
    <w:p>
      <w:pPr>
        <w:spacing w:after="0" w:line="1" w:lineRule="exact"/>
        <w:rPr>
          <w:sz w:val="20"/>
          <w:szCs w:val="20"/>
          <w:color w:val="auto"/>
        </w:rPr>
      </w:pPr>
    </w:p>
    <w:p>
      <w:pPr>
        <w:ind w:right="80" w:firstLine="8"/>
        <w:spacing w:after="0" w:line="239" w:lineRule="auto"/>
        <w:tabs>
          <w:tab w:leader="none" w:pos="20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Additionally, beginning April 1, 2020 and through March 31, 2021, the Investment Adviser had voluntarily agreed, in consultation with our board of directors, to irrevocably waive the performance-based incentive fees. For the years ended September 30, 2022, 2021 and 2020, the Investment Adviser earned $2.7 million, $0.6 million, and $2.7 million (after a waiver of $1.9 million), respectively, in incentive fees on net investment income from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4"/>
          <w:szCs w:val="14"/>
          <w:color w:val="auto"/>
        </w:rPr>
        <w:t>The following is a graphical representation of the calculation of quarterly incentive fee based on Pre-Incentive Fee Net Investment Income:</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i w:val="1"/>
          <w:iCs w:val="1"/>
          <w:color w:val="auto"/>
        </w:rPr>
        <w:t>Pre-Incentive Fee Net Investment Income</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133350</wp:posOffset>
            </wp:positionV>
            <wp:extent cx="249428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42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i w:val="1"/>
          <w:iCs w:val="1"/>
          <w:color w:val="auto"/>
        </w:rPr>
        <w:t>Percentage of Pre-Incentive Fee Net Investment Income</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i w:val="1"/>
          <w:iCs w:val="1"/>
          <w:color w:val="auto"/>
        </w:rPr>
        <w:t>allocated to income-related portion of incentive fee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w:t>
      </w:r>
    </w:p>
    <w:p>
      <w:pPr>
        <w:spacing w:after="0" w:line="1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incentive fees. For the years ended September 30, 2022, 2021 and 2020, the Investment Adviser did not accrue an incentive fee on capital gains as calculated under the Investment Management Agreement (as described above).</w:t>
      </w:r>
    </w:p>
    <w:p>
      <w:pPr>
        <w:spacing w:after="0" w:line="164"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2022, 2021 and 2020, the Investment Adviser did not accrue an incentive fee on capital gains as calculated under GAAP.</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Examples of Quarterly Incentive Fee Calculation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Alternative 1:</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1.25%</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Hurdle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 1.75%</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Base management fee </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 0.375%</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 = 0.20%</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income—(base management fee + other expenses)) = 0.675%</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Pre-Incentive Fee Net Investment Income does not exceed the hurdle; therefore, there is no incentive fee.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Alternative 2:</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2.70%</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Hurdle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 1.75%</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Base management fee </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 0.375%</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 = 0.20%</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income—(base management fee + other expenses)) = 2.125%</w:t>
      </w:r>
    </w:p>
    <w:p>
      <w:pPr>
        <w:spacing w:after="0" w:line="231" w:lineRule="exact"/>
        <w:rPr>
          <w:sz w:val="20"/>
          <w:szCs w:val="20"/>
          <w:color w:val="auto"/>
        </w:rPr>
      </w:pPr>
    </w:p>
    <w:p>
      <w:pPr>
        <w:ind w:left="1000"/>
        <w:spacing w:after="0"/>
        <w:tabs>
          <w:tab w:leader="none" w:pos="2400" w:val="left"/>
        </w:tabs>
        <w:rPr>
          <w:sz w:val="20"/>
          <w:szCs w:val="20"/>
          <w:color w:val="auto"/>
        </w:rPr>
      </w:pPr>
      <w:r>
        <w:rPr>
          <w:rFonts w:ascii="Times New Roman" w:cs="Times New Roman" w:eastAsia="Times New Roman" w:hAnsi="Times New Roman"/>
          <w:sz w:val="14"/>
          <w:szCs w:val="14"/>
          <w:color w:val="auto"/>
        </w:rPr>
        <w:t>Incentive fee</w:t>
      </w:r>
      <w:r>
        <w:rPr>
          <w:sz w:val="20"/>
          <w:szCs w:val="20"/>
          <w:color w:val="auto"/>
        </w:rPr>
        <w:tab/>
      </w:r>
      <w:r>
        <w:rPr>
          <w:rFonts w:ascii="Times New Roman" w:cs="Times New Roman" w:eastAsia="Times New Roman" w:hAnsi="Times New Roman"/>
          <w:sz w:val="14"/>
          <w:szCs w:val="14"/>
          <w:color w:val="auto"/>
        </w:rPr>
        <w:t>= 17.5% x Pre-Incentive Fee Net Investment Income, subject to “catch-up”</w:t>
      </w:r>
    </w:p>
    <w:p>
      <w:pPr>
        <w:spacing w:after="0" w:line="27" w:lineRule="exact"/>
        <w:rPr>
          <w:sz w:val="20"/>
          <w:szCs w:val="20"/>
          <w:color w:val="auto"/>
        </w:rPr>
      </w:pPr>
    </w:p>
    <w:p>
      <w:pPr>
        <w:ind w:left="2520" w:hanging="109"/>
        <w:spacing w:after="0"/>
        <w:tabs>
          <w:tab w:leader="none" w:pos="2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2.125% - 1.75%</w:t>
      </w:r>
    </w:p>
    <w:p>
      <w:pPr>
        <w:spacing w:after="0" w:line="14" w:lineRule="exact"/>
        <w:rPr>
          <w:rFonts w:ascii="Times New Roman" w:cs="Times New Roman" w:eastAsia="Times New Roman" w:hAnsi="Times New Roman"/>
          <w:sz w:val="14"/>
          <w:szCs w:val="14"/>
          <w:color w:val="auto"/>
        </w:rPr>
      </w:pPr>
    </w:p>
    <w:p>
      <w:pPr>
        <w:ind w:left="2520" w:hanging="109"/>
        <w:spacing w:after="0"/>
        <w:tabs>
          <w:tab w:leader="none" w:pos="2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0.375%</w:t>
      </w:r>
    </w:p>
    <w:p>
      <w:pPr>
        <w:spacing w:after="0" w:line="14" w:lineRule="exact"/>
        <w:rPr>
          <w:rFonts w:ascii="Times New Roman" w:cs="Times New Roman" w:eastAsia="Times New Roman" w:hAnsi="Times New Roman"/>
          <w:sz w:val="14"/>
          <w:szCs w:val="14"/>
          <w:color w:val="auto"/>
        </w:rPr>
      </w:pPr>
    </w:p>
    <w:p>
      <w:pPr>
        <w:ind w:left="2520" w:hanging="109"/>
        <w:spacing w:after="0"/>
        <w:tabs>
          <w:tab w:leader="none" w:pos="2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x 0.375%</w:t>
      </w:r>
    </w:p>
    <w:p>
      <w:pPr>
        <w:spacing w:after="0" w:line="14" w:lineRule="exact"/>
        <w:rPr>
          <w:rFonts w:ascii="Times New Roman" w:cs="Times New Roman" w:eastAsia="Times New Roman" w:hAnsi="Times New Roman"/>
          <w:sz w:val="14"/>
          <w:szCs w:val="14"/>
          <w:color w:val="auto"/>
        </w:rPr>
      </w:pPr>
    </w:p>
    <w:p>
      <w:pPr>
        <w:ind w:left="2520" w:hanging="109"/>
        <w:spacing w:after="0"/>
        <w:tabs>
          <w:tab w:leader="none" w:pos="2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0.375%</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68"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Alternative 3:</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3.00%</w:t>
      </w:r>
    </w:p>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Hurdle </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 1.75%</w:t>
      </w:r>
    </w:p>
    <w:p>
      <w:pPr>
        <w:spacing w:after="0" w:line="1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Base management fee </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 0.375%</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 = 0.20%</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5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income—(base management fee + other expenses)) = 2.425%</w:t>
      </w:r>
    </w:p>
    <w:p>
      <w:pPr>
        <w:sectPr>
          <w:pgSz w:w="11900" w:h="16838" w:orient="portrait"/>
          <w:cols w:equalWidth="0" w:num="1">
            <w:col w:w="11220"/>
          </w:cols>
          <w:pgMar w:left="320" w:top="533" w:right="359" w:bottom="1440" w:gutter="0" w:footer="0" w:header="0"/>
        </w:sectPr>
      </w:pPr>
    </w:p>
    <w:p>
      <w:pPr>
        <w:spacing w:after="0" w:line="23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Incentive fee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17.5% x Pre-Incentive Fee Net Investment Income, subject to “catch-up” </w:t>
      </w:r>
      <w:r>
        <w:rPr>
          <w:rFonts w:ascii="Times New Roman" w:cs="Times New Roman" w:eastAsia="Times New Roman" w:hAnsi="Times New Roman"/>
          <w:sz w:val="9"/>
          <w:szCs w:val="9"/>
          <w:color w:val="auto"/>
        </w:rPr>
        <w:t>(3)</w:t>
      </w:r>
    </w:p>
    <w:p>
      <w:pPr>
        <w:spacing w:after="0" w:line="46" w:lineRule="exact"/>
        <w:rPr>
          <w:sz w:val="20"/>
          <w:szCs w:val="20"/>
          <w:color w:val="auto"/>
        </w:rPr>
      </w:pPr>
    </w:p>
    <w:p>
      <w:pPr>
        <w:sectPr>
          <w:pgSz w:w="11900" w:h="16838" w:orient="portrait"/>
          <w:cols w:equalWidth="0" w:num="2">
            <w:col w:w="1740" w:space="680"/>
            <w:col w:w="8800"/>
          </w:cols>
          <w:pgMar w:left="320" w:top="533" w:right="35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4"/>
          <w:szCs w:val="14"/>
          <w:color w:val="auto"/>
        </w:rPr>
        <w:t>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100% x “catch-up” + (17.5% x (Pre-Incentive Fee Net Investment Income - 2.1212%))</w:t>
      </w:r>
    </w:p>
    <w:p>
      <w:pPr>
        <w:spacing w:after="0" w:line="15" w:lineRule="exact"/>
        <w:rPr>
          <w:sz w:val="20"/>
          <w:szCs w:val="20"/>
          <w:color w:val="auto"/>
        </w:rPr>
      </w:pPr>
    </w:p>
    <w:p>
      <w:pPr>
        <w:sectPr>
          <w:pgSz w:w="11900" w:h="16838" w:orient="portrait"/>
          <w:cols w:equalWidth="0" w:num="2">
            <w:col w:w="1740" w:space="680"/>
            <w:col w:w="8800"/>
          </w:cols>
          <w:pgMar w:left="320" w:top="533" w:right="35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4"/>
          <w:szCs w:val="14"/>
          <w:color w:val="auto"/>
        </w:rPr>
        <w:t>Catch-up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2.1212% - 1.75%</w:t>
      </w:r>
    </w:p>
    <w:p>
      <w:pPr>
        <w:spacing w:after="0" w:line="15" w:lineRule="exact"/>
        <w:rPr>
          <w:sz w:val="20"/>
          <w:szCs w:val="20"/>
          <w:color w:val="auto"/>
        </w:rPr>
      </w:pPr>
    </w:p>
    <w:p>
      <w:pPr>
        <w:sectPr>
          <w:pgSz w:w="11900" w:h="16838" w:orient="portrait"/>
          <w:cols w:equalWidth="0" w:num="2">
            <w:col w:w="1700" w:space="720"/>
            <w:col w:w="8800"/>
          </w:cols>
          <w:pgMar w:left="320" w:top="533" w:right="359" w:bottom="1440" w:gutter="0" w:footer="0" w:header="0"/>
          <w:type w:val="continuous"/>
        </w:sectPr>
      </w:pPr>
    </w:p>
    <w:p>
      <w:pPr>
        <w:ind w:left="2520" w:hanging="109"/>
        <w:spacing w:after="0"/>
        <w:tabs>
          <w:tab w:leader="none" w:pos="2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0.3712%</w:t>
      </w:r>
    </w:p>
    <w:p>
      <w:pPr>
        <w:spacing w:after="0" w:line="14" w:lineRule="exact"/>
        <w:rPr>
          <w:rFonts w:ascii="Times New Roman" w:cs="Times New Roman" w:eastAsia="Times New Roman" w:hAnsi="Times New Roman"/>
          <w:sz w:val="14"/>
          <w:szCs w:val="14"/>
          <w:color w:val="auto"/>
        </w:rPr>
      </w:pPr>
    </w:p>
    <w:p>
      <w:pPr>
        <w:ind w:left="2520" w:hanging="109"/>
        <w:spacing w:after="0"/>
        <w:tabs>
          <w:tab w:leader="none" w:pos="2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x 0.3712%) + (17.5% x (2.425% - 2.1212%))</w:t>
      </w:r>
    </w:p>
    <w:p>
      <w:pPr>
        <w:spacing w:after="0" w:line="14" w:lineRule="exact"/>
        <w:rPr>
          <w:rFonts w:ascii="Times New Roman" w:cs="Times New Roman" w:eastAsia="Times New Roman" w:hAnsi="Times New Roman"/>
          <w:sz w:val="14"/>
          <w:szCs w:val="14"/>
          <w:color w:val="auto"/>
        </w:rPr>
      </w:pPr>
    </w:p>
    <w:p>
      <w:pPr>
        <w:ind w:left="2520" w:hanging="109"/>
        <w:spacing w:after="0"/>
        <w:tabs>
          <w:tab w:leader="none" w:pos="2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0.3712% + (17.5% x 0.3038%)</w:t>
      </w:r>
    </w:p>
    <w:p>
      <w:pPr>
        <w:spacing w:after="0" w:line="14" w:lineRule="exact"/>
        <w:rPr>
          <w:rFonts w:ascii="Times New Roman" w:cs="Times New Roman" w:eastAsia="Times New Roman" w:hAnsi="Times New Roman"/>
          <w:sz w:val="14"/>
          <w:szCs w:val="14"/>
          <w:color w:val="auto"/>
        </w:rPr>
      </w:pPr>
    </w:p>
    <w:p>
      <w:pPr>
        <w:ind w:left="2520" w:hanging="109"/>
        <w:spacing w:after="0"/>
        <w:tabs>
          <w:tab w:leader="none" w:pos="2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0.3712% + 0.053165%</w:t>
      </w:r>
    </w:p>
    <w:p>
      <w:pPr>
        <w:spacing w:after="0" w:line="14" w:lineRule="exact"/>
        <w:rPr>
          <w:rFonts w:ascii="Times New Roman" w:cs="Times New Roman" w:eastAsia="Times New Roman" w:hAnsi="Times New Roman"/>
          <w:sz w:val="14"/>
          <w:szCs w:val="14"/>
          <w:color w:val="auto"/>
        </w:rPr>
      </w:pPr>
    </w:p>
    <w:p>
      <w:pPr>
        <w:ind w:left="2520" w:hanging="109"/>
        <w:spacing w:after="0"/>
        <w:tabs>
          <w:tab w:leader="none" w:pos="252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0.424365%</w:t>
      </w:r>
    </w:p>
    <w:p>
      <w:pPr>
        <w:spacing w:after="0" w:line="200" w:lineRule="exact"/>
        <w:rPr>
          <w:rFonts w:ascii="Times New Roman" w:cs="Times New Roman" w:eastAsia="Times New Roman" w:hAnsi="Times New Roman"/>
          <w:sz w:val="14"/>
          <w:szCs w:val="14"/>
          <w:color w:val="auto"/>
        </w:rPr>
      </w:pPr>
    </w:p>
    <w:p>
      <w:pPr>
        <w:spacing w:after="0" w:line="24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4"/>
          <w:szCs w:val="14"/>
          <w:color w:val="auto"/>
        </w:rPr>
        <w:t xml:space="preserve"> 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1912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ind w:left="380" w:hanging="372"/>
        <w:spacing w:after="0" w:line="189" w:lineRule="auto"/>
        <w:tabs>
          <w:tab w:leader="none" w:pos="3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7.0% annualized hurdle.</w:t>
      </w:r>
    </w:p>
    <w:p>
      <w:pPr>
        <w:spacing w:after="0" w:line="3" w:lineRule="exact"/>
        <w:rPr>
          <w:rFonts w:ascii="Times New Roman" w:cs="Times New Roman" w:eastAsia="Times New Roman" w:hAnsi="Times New Roman"/>
          <w:sz w:val="19"/>
          <w:szCs w:val="19"/>
          <w:color w:val="auto"/>
          <w:vertAlign w:val="superscript"/>
        </w:rPr>
      </w:pPr>
    </w:p>
    <w:p>
      <w:pPr>
        <w:ind w:left="380" w:hanging="372"/>
        <w:spacing w:after="0" w:line="187" w:lineRule="auto"/>
        <w:tabs>
          <w:tab w:leader="none" w:pos="38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1.5% annualized base management fee.</w:t>
      </w:r>
    </w:p>
    <w:p>
      <w:pPr>
        <w:ind w:left="380" w:right="260" w:hanging="372"/>
        <w:spacing w:after="0" w:line="211" w:lineRule="auto"/>
        <w:tabs>
          <w:tab w:leader="none" w:pos="38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Example 2: Capital Gains Portion of Incentive Fee:</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Year 1 = no net realized capital gains or losses</w:t>
      </w:r>
    </w:p>
    <w:p>
      <w:pPr>
        <w:spacing w:after="0" w:line="136" w:lineRule="exact"/>
        <w:rPr>
          <w:sz w:val="20"/>
          <w:szCs w:val="20"/>
          <w:color w:val="auto"/>
        </w:rPr>
      </w:pPr>
    </w:p>
    <w:p>
      <w:pPr>
        <w:ind w:left="160" w:right="200"/>
        <w:spacing w:after="0" w:line="282" w:lineRule="auto"/>
        <w:rPr>
          <w:sz w:val="20"/>
          <w:szCs w:val="20"/>
          <w:color w:val="auto"/>
        </w:rPr>
      </w:pPr>
      <w:r>
        <w:rPr>
          <w:rFonts w:ascii="Times New Roman" w:cs="Times New Roman" w:eastAsia="Times New Roman" w:hAnsi="Times New Roman"/>
          <w:sz w:val="14"/>
          <w:szCs w:val="14"/>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ectPr>
          <w:pgSz w:w="11900" w:h="16838" w:orient="portrait"/>
          <w:cols w:equalWidth="0" w:num="1">
            <w:col w:w="11220"/>
          </w:cols>
          <w:pgMar w:left="320" w:top="533" w:right="359" w:bottom="1440" w:gutter="0" w:footer="0" w:header="0"/>
          <w:type w:val="continuous"/>
        </w:sectPr>
      </w:pPr>
    </w:p>
    <w:p>
      <w:pPr>
        <w:spacing w:after="0" w:line="14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Year 1 incentive fee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17.5% x (0)</w:t>
      </w:r>
    </w:p>
    <w:p>
      <w:pPr>
        <w:spacing w:after="0" w:line="27" w:lineRule="exact"/>
        <w:rPr>
          <w:sz w:val="20"/>
          <w:szCs w:val="20"/>
          <w:color w:val="auto"/>
        </w:rPr>
      </w:pPr>
    </w:p>
    <w:p>
      <w:pPr>
        <w:sectPr>
          <w:pgSz w:w="11900" w:h="16838" w:orient="portrait"/>
          <w:cols w:equalWidth="0" w:num="2">
            <w:col w:w="2140" w:space="300"/>
            <w:col w:w="8780"/>
          </w:cols>
          <w:pgMar w:left="320" w:top="533" w:right="35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 0</w:t>
      </w:r>
    </w:p>
    <w:p>
      <w:pPr>
        <w:spacing w:after="0" w:line="1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 no incentive fee</w:t>
      </w:r>
    </w:p>
    <w:p>
      <w:pPr>
        <w:sectPr>
          <w:pgSz w:w="11900" w:h="16838" w:orient="portrait"/>
          <w:cols w:equalWidth="0" w:num="1">
            <w:col w:w="11220"/>
          </w:cols>
          <w:pgMar w:left="320" w:top="533" w:right="359" w:bottom="1440" w:gutter="0" w:footer="0" w:header="0"/>
          <w:type w:val="continuous"/>
        </w:sectPr>
      </w:pPr>
    </w:p>
    <w:p>
      <w:pPr>
        <w:spacing w:after="0" w:line="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Year 2 incentive fee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17.5% x (6% - 1%)</w:t>
      </w:r>
    </w:p>
    <w:p>
      <w:pPr>
        <w:spacing w:after="0" w:line="15" w:lineRule="exact"/>
        <w:rPr>
          <w:sz w:val="20"/>
          <w:szCs w:val="20"/>
          <w:color w:val="auto"/>
        </w:rPr>
      </w:pPr>
    </w:p>
    <w:p>
      <w:pPr>
        <w:sectPr>
          <w:pgSz w:w="11900" w:h="16838" w:orient="portrait"/>
          <w:cols w:equalWidth="0" w:num="2">
            <w:col w:w="2140" w:space="300"/>
            <w:col w:w="8780"/>
          </w:cols>
          <w:pgMar w:left="320" w:top="533" w:right="35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 17.5% x 5%</w:t>
      </w:r>
    </w:p>
    <w:p>
      <w:pPr>
        <w:spacing w:after="0" w:line="1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4"/>
          <w:szCs w:val="14"/>
          <w:color w:val="auto"/>
        </w:rPr>
        <w:t>= 0.875%</w:t>
      </w:r>
    </w:p>
    <w:p>
      <w:pPr>
        <w:sectPr>
          <w:pgSz w:w="11900" w:h="16838" w:orient="portrait"/>
          <w:cols w:equalWidth="0" w:num="1">
            <w:col w:w="11220"/>
          </w:cols>
          <w:pgMar w:left="320" w:top="533" w:right="35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of the Investment Adviser</w:t>
      </w:r>
    </w:p>
    <w:p>
      <w:pPr>
        <w:spacing w:after="0" w:line="140" w:lineRule="exact"/>
        <w:rPr>
          <w:sz w:val="20"/>
          <w:szCs w:val="20"/>
          <w:color w:val="auto"/>
        </w:rPr>
      </w:pPr>
    </w:p>
    <w:p>
      <w:pPr>
        <w:ind w:right="440" w:firstLine="449"/>
        <w:spacing w:after="0" w:line="282" w:lineRule="auto"/>
        <w:rPr>
          <w:sz w:val="20"/>
          <w:szCs w:val="20"/>
          <w:color w:val="auto"/>
        </w:rPr>
      </w:pPr>
      <w:r>
        <w:rPr>
          <w:rFonts w:ascii="Times New Roman" w:cs="Times New Roman" w:eastAsia="Times New Roman" w:hAnsi="Times New Roman"/>
          <w:sz w:val="14"/>
          <w:szCs w:val="14"/>
          <w:color w:val="auto"/>
        </w:rPr>
        <w:t>PennantPark Investment Advisers is a registered investment adviser under the Investment Advisers Act of 1940, as amended, or the Advisers Act. The principal executive office of PennantPark Investment Advisers is located at 1691 Michigan Ave, Miami, Florida 33139.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Duration and Termination of Investment Management Agreement</w:t>
      </w: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Investment Management Agreement was reapproved by our board of directors, including a majority of our directors who are not interested persons of us or the Investment Adviser in</w:t>
      </w:r>
    </w:p>
    <w:p>
      <w:pPr>
        <w:spacing w:after="0" w:line="1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February 2022. Unless terminated earlier as described below, the Investment Management Agreement will continue in effect for a period of one year through February 2023. It will remain in effect if approved annually by our board of directors, or by the affirmative vote of the holders of a majority of our outstanding voting securities, including, in either case, approval by a majority of</w:t>
      </w:r>
    </w:p>
    <w:p>
      <w:pPr>
        <w:spacing w:after="0" w:line="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4"/>
          <w:szCs w:val="14"/>
          <w:color w:val="auto"/>
        </w:rPr>
        <w:t>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07" w:lineRule="exact"/>
        <w:rPr>
          <w:sz w:val="20"/>
          <w:szCs w:val="20"/>
          <w:color w:val="auto"/>
        </w:rPr>
      </w:pPr>
    </w:p>
    <w:p>
      <w:pPr>
        <w:ind w:right="140" w:firstLine="449"/>
        <w:spacing w:after="0" w:line="255" w:lineRule="auto"/>
        <w:rPr>
          <w:sz w:val="20"/>
          <w:szCs w:val="20"/>
          <w:color w:val="auto"/>
        </w:rPr>
      </w:pPr>
      <w:r>
        <w:rPr>
          <w:rFonts w:ascii="Times New Roman" w:cs="Times New Roman" w:eastAsia="Times New Roman" w:hAnsi="Times New Roman"/>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Administration Agreement</w:t>
      </w:r>
    </w:p>
    <w:p>
      <w:pPr>
        <w:spacing w:after="0" w:line="154"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4"/>
          <w:szCs w:val="14"/>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3" w:right="359" w:bottom="1440" w:gutter="0" w:footer="0" w:header="0"/>
          <w:type w:val="continuous"/>
        </w:sectPr>
      </w:pPr>
    </w:p>
    <w:bookmarkStart w:id="13" w:name="page14"/>
    <w:bookmarkEnd w:id="13"/>
    <w:p>
      <w:pPr>
        <w:ind w:right="140"/>
        <w:spacing w:after="0" w:line="247" w:lineRule="auto"/>
        <w:rPr>
          <w:sz w:val="20"/>
          <w:szCs w:val="20"/>
          <w:color w:val="auto"/>
        </w:rPr>
      </w:pPr>
      <w:r>
        <w:rPr>
          <w:rFonts w:ascii="Times New Roman" w:cs="Times New Roman" w:eastAsia="Times New Roman" w:hAnsi="Times New Roman"/>
          <w:sz w:val="14"/>
          <w:szCs w:val="14"/>
          <w:color w:val="auto"/>
        </w:rPr>
        <w:t>returns and generally oversees the payment of our expenses and the performance of administrative and professional services rendered to us by others. PennantPark Investment, through the Administrator, provides similar services to SBIC II under its administration agreement with us. For providing these services, facilities and personnel, we have agreed to reimburse the Administrator for our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Corporate Counsel and their</w:t>
      </w:r>
    </w:p>
    <w:p>
      <w:pPr>
        <w:spacing w:after="0" w:line="1"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4"/>
          <w:szCs w:val="14"/>
          <w:color w:val="auto"/>
        </w:rPr>
        <w:t>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w:t>
      </w:r>
    </w:p>
    <w:p>
      <w:pPr>
        <w:spacing w:after="0" w:line="1"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4"/>
          <w:szCs w:val="14"/>
          <w:color w:val="auto"/>
        </w:rPr>
        <w:t>included in administrative services expenses in the Consolidated Statements of Operations. For the years ended September 30, 2022, 2021 and 2020, we reimbursed the Investment Adviser approximately $0.9 million, $1.2 million and $1.4 million, respectively, including expenses the Investment Adviser incurred on behalf of the Administrator for services described above.</w:t>
      </w:r>
    </w:p>
    <w:p>
      <w:pPr>
        <w:spacing w:after="0" w:line="110"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4"/>
          <w:szCs w:val="14"/>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w:t>
      </w:r>
    </w:p>
    <w:p>
      <w:pPr>
        <w:spacing w:after="0" w:line="1"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14"/>
          <w:szCs w:val="14"/>
          <w:color w:val="auto"/>
        </w:rPr>
        <w:t>services provided to the Company or portfolio companies by in-house professionals of the Administrator or its affiliates on matters related to potential or actual investments and transactions, including tax structuring and/or due diligence.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Duration and Termination of Administration Agreement</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Administration Agreement was reapproved by our board of directors, including a majority of our directors who are not interested persons of us, in February 2022., and amended in</w:t>
      </w:r>
    </w:p>
    <w:p>
      <w:pPr>
        <w:spacing w:after="0" w:line="1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July 2022 as described above. Unless terminated earlier as described below, our Administration Agreement will continue in effect for a period of one year through February 2023. It will remain in effect if approved annually by our board of directors, or by the affirmative vote of the holders of a majority of our outstanding voting securities, including, in either case, approval by a majority of</w:t>
      </w:r>
    </w:p>
    <w:p>
      <w:pPr>
        <w:spacing w:after="0" w:line="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54" w:lineRule="exact"/>
        <w:rPr>
          <w:sz w:val="20"/>
          <w:szCs w:val="20"/>
          <w:color w:val="auto"/>
        </w:rPr>
      </w:pPr>
    </w:p>
    <w:p>
      <w:pPr>
        <w:ind w:right="240" w:firstLine="449"/>
        <w:spacing w:after="0" w:line="243" w:lineRule="auto"/>
        <w:rPr>
          <w:sz w:val="20"/>
          <w:szCs w:val="20"/>
          <w:color w:val="auto"/>
        </w:rPr>
      </w:pPr>
      <w:r>
        <w:rPr>
          <w:rFonts w:ascii="Times New Roman" w:cs="Times New Roman" w:eastAsia="Times New Roman" w:hAnsi="Times New Roman"/>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w:t>
      </w:r>
    </w:p>
    <w:p>
      <w:pPr>
        <w:spacing w:after="0" w:line="1" w:lineRule="exact"/>
        <w:rPr>
          <w:sz w:val="20"/>
          <w:szCs w:val="20"/>
          <w:color w:val="auto"/>
        </w:rPr>
      </w:pPr>
    </w:p>
    <w:p>
      <w:pPr>
        <w:ind w:right="280"/>
        <w:spacing w:after="0" w:line="231" w:lineRule="auto"/>
        <w:rPr>
          <w:sz w:val="20"/>
          <w:szCs w:val="20"/>
          <w:color w:val="auto"/>
        </w:rPr>
      </w:pPr>
      <w:r>
        <w:rPr>
          <w:rFonts w:ascii="Times New Roman" w:cs="Times New Roman" w:eastAsia="Times New Roman" w:hAnsi="Times New Roman"/>
          <w:sz w:val="14"/>
          <w:szCs w:val="14"/>
          <w:color w:val="auto"/>
        </w:rPr>
        <w:t>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our Investment Management Agreement or Administration Agreement or otherwise as Investment Adviser or Administrator for 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have entered into a license agreement, or the License Agreement, with PennantPark Investment Advisers pursuant to which PennantPark Investment Advisers has granted us a royalty-</w:t>
      </w:r>
    </w:p>
    <w:p>
      <w:pPr>
        <w:spacing w:after="0" w:line="17"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PennantPark Senior Loan Fund, LLC</w:t>
      </w:r>
    </w:p>
    <w:p>
      <w:pPr>
        <w:spacing w:after="0" w:line="194"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September 30, 2022 and 2021 PSLF had total assets of $781.3 million and $417.4 million, respectively, consisting of debt investments in 80 and 47 portfolio companies, respectively. As of September 30, 2022, at fair value, the largest investment in a single portfolio company in PSLF was $19.9 million and the five largest investments totaled $98.5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11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September 30, 2022 and 2021 we and Pantheon owned 60.5% and 39.5%, respectively, of each of the outstanding subordinated notes and equity interests of PSLF. As of the same dates, our investment in PSLF consisted of subordinated notes of $88.0 million and $64.2 million, respectively, and equity interests of $51.1 million and $41.2 million, respectively.</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Development Company, Regulated Investment Company Regulations and Small Business Investment Company Regulations</w:t>
      </w:r>
    </w:p>
    <w:p>
      <w:pPr>
        <w:spacing w:after="0" w:line="140" w:lineRule="exact"/>
        <w:rPr>
          <w:sz w:val="20"/>
          <w:szCs w:val="20"/>
          <w:color w:val="auto"/>
        </w:rPr>
      </w:pPr>
    </w:p>
    <w:p>
      <w:pPr>
        <w:ind w:right="240" w:firstLine="449"/>
        <w:spacing w:after="0" w:line="253" w:lineRule="auto"/>
        <w:rPr>
          <w:sz w:val="20"/>
          <w:szCs w:val="20"/>
          <w:color w:val="auto"/>
        </w:rPr>
      </w:pPr>
      <w:r>
        <w:rPr>
          <w:rFonts w:ascii="Times New Roman" w:cs="Times New Roman" w:eastAsia="Times New Roman" w:hAnsi="Times New Roman"/>
          <w:sz w:val="14"/>
          <w:szCs w:val="14"/>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w:t>
      </w:r>
    </w:p>
    <w:p>
      <w:pPr>
        <w:spacing w:after="0" w:line="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may invest up to 100% of our assets in securities acquired directly from issuers in privately negotiated transactions. With respect to such securities, we may, for the purpose of public</w:t>
      </w:r>
    </w:p>
    <w:p>
      <w:pPr>
        <w:spacing w:after="0" w:line="17"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w:t>
      </w:r>
    </w:p>
    <w:p>
      <w:pPr>
        <w:spacing w:after="0" w:line="1"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4"/>
          <w:szCs w:val="14"/>
          <w:color w:val="auto"/>
        </w:rPr>
        <w:t>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w:t>
      </w:r>
    </w:p>
    <w:p>
      <w:pPr>
        <w:spacing w:after="0" w:line="1" w:lineRule="exact"/>
        <w:rPr>
          <w:sz w:val="20"/>
          <w:szCs w:val="20"/>
          <w:color w:val="auto"/>
        </w:rPr>
      </w:pPr>
    </w:p>
    <w:p>
      <w:pPr>
        <w:ind w:right="600"/>
        <w:spacing w:after="0" w:line="239" w:lineRule="auto"/>
        <w:rPr>
          <w:sz w:val="20"/>
          <w:szCs w:val="20"/>
          <w:color w:val="auto"/>
        </w:rPr>
      </w:pPr>
      <w:r>
        <w:rPr>
          <w:rFonts w:ascii="Times New Roman" w:cs="Times New Roman" w:eastAsia="Times New Roman" w:hAnsi="Times New Roman"/>
          <w:sz w:val="14"/>
          <w:szCs w:val="14"/>
          <w:color w:val="auto"/>
        </w:rPr>
        <w:t>may enter into hedging transactions to manage the risks associated with interest rate and currency fluctuations. None of these policies are fundamental and they may be changed without stockholder approval.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Qualifying Assets</w:t>
      </w:r>
    </w:p>
    <w:p>
      <w:pPr>
        <w:spacing w:after="0" w:line="14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 w:name="page15"/>
    <w:bookmarkEnd w:id="14"/>
    <w:p>
      <w:pPr>
        <w:ind w:left="960" w:hanging="383"/>
        <w:spacing w:after="0" w:line="251"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02" w:lineRule="exact"/>
        <w:rPr>
          <w:rFonts w:ascii="Times New Roman" w:cs="Times New Roman" w:eastAsia="Times New Roman" w:hAnsi="Times New Roman"/>
          <w:sz w:val="14"/>
          <w:szCs w:val="14"/>
          <w:color w:val="auto"/>
        </w:rPr>
      </w:pPr>
    </w:p>
    <w:p>
      <w:pPr>
        <w:ind w:left="1520" w:hanging="374"/>
        <w:spacing w:after="0"/>
        <w:tabs>
          <w:tab w:leader="none" w:pos="15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organized under the laws of, and has its principal place of business in, the United States;</w:t>
      </w:r>
    </w:p>
    <w:p>
      <w:pPr>
        <w:spacing w:after="0" w:line="136" w:lineRule="exact"/>
        <w:rPr>
          <w:rFonts w:ascii="Times New Roman" w:cs="Times New Roman" w:eastAsia="Times New Roman" w:hAnsi="Times New Roman"/>
          <w:sz w:val="14"/>
          <w:szCs w:val="14"/>
          <w:color w:val="auto"/>
        </w:rPr>
      </w:pPr>
    </w:p>
    <w:p>
      <w:pPr>
        <w:ind w:left="1520" w:right="60" w:hanging="374"/>
        <w:spacing w:after="0" w:line="282" w:lineRule="auto"/>
        <w:tabs>
          <w:tab w:leader="none" w:pos="15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80" w:lineRule="exact"/>
        <w:rPr>
          <w:rFonts w:ascii="Times New Roman" w:cs="Times New Roman" w:eastAsia="Times New Roman" w:hAnsi="Times New Roman"/>
          <w:sz w:val="14"/>
          <w:szCs w:val="14"/>
          <w:color w:val="auto"/>
        </w:rPr>
      </w:pPr>
    </w:p>
    <w:p>
      <w:pPr>
        <w:ind w:left="1520" w:hanging="374"/>
        <w:spacing w:after="0"/>
        <w:tabs>
          <w:tab w:leader="none" w:pos="152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satisfies any of the following:</w:t>
      </w:r>
    </w:p>
    <w:p>
      <w:pPr>
        <w:spacing w:after="0" w:line="136" w:lineRule="exact"/>
        <w:rPr>
          <w:rFonts w:ascii="Times New Roman" w:cs="Times New Roman" w:eastAsia="Times New Roman" w:hAnsi="Times New Roman"/>
          <w:sz w:val="14"/>
          <w:szCs w:val="14"/>
          <w:color w:val="auto"/>
        </w:rPr>
      </w:pPr>
    </w:p>
    <w:p>
      <w:pPr>
        <w:ind w:left="2080" w:hanging="364"/>
        <w:spacing w:after="0"/>
        <w:tabs>
          <w:tab w:leader="none" w:pos="20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any class of securities listed on a national securities exchange;</w:t>
      </w:r>
    </w:p>
    <w:p>
      <w:pPr>
        <w:spacing w:after="0" w:line="149" w:lineRule="exact"/>
        <w:rPr>
          <w:rFonts w:ascii="Times New Roman" w:cs="Times New Roman" w:eastAsia="Times New Roman" w:hAnsi="Times New Roman"/>
          <w:sz w:val="14"/>
          <w:szCs w:val="14"/>
          <w:color w:val="auto"/>
        </w:rPr>
      </w:pPr>
    </w:p>
    <w:p>
      <w:pPr>
        <w:ind w:left="2080" w:hanging="364"/>
        <w:spacing w:after="0"/>
        <w:tabs>
          <w:tab w:leader="none" w:pos="20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any class of securities listed on a national securities exchange subject to a maximum market capitalization of $250.0 million; or</w:t>
      </w:r>
    </w:p>
    <w:p>
      <w:pPr>
        <w:spacing w:after="0" w:line="136" w:lineRule="exact"/>
        <w:rPr>
          <w:rFonts w:ascii="Times New Roman" w:cs="Times New Roman" w:eastAsia="Times New Roman" w:hAnsi="Times New Roman"/>
          <w:sz w:val="14"/>
          <w:szCs w:val="14"/>
          <w:color w:val="auto"/>
        </w:rPr>
      </w:pPr>
    </w:p>
    <w:p>
      <w:pPr>
        <w:ind w:left="2080" w:right="300" w:hanging="364"/>
        <w:spacing w:after="0" w:line="261" w:lineRule="auto"/>
        <w:tabs>
          <w:tab w:leader="none" w:pos="20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95"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any eligible portfolio company which we control.</w:t>
      </w:r>
    </w:p>
    <w:p>
      <w:pPr>
        <w:spacing w:after="0" w:line="149" w:lineRule="exact"/>
        <w:rPr>
          <w:rFonts w:ascii="Times New Roman" w:cs="Times New Roman" w:eastAsia="Times New Roman" w:hAnsi="Times New Roman"/>
          <w:sz w:val="14"/>
          <w:szCs w:val="14"/>
          <w:color w:val="auto"/>
        </w:rPr>
      </w:pPr>
    </w:p>
    <w:p>
      <w:pPr>
        <w:ind w:left="960" w:right="120" w:hanging="383"/>
        <w:spacing w:after="0" w:line="251"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02" w:lineRule="exact"/>
        <w:rPr>
          <w:rFonts w:ascii="Times New Roman" w:cs="Times New Roman" w:eastAsia="Times New Roman" w:hAnsi="Times New Roman"/>
          <w:sz w:val="14"/>
          <w:szCs w:val="14"/>
          <w:color w:val="auto"/>
        </w:rPr>
      </w:pPr>
    </w:p>
    <w:p>
      <w:pPr>
        <w:ind w:left="960" w:right="80" w:hanging="383"/>
        <w:spacing w:after="0" w:line="261"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 eligible portfolio company purchased from any person in a private transaction if there is no readily available market for such securities and we already own 60% of the outstanding equity of the eligible portfolio company.</w:t>
      </w:r>
    </w:p>
    <w:p>
      <w:pPr>
        <w:spacing w:after="0" w:line="108" w:lineRule="exact"/>
        <w:rPr>
          <w:rFonts w:ascii="Times New Roman" w:cs="Times New Roman" w:eastAsia="Times New Roman" w:hAnsi="Times New Roman"/>
          <w:sz w:val="14"/>
          <w:szCs w:val="14"/>
          <w:color w:val="auto"/>
        </w:rPr>
      </w:pPr>
    </w:p>
    <w:p>
      <w:pPr>
        <w:ind w:left="960" w:right="200" w:hanging="383"/>
        <w:spacing w:after="0" w:line="261" w:lineRule="auto"/>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received in exchange for or distributed on or with respect to securities described in (1) through (4) above, or pursuant to the exercise of warrants or rights relating to such securities.</w:t>
      </w:r>
    </w:p>
    <w:p>
      <w:pPr>
        <w:spacing w:after="0" w:line="95"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cash equivalents, U.S. government securities or high-quality debt securities maturing in one year or less from the time of investment.</w:t>
      </w:r>
    </w:p>
    <w:p>
      <w:pPr>
        <w:spacing w:after="0" w:line="136" w:lineRule="exact"/>
        <w:rPr>
          <w:sz w:val="20"/>
          <w:szCs w:val="20"/>
          <w:color w:val="auto"/>
        </w:rPr>
      </w:pPr>
    </w:p>
    <w:p>
      <w:pPr>
        <w:ind w:right="300" w:firstLine="449"/>
        <w:spacing w:after="0" w:line="302" w:lineRule="auto"/>
        <w:rPr>
          <w:sz w:val="20"/>
          <w:szCs w:val="20"/>
          <w:color w:val="auto"/>
        </w:rPr>
      </w:pPr>
      <w:r>
        <w:rPr>
          <w:rFonts w:ascii="Times New Roman" w:cs="Times New Roman" w:eastAsia="Times New Roman" w:hAnsi="Times New Roman"/>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Managerial Assistance to Portfolio Companies</w:t>
      </w:r>
    </w:p>
    <w:p>
      <w:pPr>
        <w:spacing w:after="0" w:line="154"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Temporary Investments</w:t>
      </w:r>
    </w:p>
    <w:p>
      <w:pPr>
        <w:spacing w:after="0" w:line="15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Securities</w:t>
      </w:r>
    </w:p>
    <w:p>
      <w:pPr>
        <w:spacing w:after="0" w:line="154" w:lineRule="exact"/>
        <w:rPr>
          <w:sz w:val="20"/>
          <w:szCs w:val="20"/>
          <w:color w:val="auto"/>
        </w:rPr>
      </w:pPr>
    </w:p>
    <w:p>
      <w:pPr>
        <w:ind w:firstLine="449"/>
        <w:spacing w:after="0" w:line="253" w:lineRule="auto"/>
        <w:rPr>
          <w:sz w:val="20"/>
          <w:szCs w:val="20"/>
          <w:color w:val="auto"/>
        </w:rPr>
      </w:pPr>
      <w:r>
        <w:rPr>
          <w:rFonts w:ascii="Times New Roman" w:cs="Times New Roman" w:eastAsia="Times New Roman" w:hAnsi="Times New Roman"/>
          <w:sz w:val="14"/>
          <w:szCs w:val="14"/>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Joint Code of Ethics and Code of Conduct</w:t>
      </w:r>
    </w:p>
    <w:p>
      <w:pPr>
        <w:spacing w:after="0" w:line="154"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xml:space="preserve">. In addition, the joint code of ethics is attached as an exhibit to this Report and is available on the EDGAR Database on the SEC’s Internet 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You may also obtain a copy of our joint code of ethics, after paying a duplicating fee, by electronic request at the following email address: </w:t>
      </w:r>
      <w:r>
        <w:rPr>
          <w:rFonts w:ascii="Times New Roman" w:cs="Times New Roman" w:eastAsia="Times New Roman" w:hAnsi="Times New Roman"/>
          <w:sz w:val="14"/>
          <w:szCs w:val="14"/>
          <w:i w:val="1"/>
          <w:iCs w:val="1"/>
          <w:u w:val="single" w:color="auto"/>
          <w:color w:val="auto"/>
        </w:rPr>
        <w:t>publicinfo@sec.gov</w:t>
      </w:r>
      <w:r>
        <w:rPr>
          <w:rFonts w:ascii="Times New Roman" w:cs="Times New Roman" w:eastAsia="Times New Roman" w:hAnsi="Times New Roman"/>
          <w:sz w:val="14"/>
          <w:szCs w:val="14"/>
          <w:color w:val="auto"/>
        </w:rPr>
        <w: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Proxy Voting Policies and Procedures</w:t>
      </w:r>
    </w:p>
    <w:p>
      <w:pPr>
        <w:spacing w:after="0" w:line="154"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i w:val="1"/>
          <w:iCs w:val="1"/>
          <w:color w:val="auto"/>
        </w:rPr>
        <w:t>Introduction</w:t>
      </w:r>
    </w:p>
    <w:p>
      <w:pPr>
        <w:spacing w:after="0" w:line="152" w:lineRule="exact"/>
        <w:rPr>
          <w:sz w:val="20"/>
          <w:szCs w:val="20"/>
          <w:color w:val="auto"/>
        </w:rPr>
      </w:pPr>
    </w:p>
    <w:p>
      <w:pPr>
        <w:ind w:right="500" w:firstLine="449"/>
        <w:spacing w:after="0" w:line="282" w:lineRule="auto"/>
        <w:rPr>
          <w:sz w:val="20"/>
          <w:szCs w:val="20"/>
          <w:color w:val="auto"/>
        </w:rPr>
      </w:pPr>
      <w:r>
        <w:rPr>
          <w:rFonts w:ascii="Times New Roman" w:cs="Times New Roman" w:eastAsia="Times New Roman" w:hAnsi="Times New Roman"/>
          <w:sz w:val="14"/>
          <w:szCs w:val="14"/>
          <w:color w:val="auto"/>
        </w:rPr>
        <w:t>As an investment adviser registered under the Advisers Act, our Investment Adviser have a fiduciary duty to act solely in the best interests of their clients. As part of this duty, our Investment Adviser recognize that they must vote client securities in a timely manner free of conflicts of interest and in the best interests of their clients.</w:t>
      </w:r>
    </w:p>
    <w:p>
      <w:pPr>
        <w:spacing w:after="0" w:line="94" w:lineRule="exact"/>
        <w:rPr>
          <w:sz w:val="20"/>
          <w:szCs w:val="20"/>
          <w:color w:val="auto"/>
        </w:rPr>
      </w:pPr>
    </w:p>
    <w:p>
      <w:pPr>
        <w:ind w:left="460" w:right="860"/>
        <w:spacing w:after="0" w:line="462" w:lineRule="auto"/>
        <w:rPr>
          <w:sz w:val="20"/>
          <w:szCs w:val="20"/>
          <w:color w:val="auto"/>
        </w:rPr>
      </w:pPr>
      <w:r>
        <w:rPr>
          <w:rFonts w:ascii="Times New Roman" w:cs="Times New Roman" w:eastAsia="Times New Roman" w:hAnsi="Times New Roman"/>
          <w:sz w:val="14"/>
          <w:szCs w:val="14"/>
          <w:color w:val="auto"/>
        </w:rPr>
        <w:t xml:space="preserve">These policies and procedures for voting proxies for our investment advisory clients are intended to comply with Section 206 of, and Rule 206(4)-6 under, the Advisers Act. </w:t>
      </w:r>
      <w:r>
        <w:rPr>
          <w:rFonts w:ascii="Times New Roman" w:cs="Times New Roman" w:eastAsia="Times New Roman" w:hAnsi="Times New Roman"/>
          <w:sz w:val="14"/>
          <w:szCs w:val="14"/>
          <w:i w:val="1"/>
          <w:iCs w:val="1"/>
          <w:color w:val="auto"/>
        </w:rPr>
        <w:t>Proxy Policies</w:t>
      </w:r>
    </w:p>
    <w:p>
      <w:pPr>
        <w:spacing w:after="0" w:line="1" w:lineRule="exact"/>
        <w:rPr>
          <w:sz w:val="20"/>
          <w:szCs w:val="20"/>
          <w:color w:val="auto"/>
        </w:rPr>
      </w:pPr>
    </w:p>
    <w:p>
      <w:pPr>
        <w:ind w:firstLine="449"/>
        <w:spacing w:after="0" w:line="271" w:lineRule="auto"/>
        <w:rPr>
          <w:sz w:val="20"/>
          <w:szCs w:val="20"/>
          <w:color w:val="auto"/>
        </w:rPr>
      </w:pPr>
      <w:r>
        <w:rPr>
          <w:rFonts w:ascii="Times New Roman" w:cs="Times New Roman" w:eastAsia="Times New Roman" w:hAnsi="Times New Roman"/>
          <w:sz w:val="14"/>
          <w:szCs w:val="14"/>
          <w:color w:val="auto"/>
        </w:rPr>
        <w:t>Our Investment Adviser vote proxies relating to our portfolio securities in what they perceive to be the best interests of our stockholders. Our Investment Adviser review on a case-by-case basis each proposal submitted to a stockholder vote to determine its impact on the portfolio securities held by its clients. Although our Investment Adviser will generally vote against proposals that may have a negative impact on its clients’ portfolio securities, our Investment Adviser may vote for such a proposal if there exists compelling long-term reasons to do so.</w:t>
      </w:r>
    </w:p>
    <w:p>
      <w:pPr>
        <w:spacing w:after="0" w:line="103"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4"/>
          <w:szCs w:val="14"/>
          <w:color w:val="auto"/>
        </w:rPr>
        <w:t>Our Investment Adviser proxy voting decisions are made by the senior investment professionals who are responsible for monitoring each of its clients’ investments. To ensure that the vote is not the product of a conflict of interest, our Investment Adviser requires that: (1) anyone involved in the decision making process disclose to its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i w:val="1"/>
          <w:iCs w:val="1"/>
          <w:color w:val="auto"/>
        </w:rPr>
        <w:t>Proxy Voting Records</w:t>
      </w:r>
    </w:p>
    <w:p>
      <w:pPr>
        <w:spacing w:after="0" w:line="152"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4"/>
          <w:szCs w:val="14"/>
          <w:color w:val="auto"/>
        </w:rPr>
        <w:t>You may obtain information about how we voted proxies, free of charge, by calling us at (786) 297-9500 or by making a written request for proxy voting information to: Richard Allorto, Chief Financial Officer and Treasurer, 1691 Michigan Avenue, Miami, Florida 33139.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Protection Principles</w:t>
      </w:r>
    </w:p>
    <w:p>
      <w:pPr>
        <w:spacing w:after="0" w:line="154"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restrict access to non-public personal information about our stockholders to employees of our Investment Adviser and its affiliates with a legitimate business need for the information.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maintain physical, electronic and procedural safeguards designed to protect the non-public personal information of our stockholders.</w:t>
      </w:r>
    </w:p>
    <w:p>
      <w:pPr>
        <w:spacing w:after="0" w:line="132" w:lineRule="exact"/>
        <w:rPr>
          <w:sz w:val="20"/>
          <w:szCs w:val="20"/>
          <w:color w:val="auto"/>
        </w:rPr>
      </w:pPr>
    </w:p>
    <w:p>
      <w:pPr>
        <w:ind w:right="180" w:firstLine="449"/>
        <w:spacing w:after="0" w:line="285" w:lineRule="auto"/>
        <w:rPr>
          <w:sz w:val="20"/>
          <w:szCs w:val="20"/>
          <w:color w:val="auto"/>
        </w:rPr>
      </w:pPr>
      <w:r>
        <w:rPr>
          <w:rFonts w:ascii="Times New Roman" w:cs="Times New Roman" w:eastAsia="Times New Roman" w:hAnsi="Times New Roman"/>
          <w:sz w:val="14"/>
          <w:szCs w:val="14"/>
          <w:color w:val="auto"/>
        </w:rPr>
        <w:t xml:space="preserve">Our privacy protection policies are available, free of charge, on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xml:space="preserve">. In addition, the privacy policy is available on the EDGAR Database on the SEC’s Internet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filed as an exhibit to our annual report on Form 10-K (File No. 814-00736), filed on November 16, 2022.</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54"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will be periodically examined by the SEC and SBA for compliance with the 1940 Act and 1958 Act, respectively.</w:t>
      </w:r>
    </w:p>
    <w:p>
      <w:pPr>
        <w:spacing w:after="0" w:line="136" w:lineRule="exact"/>
        <w:rPr>
          <w:sz w:val="20"/>
          <w:szCs w:val="20"/>
          <w:color w:val="auto"/>
        </w:rPr>
      </w:pPr>
    </w:p>
    <w:p>
      <w:pPr>
        <w:ind w:right="140" w:firstLine="449"/>
        <w:spacing w:after="0" w:line="261" w:lineRule="auto"/>
        <w:rPr>
          <w:sz w:val="20"/>
          <w:szCs w:val="20"/>
          <w:color w:val="auto"/>
        </w:rPr>
      </w:pPr>
      <w:r>
        <w:rPr>
          <w:rFonts w:ascii="Times New Roman" w:cs="Times New Roman" w:eastAsia="Times New Roman" w:hAnsi="Times New Roman"/>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9"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Sarbanes-Oxley Act of 2002</w:t>
      </w:r>
    </w:p>
    <w:p>
      <w:pPr>
        <w:spacing w:after="0" w:line="140"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4"/>
          <w:szCs w:val="14"/>
          <w:color w:val="auto"/>
        </w:rPr>
        <w:t>The Sarbanes-Oxley Act of 2002, as amended, or the Sarbanes-Oxley Act, imposes several regulatory requirements on publicly held companies and their insiders. Many of these requirements affect us.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example:</w:t>
      </w:r>
    </w:p>
    <w:p>
      <w:pPr>
        <w:spacing w:after="0" w:line="136" w:lineRule="exact"/>
        <w:rPr>
          <w:sz w:val="20"/>
          <w:szCs w:val="20"/>
          <w:color w:val="auto"/>
        </w:rPr>
      </w:pPr>
    </w:p>
    <w:p>
      <w:pPr>
        <w:ind w:left="960" w:right="380" w:hanging="383"/>
        <w:spacing w:after="0" w:line="282" w:lineRule="auto"/>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94"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307 of Regulation S-K, our periodic reports must disclose our conclusions about the effectiveness of our disclosure controls and procedures;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13a-15 of the Exchange Act, our management must prepare an annual report regarding its assessment of our internal controls over financial reporting; and</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16" w:name="page17"/>
    <w:bookmarkEnd w:id="16"/>
    <w:p>
      <w:pPr>
        <w:jc w:val="both"/>
        <w:ind w:left="960" w:right="140" w:hanging="383"/>
        <w:spacing w:after="0" w:line="261" w:lineRule="auto"/>
        <w:tabs>
          <w:tab w:leader="none" w:pos="9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9" w:lineRule="exact"/>
        <w:rPr>
          <w:sz w:val="20"/>
          <w:szCs w:val="20"/>
          <w:color w:val="auto"/>
        </w:rPr>
      </w:pPr>
    </w:p>
    <w:p>
      <w:pPr>
        <w:ind w:right="80" w:firstLine="449"/>
        <w:spacing w:after="0" w:line="269" w:lineRule="auto"/>
        <w:rPr>
          <w:sz w:val="20"/>
          <w:szCs w:val="20"/>
          <w:color w:val="auto"/>
        </w:rPr>
      </w:pPr>
      <w:r>
        <w:rPr>
          <w:rFonts w:ascii="Times New Roman" w:cs="Times New Roman" w:eastAsia="Times New Roman" w:hAnsi="Times New Roman"/>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to be Treated as a RIC</w:t>
      </w:r>
    </w:p>
    <w:p>
      <w:pPr>
        <w:spacing w:after="0" w:line="154" w:lineRule="exact"/>
        <w:rPr>
          <w:sz w:val="20"/>
          <w:szCs w:val="20"/>
          <w:color w:val="auto"/>
        </w:rPr>
      </w:pPr>
    </w:p>
    <w:p>
      <w:pPr>
        <w:ind w:right="100" w:firstLine="449"/>
        <w:spacing w:after="0" w:line="251"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order to qualify as a RIC for federal income tax purposes, we must:</w:t>
      </w:r>
    </w:p>
    <w:p>
      <w:pPr>
        <w:spacing w:after="0" w:line="150" w:lineRule="exact"/>
        <w:rPr>
          <w:sz w:val="20"/>
          <w:szCs w:val="20"/>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 election to be treated as a BDC under the 1940 Act at all times during each taxable year;</w:t>
      </w:r>
    </w:p>
    <w:p>
      <w:pPr>
        <w:spacing w:after="0" w:line="149" w:lineRule="exact"/>
        <w:rPr>
          <w:rFonts w:ascii="Times New Roman" w:cs="Times New Roman" w:eastAsia="Times New Roman" w:hAnsi="Times New Roman"/>
          <w:sz w:val="14"/>
          <w:szCs w:val="14"/>
          <w:color w:val="auto"/>
        </w:rPr>
      </w:pPr>
    </w:p>
    <w:p>
      <w:pPr>
        <w:ind w:left="960" w:right="120" w:hanging="383"/>
        <w:spacing w:after="0" w:line="261" w:lineRule="auto"/>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95"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diversify our holdings, or the Diversification Tests, so that at the end of each quarter of the taxable year:</w:t>
      </w:r>
    </w:p>
    <w:p>
      <w:pPr>
        <w:spacing w:after="0" w:line="149" w:lineRule="exact"/>
        <w:rPr>
          <w:rFonts w:ascii="Times New Roman" w:cs="Times New Roman" w:eastAsia="Times New Roman" w:hAnsi="Times New Roman"/>
          <w:sz w:val="14"/>
          <w:szCs w:val="14"/>
          <w:color w:val="auto"/>
        </w:rPr>
      </w:pPr>
    </w:p>
    <w:p>
      <w:pPr>
        <w:ind w:left="1520" w:hanging="374"/>
        <w:spacing w:after="0" w:line="282" w:lineRule="auto"/>
        <w:tabs>
          <w:tab w:leader="none" w:pos="15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94" w:lineRule="exact"/>
        <w:rPr>
          <w:rFonts w:ascii="Times New Roman" w:cs="Times New Roman" w:eastAsia="Times New Roman" w:hAnsi="Times New Roman"/>
          <w:sz w:val="14"/>
          <w:szCs w:val="14"/>
          <w:color w:val="auto"/>
        </w:rPr>
      </w:pPr>
    </w:p>
    <w:p>
      <w:pPr>
        <w:ind w:left="1520" w:right="140" w:hanging="374"/>
        <w:spacing w:after="0" w:line="261" w:lineRule="auto"/>
        <w:tabs>
          <w:tab w:leader="none" w:pos="152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96"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Although we may distribute realized net capital gains (i.e., net long-term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117" w:lineRule="exact"/>
        <w:rPr>
          <w:sz w:val="20"/>
          <w:szCs w:val="20"/>
          <w:color w:val="auto"/>
        </w:rPr>
      </w:pPr>
    </w:p>
    <w:p>
      <w:pPr>
        <w:jc w:val="both"/>
        <w:ind w:right="240" w:firstLine="449"/>
        <w:spacing w:after="0" w:line="255" w:lineRule="auto"/>
        <w:rPr>
          <w:sz w:val="20"/>
          <w:szCs w:val="20"/>
          <w:color w:val="auto"/>
        </w:rPr>
      </w:pPr>
      <w:r>
        <w:rPr>
          <w:rFonts w:ascii="Times New Roman" w:cs="Times New Roman" w:eastAsia="Times New Roman" w:hAnsi="Times New Roman"/>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80"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Taxation as a RIC</w:t>
      </w:r>
    </w:p>
    <w:p>
      <w:pPr>
        <w:spacing w:after="0" w:line="140" w:lineRule="exact"/>
        <w:rPr>
          <w:sz w:val="20"/>
          <w:szCs w:val="20"/>
          <w:color w:val="auto"/>
        </w:rPr>
      </w:pPr>
    </w:p>
    <w:p>
      <w:pPr>
        <w:ind w:right="160" w:firstLine="449"/>
        <w:spacing w:after="0" w:line="257" w:lineRule="auto"/>
        <w:rPr>
          <w:sz w:val="20"/>
          <w:szCs w:val="20"/>
          <w:color w:val="auto"/>
        </w:rPr>
      </w:pPr>
      <w:r>
        <w:rPr>
          <w:rFonts w:ascii="Times New Roman" w:cs="Times New Roman" w:eastAsia="Times New Roman" w:hAnsi="Times New Roman"/>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282"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Gain or loss realized by us from equity securities and warrants acquired by us, as well as any loss attributable to the lapse of such warrants, generally will be treated as capital gain or loss.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gain or loss generally will be long-term or short-term, depending on how long we held a particular warrant.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 w:name="page18"/>
    <w:bookmarkEnd w:id="17"/>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Qualify as a RIC</w:t>
      </w:r>
    </w:p>
    <w:p>
      <w:pPr>
        <w:spacing w:after="0" w:line="14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10"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4"/>
          <w:szCs w:val="14"/>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Regulations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SBIC II is licensed to operate under the SBA as a SBIC under Section 301(c) of the 1958 Act and received its license in 2013.</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SBICs are designed to stimulate the flow of capital to businesses that meet specified eligibility requirements discussed below. Under SBA regulations, SBIC II is subject to regulatory</w:t>
      </w:r>
    </w:p>
    <w:p>
      <w:pPr>
        <w:spacing w:after="0" w:line="17"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4"/>
          <w:szCs w:val="14"/>
          <w:color w:val="auto"/>
        </w:rPr>
        <w:t>requirements including, among other things, making investments in SBA eligible “small businesses” (as defined by the SBA), investing at least 25% of regulatory capital in eligible “smaller business enterprises”, placing certain limitations on the financing terms of investments by SBICs in portfolio companies, prohibiting investing in certain industries, and meeting certain required capitalization thresholds among other regulations. Furthermore, SBIC II is subject to regulation and oversight by the SBA, including, among other things, periodic the performance of financial</w:t>
      </w:r>
    </w:p>
    <w:p>
      <w:pPr>
        <w:ind w:right="60"/>
        <w:spacing w:after="0" w:line="231" w:lineRule="auto"/>
        <w:rPr>
          <w:sz w:val="20"/>
          <w:szCs w:val="20"/>
          <w:color w:val="auto"/>
        </w:rPr>
      </w:pPr>
      <w:r>
        <w:rPr>
          <w:rFonts w:ascii="Times New Roman" w:cs="Times New Roman" w:eastAsia="Times New Roman" w:hAnsi="Times New Roman"/>
          <w:sz w:val="14"/>
          <w:szCs w:val="14"/>
          <w:color w:val="auto"/>
        </w:rPr>
        <w:t>audits by an independent auditor and periodic examinations, including of SBIC II’s of their financial statements that are prepared on a basis of accounting other than GAAP pursuant to SBA accounting standards and financial reporting requirements for SBICs. For example, SBIC II does not use fair value accounting on its assets or liabilities under SBA valuation guidelines. If SBIC</w:t>
      </w:r>
    </w:p>
    <w:p>
      <w:pPr>
        <w:spacing w:after="0" w:line="1" w:lineRule="exact"/>
        <w:rPr>
          <w:sz w:val="20"/>
          <w:szCs w:val="20"/>
          <w:color w:val="auto"/>
        </w:rPr>
      </w:pPr>
    </w:p>
    <w:p>
      <w:pPr>
        <w:ind w:right="20" w:firstLine="8"/>
        <w:spacing w:after="0" w:line="233" w:lineRule="auto"/>
        <w:tabs>
          <w:tab w:leader="none" w:pos="13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fails to comply with applicable SBA regulations, the SBA could, depending on the severity of the violation, limit or prohibit use of SBA-guaranteed debentures, declare outstanding debentures immediately due and payable, and/or limit SBIC II from making new investments. In addition, the SBA can revoke or suspend a SBIC license for willful or repeated violation of, or willful or repeated failure to observe, any provision of the 1958 Act or any rule or regulation promulgated thereunder. These actions by the SBA would, in turn, negatively affect 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Eligible Small and Smaller Businesses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Under present current SBA regulations, eligible “small business” generally include businesses that (together with their affiliates) have tangible net worth not exceeding $19.5 million and</w:t>
      </w:r>
    </w:p>
    <w:p>
      <w:pPr>
        <w:spacing w:after="0" w:line="1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have average annual net income after U.S. federal income taxes not exceeding $6.5 million (average net income to be computed without benefit of any carryover loss) for the two most recent fiscal years. In addition, SBIC II must invest at least 25% of its investment capitals in “smaller” concerns enterprises”. A “smaller concern enterprise” generally includes a business (together with</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14"/>
          <w:szCs w:val="14"/>
          <w:color w:val="auto"/>
        </w:rPr>
        <w:t>its affiliates) that has tangible net worth not exceeding $6.0 million and has average annual net income after U.S. federal income taxes not exceeding $2.0 million (average net income to be computed without benefit of any carryover loss) for the two most recent fiscal years. SBA regulations also provide alternative industry size standard criteria to determine eligibility for designation as an eligible small business or a smaller enterprise, which criteria depend on the primary industry in which the business is engaged and is based on the number of employees or gross</w:t>
      </w:r>
    </w:p>
    <w:p>
      <w:pPr>
        <w:ind w:right="20"/>
        <w:spacing w:after="0" w:line="233" w:lineRule="auto"/>
        <w:rPr>
          <w:sz w:val="20"/>
          <w:szCs w:val="20"/>
          <w:color w:val="auto"/>
        </w:rPr>
      </w:pPr>
      <w:r>
        <w:rPr>
          <w:rFonts w:ascii="Times New Roman" w:cs="Times New Roman" w:eastAsia="Times New Roman" w:hAnsi="Times New Roman"/>
          <w:sz w:val="14"/>
          <w:szCs w:val="14"/>
          <w:color w:val="auto"/>
        </w:rPr>
        <w:t>revenue of the business and its affiliates or as an alternative to the aforementioned requirement, meet the size requirements based on either the number of employees or gross revenue, which is based on the industry in which the smaller concern operates. However, once an SBIC has invested in a company, it may continue to make follow-on investments in the company, regardless of the size of the business at the time of the follow-on investment, up and until the time a business offers its securities in a public market through the company’s initial public offering, if 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Limitations, Terms and Changes in Control</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SBA generally prohibits an SBIC from financing small businesses in certain industries, such as relending, gambling, oil and gas exploration and other passive businesses. Additional</w:t>
      </w:r>
    </w:p>
    <w:p>
      <w:pPr>
        <w:spacing w:after="0" w:line="17" w:lineRule="exact"/>
        <w:rPr>
          <w:sz w:val="20"/>
          <w:szCs w:val="20"/>
          <w:color w:val="auto"/>
        </w:rPr>
      </w:pPr>
    </w:p>
    <w:p>
      <w:pPr>
        <w:jc w:val="both"/>
        <w:ind w:right="200"/>
        <w:spacing w:after="0" w:line="231" w:lineRule="auto"/>
        <w:rPr>
          <w:sz w:val="20"/>
          <w:szCs w:val="20"/>
          <w:color w:val="auto"/>
        </w:rPr>
      </w:pPr>
      <w:r>
        <w:rPr>
          <w:rFonts w:ascii="Times New Roman" w:cs="Times New Roman" w:eastAsia="Times New Roman" w:hAnsi="Times New Roman"/>
          <w:sz w:val="14"/>
          <w:szCs w:val="14"/>
          <w:color w:val="auto"/>
        </w:rPr>
        <w:t>SBA prohibitions include investing outside the United States, investing more than 30% of regulatory capital in any one company and its affiliates and lending money to any officer, director or employee or to invest in any affiliate thereof. The SBA places certain limits on the financing terms of investments by SBIC II in portfolio companies such as limiting the interest rate on debt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loans provided to portfolio companies. The SBA also limits fees, prepayment terms and other economic arrangements that are typically charged in lending arrangements.</w:t>
      </w:r>
    </w:p>
    <w:p>
      <w:pPr>
        <w:spacing w:after="0" w:line="120" w:lineRule="exact"/>
        <w:rPr>
          <w:sz w:val="20"/>
          <w:szCs w:val="20"/>
          <w:color w:val="auto"/>
        </w:rPr>
      </w:pPr>
    </w:p>
    <w:p>
      <w:pPr>
        <w:jc w:val="both"/>
        <w:ind w:right="200" w:firstLine="449"/>
        <w:spacing w:after="0" w:line="241" w:lineRule="auto"/>
        <w:rPr>
          <w:sz w:val="20"/>
          <w:szCs w:val="20"/>
          <w:color w:val="auto"/>
        </w:rPr>
      </w:pPr>
      <w:r>
        <w:rPr>
          <w:rFonts w:ascii="Times New Roman" w:cs="Times New Roman" w:eastAsia="Times New Roman" w:hAnsi="Times New Roman"/>
          <w:sz w:val="14"/>
          <w:szCs w:val="14"/>
          <w:color w:val="auto"/>
        </w:rPr>
        <w:t>The SBA also prohibits, without prior written approval, a “change in control” of SBIC II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Idle Funds Limitation</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SBA limits an SBIC to investing idle funds in the following types of securities:</w:t>
      </w:r>
    </w:p>
    <w:p>
      <w:pPr>
        <w:spacing w:after="0" w:line="136" w:lineRule="exact"/>
        <w:rPr>
          <w:sz w:val="20"/>
          <w:szCs w:val="20"/>
          <w:color w:val="auto"/>
        </w:rPr>
      </w:pPr>
    </w:p>
    <w:p>
      <w:pPr>
        <w:ind w:left="960" w:hanging="383"/>
        <w:spacing w:after="0"/>
        <w:tabs>
          <w:tab w:leader="none" w:pos="9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or obligations guaranteed as to principal and interest by, the U.S. Government, which mature within 15 months from the date of the investment;</w:t>
      </w:r>
    </w:p>
    <w:p>
      <w:pPr>
        <w:spacing w:after="0" w:line="217" w:lineRule="exact"/>
        <w:rPr>
          <w:rFonts w:ascii="Times New Roman" w:cs="Times New Roman" w:eastAsia="Times New Roman" w:hAnsi="Times New Roman"/>
          <w:sz w:val="14"/>
          <w:szCs w:val="14"/>
          <w:color w:val="auto"/>
        </w:rPr>
      </w:pPr>
    </w:p>
    <w:p>
      <w:pPr>
        <w:ind w:left="5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8" w:name="page19"/>
    <w:bookmarkEnd w:id="18"/>
    <w:p>
      <w:pPr>
        <w:ind w:left="960" w:hanging="383"/>
        <w:spacing w:after="0" w:line="261" w:lineRule="auto"/>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95"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securities or other instruments that exclusively consist of, or represent pooled assets of, investments described in the first and second bulleted paragraphs above;</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of deposit with a maturity of one year or less, issued by a federally insured institution; or</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deposit account in a federally insured institution that is subject to withdrawal restriction of one year or less.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checking account in a federally insured institution; or</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 reasonable petty cash fund.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SBA Leverage or Debentures</w:t>
      </w:r>
    </w:p>
    <w:p>
      <w:pPr>
        <w:spacing w:after="0" w:line="138"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 The SBA, as a creditor, will have a superior claim to SBIC II’s assets over our stockholders in the event we liquidate SBIC II or the SBA exercises its remedies under the SBA-guaranteed debentures issued by SBIC II upon an event of default.</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90" w:lineRule="exact"/>
        <w:rPr>
          <w:sz w:val="20"/>
          <w:szCs w:val="20"/>
          <w:color w:val="auto"/>
        </w:rPr>
      </w:pPr>
    </w:p>
    <w:p>
      <w:pPr>
        <w:ind w:right="40" w:firstLine="449"/>
        <w:spacing w:after="0" w:line="237" w:lineRule="auto"/>
        <w:rPr>
          <w:sz w:val="20"/>
          <w:szCs w:val="20"/>
          <w:color w:val="auto"/>
        </w:rPr>
      </w:pPr>
      <w:r>
        <w:rPr>
          <w:rFonts w:ascii="Times New Roman" w:cs="Times New Roman" w:eastAsia="Times New Roman" w:hAnsi="Times New Roman"/>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w:t>
      </w:r>
    </w:p>
    <w:p>
      <w:pPr>
        <w:spacing w:after="0" w:line="239" w:lineRule="auto"/>
        <w:rPr>
          <w:sz w:val="20"/>
          <w:szCs w:val="20"/>
          <w:color w:val="auto"/>
        </w:rPr>
      </w:pPr>
      <w:r>
        <w:rPr>
          <w:rFonts w:ascii="Times New Roman" w:cs="Times New Roman" w:eastAsia="Times New Roman" w:hAnsi="Times New Roman"/>
          <w:sz w:val="14"/>
          <w:szCs w:val="14"/>
          <w:i w:val="1"/>
          <w:iCs w:val="1"/>
          <w:color w:val="auto"/>
        </w:rPr>
        <w:t>events occur, our business, financial condition and results of operations could be materially adversely affected. In such case, our NAV, the trading price of our common stock, our 2026 Notes, our 2026 Notes-2 or any securities we may issue, may decline, and you may lose all or part of your investment.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STRUCTURE</w:t>
      </w:r>
    </w:p>
    <w:p>
      <w:pPr>
        <w:spacing w:after="0" w:line="175" w:lineRule="exact"/>
        <w:rPr>
          <w:sz w:val="20"/>
          <w:szCs w:val="20"/>
          <w:color w:val="auto"/>
        </w:rPr>
      </w:pPr>
    </w:p>
    <w:p>
      <w:pPr>
        <w:ind w:right="10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various covenants under our Truist Credit Facility which, if not complied with, could result in reduced availability and/or mandatory prepayments under our Truist Credit Facility and SBA debentures.</w:t>
      </w:r>
    </w:p>
    <w:p>
      <w:pPr>
        <w:spacing w:after="0" w:line="13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In addition to the asset coverage ratio requirements, our Truist Credit Facility contains various covenants which, if not complied with, could accelerate repayment under the Truist Credit Facility. This could have a material adverse effect on our business, financial condition and results of operations. Our borrowings under our Truist Credit Facility are collateralized by the assets in our investment portfolio, excluding those portfolio investments held by SBIC II. The agreements governing the Truist Credit Facility require us to comply with certain financial and operational covenants. These covenants include:</w:t>
      </w:r>
    </w:p>
    <w:p>
      <w:pPr>
        <w:spacing w:after="0" w:line="110" w:lineRule="exact"/>
        <w:rPr>
          <w:sz w:val="20"/>
          <w:szCs w:val="20"/>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to retain our status as a RIC;</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to maintain a minimum amount of stockholders’ equity; and</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our outstanding borrowings under the Truist Credit Facility not exceed a certain percentage of the value of our portfolio.</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addition to the Truist Credit Facility, SBIC II has issued SBA debentures that require us and SBIC II to generate sufficient cash flow to make required interest payments. Further, SBIC</w:t>
      </w:r>
    </w:p>
    <w:p>
      <w:pPr>
        <w:spacing w:after="0" w:line="17" w:lineRule="exact"/>
        <w:rPr>
          <w:sz w:val="20"/>
          <w:szCs w:val="20"/>
          <w:color w:val="auto"/>
        </w:rPr>
      </w:pPr>
    </w:p>
    <w:p>
      <w:pPr>
        <w:ind w:right="120" w:firstLine="8"/>
        <w:spacing w:after="0" w:line="258" w:lineRule="auto"/>
        <w:tabs>
          <w:tab w:leader="none" w:pos="13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must maintain a minimum capitalization that, if impaired, could materially and adversely affect our liquidity, financial condition and results of operations by accelerating repayment under the SBA debentures. Our borrowings under the SBA debentures are secured by the assets of SBIC II.</w:t>
      </w:r>
    </w:p>
    <w:p>
      <w:pPr>
        <w:spacing w:after="0" w:line="11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Our continued compliance with these covenants depends on many factors, some of which are beyond our control. A material decrease in our NAV in connection with additional</w:t>
      </w:r>
    </w:p>
    <w:p>
      <w:pPr>
        <w:spacing w:after="0" w:line="17"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4"/>
          <w:szCs w:val="14"/>
          <w:color w:val="auto"/>
        </w:rPr>
        <w:t>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Truist Credit Facility and could trigger mandatory prepayment obligations under the terms of the Truist Credit Facility.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for investment opportunities.</w:t>
      </w:r>
    </w:p>
    <w:p>
      <w:pPr>
        <w:spacing w:after="0" w:line="154"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8" w:lineRule="exact"/>
        <w:rPr>
          <w:sz w:val="20"/>
          <w:szCs w:val="20"/>
          <w:color w:val="auto"/>
        </w:rPr>
      </w:pPr>
    </w:p>
    <w:p>
      <w:pPr>
        <w:ind w:right="60" w:firstLine="449"/>
        <w:spacing w:after="0" w:line="255" w:lineRule="auto"/>
        <w:rPr>
          <w:sz w:val="20"/>
          <w:szCs w:val="20"/>
          <w:color w:val="auto"/>
        </w:rPr>
      </w:pPr>
      <w:r>
        <w:rPr>
          <w:rFonts w:ascii="Times New Roman" w:cs="Times New Roman" w:eastAsia="Times New Roman" w:hAnsi="Times New Roman"/>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borrowers may default on their payments, which may have a materially negative effect on our financial performance.</w:t>
      </w:r>
    </w:p>
    <w:p>
      <w:pPr>
        <w:spacing w:after="0" w:line="154"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94" w:lineRule="exact"/>
        <w:rPr>
          <w:sz w:val="20"/>
          <w:szCs w:val="20"/>
          <w:color w:val="auto"/>
        </w:rPr>
      </w:pPr>
    </w:p>
    <w:p>
      <w:pPr>
        <w:ind w:right="320" w:firstLine="449"/>
        <w:spacing w:after="0" w:line="271" w:lineRule="auto"/>
        <w:rPr>
          <w:sz w:val="20"/>
          <w:szCs w:val="20"/>
          <w:color w:val="auto"/>
        </w:rPr>
      </w:pPr>
      <w:r>
        <w:rPr>
          <w:rFonts w:ascii="Times New Roman" w:cs="Times New Roman" w:eastAsia="Times New Roman" w:hAnsi="Times New Roman"/>
          <w:sz w:val="14"/>
          <w:szCs w:val="14"/>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103"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4"/>
          <w:szCs w:val="14"/>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adversely affect our financial condition and 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unrealized losses we experience on our investment portfolio may be an indication of future realized losses, which could reduce our income available for distribution.</w:t>
      </w:r>
    </w:p>
    <w:p>
      <w:pPr>
        <w:spacing w:after="0" w:line="140" w:lineRule="exact"/>
        <w:rPr>
          <w:sz w:val="20"/>
          <w:szCs w:val="20"/>
          <w:color w:val="auto"/>
        </w:rPr>
      </w:pPr>
    </w:p>
    <w:p>
      <w:pPr>
        <w:ind w:right="200" w:firstLine="449"/>
        <w:spacing w:after="0" w:line="302" w:lineRule="auto"/>
        <w:rPr>
          <w:sz w:val="20"/>
          <w:szCs w:val="20"/>
          <w:color w:val="auto"/>
        </w:rPr>
      </w:pPr>
      <w:r>
        <w:rPr>
          <w:rFonts w:ascii="Times New Roman" w:cs="Times New Roman" w:eastAsia="Times New Roman" w:hAnsi="Times New Roman"/>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4"/>
          <w:szCs w:val="14"/>
          <w:color w:val="auto"/>
        </w:rPr>
        <w:t>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94" w:lineRule="exact"/>
        <w:rPr>
          <w:sz w:val="20"/>
          <w:szCs w:val="20"/>
          <w:color w:val="auto"/>
        </w:rPr>
      </w:pPr>
    </w:p>
    <w:p>
      <w:pPr>
        <w:ind w:right="360" w:firstLine="449"/>
        <w:spacing w:after="0" w:line="282" w:lineRule="auto"/>
        <w:rPr>
          <w:sz w:val="20"/>
          <w:szCs w:val="20"/>
          <w:color w:val="auto"/>
        </w:rPr>
      </w:pPr>
      <w:r>
        <w:rPr>
          <w:rFonts w:ascii="Times New Roman" w:cs="Times New Roman" w:eastAsia="Times New Roman" w:hAnsi="Times New Roman"/>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90" w:lineRule="exact"/>
        <w:rPr>
          <w:sz w:val="20"/>
          <w:szCs w:val="20"/>
          <w:color w:val="auto"/>
        </w:rPr>
      </w:pPr>
    </w:p>
    <w:p>
      <w:pPr>
        <w:ind w:right="22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6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We depend on the diligence, skill and network of business contacts of the senior investment professionals of our Investment Adviser for our future success. We also depend, to a</w:t>
      </w:r>
    </w:p>
    <w:p>
      <w:pPr>
        <w:spacing w:after="0" w:line="27"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4"/>
          <w:szCs w:val="14"/>
          <w:color w:val="auto"/>
        </w:rPr>
        <w:t>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7"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associated with changes in interest rates that may affect our cost of capital and net investment income.</w:t>
      </w:r>
    </w:p>
    <w:p>
      <w:pPr>
        <w:spacing w:after="0" w:line="154"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4"/>
          <w:szCs w:val="14"/>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 actual benefits of any hedging strategy we employ. See “Management’s Discussion and Analysis of Financial Condition and Results of Operations— Quantitative and Qualitative Disclosures about Market Risk” for more information.</w:t>
      </w:r>
    </w:p>
    <w:p>
      <w:pPr>
        <w:spacing w:after="0" w:line="118"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9"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Truist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13"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4"/>
          <w:szCs w:val="14"/>
          <w:color w:val="auto"/>
        </w:rPr>
        <w:t>If general interest rates continue to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continued rising interest rates may increase pressure on us to provide fixed rate loans to our portfolio companies, which could adversely affect our net investment income, as any increases in our cost of borrowed funds would not be accompanied by increased interest income from such fixed-rate investments.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discontinuation and pending replacement of LIBOR may adversely affect the value of the LIBOR-indexed, floating-rate debt securities in our portfolio or issued by us.</w:t>
      </w:r>
    </w:p>
    <w:p>
      <w:pPr>
        <w:spacing w:after="0" w:line="235"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4"/>
          <w:szCs w:val="14"/>
          <w:color w:val="auto"/>
        </w:rPr>
        <w:t>In July 2017, the United Kingdom Financial Conduct Authority announced the desire to phase out the use of LIBOR by the end of 2021. Since December 31, 2021, all sterling, euro, Swiss franc and Japanese yen LIBOR settings and the 1-week and 2-month U.S. dollar LIBOR settings have ceased to be published on a representative basis, and it is anticipated that after June 30, 2023, the overnight, 1-month, 3-month, 6-month and 12-month U.S. dollar LIBOR settings will cease to be published on a representative basis. Although some settings of U.S. dollar LIBOR continue to be published, there is no assurance that LIBOR will continue to exist as a representative rate until June 30, 2023, or at any time thereafter. Some regulators have prohibited the use of any LIBOR benchmarks in new contracts and have required that regulated entities transition existing contracts to another benchmark prior to June 30, 2023. Although settings of such LIBOR benchmarks may continue to be available, such prohibitions and requirements may adversely affect the value of floating-rate debt securities in our portfolio or issued by us.</w:t>
      </w:r>
    </w:p>
    <w:p>
      <w:pPr>
        <w:spacing w:after="0" w:line="183" w:lineRule="exact"/>
        <w:rPr>
          <w:sz w:val="20"/>
          <w:szCs w:val="20"/>
          <w:color w:val="auto"/>
        </w:rPr>
      </w:pPr>
    </w:p>
    <w:p>
      <w:pPr>
        <w:ind w:right="40" w:firstLine="449"/>
        <w:spacing w:after="0" w:line="250" w:lineRule="auto"/>
        <w:rPr>
          <w:sz w:val="20"/>
          <w:szCs w:val="20"/>
          <w:color w:val="auto"/>
        </w:rPr>
      </w:pPr>
      <w:r>
        <w:rPr>
          <w:rFonts w:ascii="Times New Roman" w:cs="Times New Roman" w:eastAsia="Times New Roman" w:hAnsi="Times New Roman"/>
          <w:sz w:val="14"/>
          <w:szCs w:val="14"/>
          <w:color w:val="auto"/>
        </w:rPr>
        <w:t>At this time, no consensus exists as to what rate or rates will become accepted alternatives to LIBOR, although the U.S. Federal Reserve, in connection with the Alternative Reference Rates Committee, a steering committee comprised of large U.S. financial institutions, recommended replacing U.S. dollar LIBOR with alternative reference rates based on the Secured Overnight Financing Rate (“SOFR”). Given the inherent differences between LIBOR and SOFR, or any other alternative benchmark rate that may be established, there are many uncertainties regarding a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 The elimination of LIBOR, the replacement of LIBOR with any alternative reference rate, such as SOFR (or an alternative reference rate based on SOFR) or any other changes or reforms to LIBOR could have an adverse impact on the market value of and/or transferability of any floating-rate debt securities in our portfolio or issued by us. In addition, certain statutory regimes which cause a legislative transaction away from LIBOR to an alternative reference rate may apply, e.g., N.Y. Gen. Oblig. Law § 18-401 or the Adjustable Interest Rate (LIBOR) Act to certain floating-rate debt securities in our portfolio or issued by us and could have a material and adverse impact on the value or liquidity of those instruments.</w:t>
      </w:r>
    </w:p>
    <w:p>
      <w:pPr>
        <w:spacing w:after="0" w:line="340" w:lineRule="exact"/>
        <w:rPr>
          <w:sz w:val="20"/>
          <w:szCs w:val="20"/>
          <w:color w:val="auto"/>
        </w:rPr>
      </w:pPr>
    </w:p>
    <w:p>
      <w:pPr>
        <w:ind w:right="180" w:firstLine="449"/>
        <w:spacing w:after="0" w:line="302" w:lineRule="auto"/>
        <w:rPr>
          <w:sz w:val="20"/>
          <w:szCs w:val="20"/>
          <w:color w:val="auto"/>
        </w:rPr>
      </w:pPr>
      <w:r>
        <w:rPr>
          <w:rFonts w:ascii="Times New Roman" w:cs="Times New Roman" w:eastAsia="Times New Roman" w:hAnsi="Times New Roman"/>
          <w:sz w:val="14"/>
          <w:szCs w:val="14"/>
          <w:color w:val="auto"/>
        </w:rPr>
        <w:t>The IRS has issued regulations regarding the tax consequences of the transition from LIBOR or another interbank offered rate (“IBOR”) to a new reference rate in debt instruments and non-debt contracts. Under the regulations, alteration or modification of the terms of a debt instrument to replace an operative rate that uses a</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1" w:name="page22"/>
    <w:bookmarkEnd w:id="21"/>
    <w:p>
      <w:pPr>
        <w:ind w:right="100"/>
        <w:spacing w:after="0" w:line="271" w:lineRule="auto"/>
        <w:rPr>
          <w:sz w:val="20"/>
          <w:szCs w:val="20"/>
          <w:color w:val="auto"/>
        </w:rPr>
      </w:pPr>
      <w:r>
        <w:rPr>
          <w:rFonts w:ascii="Times New Roman" w:cs="Times New Roman" w:eastAsia="Times New Roman" w:hAnsi="Times New Roman"/>
          <w:sz w:val="14"/>
          <w:szCs w:val="14"/>
          <w:color w:val="auto"/>
        </w:rPr>
        <w:t>discontinued IBOR with a qualified rate (as defined in the regulations) including true up payments equalizing the fair market value of contracts before and after such IBOR transition, to add a qualified rate as a fallback rate to a contract whose operative rate uses a discontinued IBOR or to replace a fallback rate that uses a discontinued IBOR with a qualified rate would not be taxable. The IRS may provide additional guidance, with potential retroactive effect.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financial condition and results of operation depend on our ability to manage future growth effectively.</w:t>
      </w:r>
    </w:p>
    <w:p>
      <w:pPr>
        <w:spacing w:after="0" w:line="154" w:lineRule="exact"/>
        <w:rPr>
          <w:sz w:val="20"/>
          <w:szCs w:val="20"/>
          <w:color w:val="auto"/>
        </w:rPr>
      </w:pPr>
    </w:p>
    <w:p>
      <w:pPr>
        <w:ind w:right="100" w:firstLine="449"/>
        <w:spacing w:after="0" w:line="250" w:lineRule="auto"/>
        <w:rPr>
          <w:sz w:val="20"/>
          <w:szCs w:val="20"/>
          <w:color w:val="auto"/>
        </w:rPr>
      </w:pPr>
      <w:r>
        <w:rPr>
          <w:rFonts w:ascii="Times New Roman" w:cs="Times New Roman" w:eastAsia="Times New Roman" w:hAnsi="Times New Roman"/>
          <w:sz w:val="14"/>
          <w:szCs w:val="14"/>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highly dependent on information systems and systems failures could have a material adverse effect on our business, financial condition and results of operations.</w:t>
      </w:r>
    </w:p>
    <w:p>
      <w:pPr>
        <w:spacing w:after="0" w:line="154" w:lineRule="exact"/>
        <w:rPr>
          <w:sz w:val="20"/>
          <w:szCs w:val="20"/>
          <w:color w:val="auto"/>
        </w:rPr>
      </w:pPr>
    </w:p>
    <w:p>
      <w:pPr>
        <w:jc w:val="both"/>
        <w:ind w:right="20" w:firstLine="449"/>
        <w:spacing w:after="0" w:line="271" w:lineRule="auto"/>
        <w:rPr>
          <w:sz w:val="20"/>
          <w:szCs w:val="20"/>
          <w:color w:val="auto"/>
        </w:rPr>
      </w:pPr>
      <w:r>
        <w:rPr>
          <w:rFonts w:ascii="Times New Roman" w:cs="Times New Roman" w:eastAsia="Times New Roman" w:hAnsi="Times New Roman"/>
          <w:sz w:val="14"/>
          <w:szCs w:val="14"/>
          <w:color w:val="auto"/>
        </w:rPr>
        <w:t>Our business depends on the communications and information systems, including financial and accounting systems, of the Investment Adviser, the Administrator and our external service providers. Any failure or interruption of such systems could cause delays or other problems in our activities. This, in turn, could have a material adverse effect on our business, financial condition and results of operations.</w:t>
      </w:r>
    </w:p>
    <w:p>
      <w:pPr>
        <w:spacing w:after="0" w:line="99"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44" w:lineRule="exact"/>
        <w:rPr>
          <w:sz w:val="20"/>
          <w:szCs w:val="20"/>
          <w:color w:val="auto"/>
        </w:rPr>
      </w:pPr>
    </w:p>
    <w:p>
      <w:pPr>
        <w:jc w:val="both"/>
        <w:ind w:firstLine="449"/>
        <w:spacing w:after="0" w:line="257" w:lineRule="auto"/>
        <w:rPr>
          <w:sz w:val="20"/>
          <w:szCs w:val="20"/>
          <w:color w:val="auto"/>
        </w:rPr>
      </w:pPr>
      <w:r>
        <w:rPr>
          <w:rFonts w:ascii="Times New Roman" w:cs="Times New Roman" w:eastAsia="Times New Roman" w:hAnsi="Times New Roman"/>
          <w:sz w:val="14"/>
          <w:szCs w:val="14"/>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the subsequent testing by our independent registered public accounting firm (when undertaken, as noted below), may reveal deficiencies in our internal controls over financial reporting that are deemed to be significant deficiencies, material weaknesses or that may require prospective or retroactive changes to our consolidated financial statements or identify other areas for further attention or improvement. Inferior internal controls could also cause investors and lenders to lose confidence in our reported financial information, which could have a negative effect on the trading price of our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replicate the historical performance of other investment companies and funds with which our senior and other investment professionals have been or are affiliated.</w:t>
      </w:r>
    </w:p>
    <w:p>
      <w:pPr>
        <w:spacing w:after="0" w:line="140"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4"/>
          <w:szCs w:val="14"/>
          <w:color w:val="auto"/>
        </w:rPr>
        <w:t>The 1940 Act imposes numerous constraints on the investment activities of BDCs. For example, BDCs are required to invest at least 70% of their total assets primarily in securities of U.S. private companies or thinly traded public companies (i.e.,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on our part to maintain our status as a BDC would reduce our operating flexibility.</w:t>
      </w:r>
    </w:p>
    <w:p>
      <w:pPr>
        <w:spacing w:after="0" w:line="154"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of RIC tax status would substantially reduce our net assets and income available for debt service and distributions.</w:t>
      </w:r>
    </w:p>
    <w:p>
      <w:pPr>
        <w:spacing w:after="0" w:line="154"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4"/>
          <w:szCs w:val="14"/>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are deemed to 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an amount at least equal to the Excise Tax Avoidance Requirement.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have difficulty paying our Annual Distribution Requirement if we recognize income before or without receiving cash representing such income.</w:t>
      </w:r>
    </w:p>
    <w:p>
      <w:pPr>
        <w:spacing w:after="0" w:line="154"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282" w:lineRule="exact"/>
        <w:rPr>
          <w:sz w:val="20"/>
          <w:szCs w:val="20"/>
          <w:color w:val="auto"/>
        </w:rPr>
      </w:pPr>
    </w:p>
    <w:p>
      <w:pPr>
        <w:ind w:firstLine="449"/>
        <w:spacing w:after="0" w:line="271" w:lineRule="auto"/>
        <w:rPr>
          <w:sz w:val="20"/>
          <w:szCs w:val="20"/>
          <w:color w:val="auto"/>
        </w:rPr>
      </w:pPr>
      <w:r>
        <w:rPr>
          <w:rFonts w:ascii="Times New Roman" w:cs="Times New Roman" w:eastAsia="Times New Roman" w:hAnsi="Times New Roman"/>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143" w:lineRule="exact"/>
        <w:rPr>
          <w:sz w:val="20"/>
          <w:szCs w:val="20"/>
          <w:color w:val="auto"/>
        </w:rPr>
      </w:pPr>
    </w:p>
    <w:p>
      <w:pPr>
        <w:ind w:right="640" w:firstLine="449"/>
        <w:spacing w:after="0" w:line="282" w:lineRule="auto"/>
        <w:rPr>
          <w:sz w:val="20"/>
          <w:szCs w:val="20"/>
          <w:color w:val="auto"/>
        </w:rPr>
      </w:pPr>
      <w:r>
        <w:rPr>
          <w:rFonts w:ascii="Times New Roman" w:cs="Times New Roman" w:eastAsia="Times New Roman" w:hAnsi="Times New Roman"/>
          <w:sz w:val="14"/>
          <w:szCs w:val="14"/>
          <w:color w:val="auto"/>
        </w:rPr>
        <w:t>We depend in part on SBIC II for cash distributions to enable us to meet the distribution requirements to be subject to tax as a RIC. In this regard, SBIC II is limited by the SBA regulations governing SBICs from making certain distributions to us that may be necessary to satisfy the requirements to be subject to tax as a RIC. In such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2" w:name="page23"/>
    <w:bookmarkEnd w:id="22"/>
    <w:p>
      <w:pPr>
        <w:ind w:right="40"/>
        <w:spacing w:after="0" w:line="282" w:lineRule="auto"/>
        <w:rPr>
          <w:sz w:val="20"/>
          <w:szCs w:val="20"/>
          <w:color w:val="auto"/>
        </w:rPr>
      </w:pPr>
      <w:r>
        <w:rPr>
          <w:rFonts w:ascii="Times New Roman" w:cs="Times New Roman" w:eastAsia="Times New Roman" w:hAnsi="Times New Roman"/>
          <w:sz w:val="14"/>
          <w:szCs w:val="14"/>
          <w:color w:val="auto"/>
        </w:rPr>
        <w:t>case, we would need to request a waiver of the SBA’s restrictions for SBIC II to make certain distributions to enable us to be subject to tax as a RIC. We cannot assure you that the SBA will grant such waiver, and if SBIC II is unable to obtain a waiver, compliance with the SBA regulations may cause us to incur a corporate-level income tax.</w:t>
      </w:r>
    </w:p>
    <w:p>
      <w:pPr>
        <w:spacing w:after="0" w:line="81" w:lineRule="exact"/>
        <w:rPr>
          <w:sz w:val="20"/>
          <w:szCs w:val="20"/>
          <w:color w:val="auto"/>
        </w:rPr>
      </w:pPr>
    </w:p>
    <w:p>
      <w:pPr>
        <w:ind w:right="60" w:firstLine="449"/>
        <w:spacing w:after="0" w:line="271" w:lineRule="auto"/>
        <w:rPr>
          <w:sz w:val="20"/>
          <w:szCs w:val="20"/>
          <w:color w:val="auto"/>
        </w:rPr>
      </w:pPr>
      <w:r>
        <w:rPr>
          <w:rFonts w:ascii="Times New Roman" w:cs="Times New Roman" w:eastAsia="Times New Roman" w:hAnsi="Times New Roman"/>
          <w:sz w:val="14"/>
          <w:szCs w:val="14"/>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194" w:lineRule="exact"/>
        <w:rPr>
          <w:sz w:val="20"/>
          <w:szCs w:val="20"/>
          <w:color w:val="auto"/>
        </w:rPr>
      </w:pPr>
    </w:p>
    <w:p>
      <w:pPr>
        <w:ind w:right="240" w:firstLine="449"/>
        <w:spacing w:after="0" w:line="253" w:lineRule="auto"/>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 coverage ratio to the BDC. On February 5, 2019, our stockholders approved such reduction, as approved by our board of directors on November 13, 2018. As such, we are able to incur</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w:t>
      </w:r>
    </w:p>
    <w:p>
      <w:pPr>
        <w:spacing w:after="0" w:line="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w:t>
      </w:r>
    </w:p>
    <w:p>
      <w:pPr>
        <w:spacing w:after="0" w:line="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4"/>
          <w:szCs w:val="14"/>
          <w:color w:val="auto"/>
        </w:rPr>
        <w:t>for investment purposes, our base management fee expense may increase if we incur additional leverage. Effective February 5, 2019, base management fees were reduced from 1.50% to 1.00% on gross assets that exceed 200% of our total net assets as of the immediately preceding quarter-end.</w:t>
      </w:r>
    </w:p>
    <w:p>
      <w:pPr>
        <w:spacing w:after="0" w:line="118"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we intend to distribute to our stockholders substantially all of our investment company taxable income and net</w:t>
      </w:r>
    </w:p>
    <w:p>
      <w:pPr>
        <w:spacing w:after="0" w:line="17"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4"/>
          <w:szCs w:val="14"/>
          <w:color w:val="auto"/>
        </w:rPr>
        <w:t>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w:t>
      </w:r>
    </w:p>
    <w:p>
      <w:pPr>
        <w:spacing w:after="0" w:line="17"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stockholders, respectively, approved a reduction of our asset coverage ratio from 200% to 150%. The asset coverage requirement applicable to us for senior securities was reduced from 200% (i.e., $1 of debt outstanding for each $1 of equity) to 150% (i.e., $2 of debt outstanding for each $1 of equity). If we incur additional indebtedness under this provision, the risk of investing in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will increase. If the value of our assets declines, we may be unable to satisfy this asset coverage test. If that happens, we may be required to sell a portion of our investments or sell additional</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depend in part on SBIC II for cash distributions to enable us to meet the distribution requirements to be subject to tax as a RIC. In this regard, SBIC II is limited by the SBA</w:t>
      </w:r>
    </w:p>
    <w:p>
      <w:pPr>
        <w:spacing w:after="0" w:line="17"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4"/>
          <w:szCs w:val="14"/>
          <w:color w:val="auto"/>
        </w:rPr>
        <w:t>regulations governing SBICs from making certain distributions to us that may be necessary to satisfy the requirements to be subject to tax as a RIC. In such a case, we would need to request a waiver of the SBA’s restrictions for SBIC II to make certain distributions to enable us to be subject to tax as a RIC. We cannot assure you that the SBA will grant such waiver, and if SBIC II 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unable to obtain a waiver, compliance with the SBA regulations may cause us to incur a corporate-level income tax.</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Regulations governing our operation as a BDC will affect our ability to, and the way in which we raise additional capital.</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business requires a substantial amount of capital. We may acquire additional capital from the issuance of additional senior securities or other indebtedness, the issuance of additional</w:t>
      </w:r>
    </w:p>
    <w:p>
      <w:pPr>
        <w:spacing w:after="0" w:line="17"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4"/>
          <w:szCs w:val="14"/>
          <w:color w:val="auto"/>
        </w:rPr>
        <w:t>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w:t>
      </w:r>
    </w:p>
    <w:p>
      <w:pPr>
        <w:spacing w:after="0" w:line="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w:t>
      </w:r>
    </w:p>
    <w:p>
      <w:pPr>
        <w:spacing w:after="0" w:line="1" w:lineRule="exact"/>
        <w:rPr>
          <w:sz w:val="20"/>
          <w:szCs w:val="20"/>
          <w:color w:val="auto"/>
        </w:rPr>
      </w:pPr>
    </w:p>
    <w:p>
      <w:pPr>
        <w:ind w:right="320"/>
        <w:spacing w:after="0" w:line="231" w:lineRule="auto"/>
        <w:rPr>
          <w:sz w:val="20"/>
          <w:szCs w:val="20"/>
          <w:color w:val="auto"/>
        </w:rPr>
      </w:pPr>
      <w:r>
        <w:rPr>
          <w:rFonts w:ascii="Times New Roman" w:cs="Times New Roman" w:eastAsia="Times New Roman" w:hAnsi="Times New Roman"/>
          <w:sz w:val="14"/>
          <w:szCs w:val="14"/>
          <w:color w:val="auto"/>
        </w:rPr>
        <w:t>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materially harm our business, financial condition and results of operations.</w:t>
      </w:r>
    </w:p>
    <w:p>
      <w:pPr>
        <w:spacing w:after="0" w:line="116" w:lineRule="exact"/>
        <w:rPr>
          <w:sz w:val="20"/>
          <w:szCs w:val="20"/>
          <w:color w:val="auto"/>
        </w:rPr>
      </w:pPr>
    </w:p>
    <w:p>
      <w:pPr>
        <w:ind w:left="960" w:right="160" w:hanging="383"/>
        <w:spacing w:after="0" w:line="248" w:lineRule="auto"/>
        <w:tabs>
          <w:tab w:leader="none" w:pos="9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Senior Securities. </w:t>
      </w:r>
      <w:r>
        <w:rPr>
          <w:rFonts w:ascii="Times New Roman" w:cs="Times New Roman" w:eastAsia="Times New Roman" w:hAnsi="Times New Roman"/>
          <w:sz w:val="14"/>
          <w:szCs w:val="14"/>
          <w:color w:val="auto"/>
        </w:rPr>
        <w:t>As a result of issuing senior securities, we are exposed to typical risks associated with leverage, including an increased risk of loss. If we issue preferred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13" w:lineRule="exact"/>
        <w:rPr>
          <w:rFonts w:ascii="Times New Roman" w:cs="Times New Roman" w:eastAsia="Times New Roman" w:hAnsi="Times New Roman"/>
          <w:sz w:val="14"/>
          <w:szCs w:val="14"/>
          <w:color w:val="auto"/>
        </w:rPr>
      </w:pPr>
    </w:p>
    <w:p>
      <w:pPr>
        <w:ind w:left="960" w:right="60" w:hanging="383"/>
        <w:spacing w:after="0"/>
        <w:tabs>
          <w:tab w:leader="none" w:pos="9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Additional Common Stock. </w:t>
      </w:r>
      <w:r>
        <w:rPr>
          <w:rFonts w:ascii="Times New Roman" w:cs="Times New Roman" w:eastAsia="Times New Roman" w:hAnsi="Times New Roman"/>
          <w:sz w:val="14"/>
          <w:szCs w:val="14"/>
          <w:color w:val="auto"/>
        </w:rPr>
        <w:t>Our board of directors may decide to issue common stock to finance our operations rather than issuing debt or other senior securities. As a BDC,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3" w:name="page24"/>
    <w:bookmarkEnd w:id="23"/>
    <w:p>
      <w:pPr>
        <w:ind w:left="960" w:right="40"/>
        <w:spacing w:after="0" w:line="282" w:lineRule="auto"/>
        <w:rPr>
          <w:sz w:val="20"/>
          <w:szCs w:val="20"/>
          <w:color w:val="auto"/>
        </w:rPr>
      </w:pPr>
      <w:r>
        <w:rPr>
          <w:rFonts w:ascii="Times New Roman" w:cs="Times New Roman" w:eastAsia="Times New Roman" w:hAnsi="Times New Roman"/>
          <w:sz w:val="14"/>
          <w:szCs w:val="14"/>
          <w:color w:val="auto"/>
        </w:rPr>
        <w:t>common stock or warrants or senior securities convertible into, or exchangeable for, our common stock, the percentage ownership of our common stockholders at that time would decrease, and our common stockholders would experience voting dilution.</w:t>
      </w:r>
    </w:p>
    <w:p>
      <w:pPr>
        <w:spacing w:after="0" w:line="77" w:lineRule="exact"/>
        <w:rPr>
          <w:sz w:val="20"/>
          <w:szCs w:val="20"/>
          <w:color w:val="auto"/>
        </w:rPr>
      </w:pPr>
    </w:p>
    <w:p>
      <w:pPr>
        <w:ind w:left="960" w:hanging="383"/>
        <w:spacing w:after="0"/>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Securitization. </w:t>
      </w:r>
      <w:r>
        <w:rPr>
          <w:rFonts w:ascii="Times New Roman" w:cs="Times New Roman" w:eastAsia="Times New Roman" w:hAnsi="Times New Roman"/>
          <w:sz w:val="14"/>
          <w:szCs w:val="14"/>
          <w:color w:val="auto"/>
        </w:rPr>
        <w:t>In addition to issuing securities to raise capital as described above, we anticipate that in the future, as market conditions and the rules and regulations of the SEC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08" w:lineRule="exact"/>
        <w:rPr>
          <w:rFonts w:ascii="Times New Roman" w:cs="Times New Roman" w:eastAsia="Times New Roman" w:hAnsi="Times New Roman"/>
          <w:sz w:val="14"/>
          <w:szCs w:val="14"/>
          <w:color w:val="auto"/>
        </w:rPr>
      </w:pPr>
    </w:p>
    <w:p>
      <w:pPr>
        <w:ind w:left="960" w:right="40" w:hanging="383"/>
        <w:spacing w:after="0" w:line="250" w:lineRule="auto"/>
        <w:tabs>
          <w:tab w:leader="none" w:pos="9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SBA Debentures. </w:t>
      </w:r>
      <w:r>
        <w:rPr>
          <w:rFonts w:ascii="Times New Roman" w:cs="Times New Roman" w:eastAsia="Times New Roman" w:hAnsi="Times New Roman"/>
          <w:sz w:val="14"/>
          <w:szCs w:val="14"/>
          <w:color w:val="auto"/>
        </w:rPr>
        <w:t>In addition to issuing securities and using securitizations to raise capital as described above, we have issued and may in the future issue, as permitted under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SBA regulations and through our wholly-owned subsidiary, SBIC II, and any future SBIC subsidiary, SBA debentures to generate cash for funding new investments. To issue SBA debentures, we may request commitments for debt capital from the SBA. SBIC II is, and any future SBIC subsidiary may be, exposed to any losses on its portfolio of loans;, however, such debentures are non-recourse to 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SBIC II may be unable to make distributions to us that will enable us to meet or maintain RIC tax status.</w:t>
      </w:r>
    </w:p>
    <w:p>
      <w:pPr>
        <w:spacing w:after="0" w:line="208"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4"/>
          <w:szCs w:val="14"/>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SBIC II, each taxable year as dividends to our stockholders. As noted above, we depend in part on SBIC II for cash distributions to enable us to meet the RIC distribution requirements. SBIC II may be limited by SBA regulations governing SBICs from making certain distributions to us if it does not have sufficient capital in accordance with SBA regulations, that which may be necessary to maintain our tax status as a RIC. We may have to request a waiver of the SBA’s restrictions limitations for SBIC II to make certain distributions to maintain our tax status. We cannot assure you that the SBA will grant such waiver and, if SBIC II is unable to obtain a waiver, compliance with the SBA regulations may result in not being able to meet the distribution requirements to maintain our RIC tax treatment corporate level income tax on us.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SBIC II is licensed by the SBA and is subject to SBA regulations.</w:t>
      </w:r>
    </w:p>
    <w:p>
      <w:pPr>
        <w:spacing w:after="0" w:line="140" w:lineRule="exact"/>
        <w:rPr>
          <w:sz w:val="20"/>
          <w:szCs w:val="20"/>
          <w:color w:val="auto"/>
        </w:rPr>
      </w:pPr>
    </w:p>
    <w:p>
      <w:pPr>
        <w:ind w:right="320" w:firstLine="469"/>
        <w:spacing w:after="0" w:line="261" w:lineRule="auto"/>
        <w:rPr>
          <w:sz w:val="20"/>
          <w:szCs w:val="20"/>
          <w:color w:val="auto"/>
        </w:rPr>
      </w:pPr>
      <w:r>
        <w:rPr>
          <w:rFonts w:ascii="Times New Roman" w:cs="Times New Roman" w:eastAsia="Times New Roman" w:hAnsi="Times New Roman"/>
          <w:sz w:val="14"/>
          <w:szCs w:val="14"/>
          <w:color w:val="auto"/>
        </w:rPr>
        <w:t>SBIC II, our wholly-owned subsidiary, received a license to operate as a SBIC under the 1958 Act and is subject to regulation and oversight regulated by the SBA. The SBA places certain limitations on the financing terms of investments by SBICs in portfolio companies and regulates the types of financings and prohibits investing in certain industries. Compliance with SBIC requirements may cause SBIC II to make investments at lower rates in order to qualify investments under the SBA regulations.</w:t>
      </w:r>
    </w:p>
    <w:p>
      <w:pPr>
        <w:spacing w:after="0" w:line="96" w:lineRule="exact"/>
        <w:rPr>
          <w:sz w:val="20"/>
          <w:szCs w:val="20"/>
          <w:color w:val="auto"/>
        </w:rPr>
      </w:pPr>
    </w:p>
    <w:p>
      <w:pPr>
        <w:ind w:right="360" w:firstLine="469"/>
        <w:spacing w:after="0" w:line="253" w:lineRule="auto"/>
        <w:rPr>
          <w:sz w:val="20"/>
          <w:szCs w:val="20"/>
          <w:color w:val="auto"/>
        </w:rPr>
      </w:pPr>
      <w:r>
        <w:rPr>
          <w:rFonts w:ascii="Times New Roman" w:cs="Times New Roman" w:eastAsia="Times New Roman" w:hAnsi="Times New Roman"/>
          <w:sz w:val="14"/>
          <w:szCs w:val="14"/>
          <w:color w:val="auto"/>
        </w:rPr>
        <w:t>Further, SBA regulations require that a licensed SBIC be periodically examined and audited by the SBA to determine its compliance with the relevant regulations. If SBIC II fails to comply with applicable regulations, the SBA could, depending on the severity of the violation, limit or prohibit its use of debentures, declare outstanding debentures immediately due and</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payable, and/or limit it from making new investments. In addition, the SBA could revoke or suspend SBIC II’s license for willful or repeated violation of, or willful or repeated failure to observe, any provision of the 1958 Act or any rule or regulation promulgated thereunder. These actions by the SBA would, in turn, negatively affect us because SBIC II is our wholly-owned subsidiary.</w:t>
      </w:r>
    </w:p>
    <w:p>
      <w:pPr>
        <w:spacing w:after="0" w:line="122" w:lineRule="exact"/>
        <w:rPr>
          <w:sz w:val="20"/>
          <w:szCs w:val="20"/>
          <w:color w:val="auto"/>
        </w:rPr>
      </w:pPr>
    </w:p>
    <w:p>
      <w:pPr>
        <w:ind w:right="200" w:firstLine="449"/>
        <w:spacing w:after="0" w:line="243" w:lineRule="auto"/>
        <w:rPr>
          <w:sz w:val="20"/>
          <w:szCs w:val="20"/>
          <w:color w:val="auto"/>
        </w:rPr>
      </w:pPr>
      <w:r>
        <w:rPr>
          <w:rFonts w:ascii="Times New Roman" w:cs="Times New Roman" w:eastAsia="Times New Roman" w:hAnsi="Times New Roman"/>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regulations limit the amount that any single SBIC may borrow to a maximum of $175.0 million, which is up to twice its regulatory capital, and a maximum of $350.0 million as part of a group of SBICs under common control.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currently use borrowed funds to make investments and are exposed to the typical risks associated with leverage.</w:t>
      </w:r>
    </w:p>
    <w:p>
      <w:pPr>
        <w:spacing w:after="0" w:line="154" w:lineRule="exact"/>
        <w:rPr>
          <w:sz w:val="20"/>
          <w:szCs w:val="20"/>
          <w:color w:val="auto"/>
        </w:rPr>
      </w:pPr>
    </w:p>
    <w:p>
      <w:pPr>
        <w:ind w:right="20" w:firstLine="449"/>
        <w:spacing w:after="0" w:line="243" w:lineRule="auto"/>
        <w:rPr>
          <w:sz w:val="20"/>
          <w:szCs w:val="20"/>
          <w:color w:val="auto"/>
        </w:rPr>
      </w:pPr>
      <w:r>
        <w:rPr>
          <w:rFonts w:ascii="Times New Roman" w:cs="Times New Roman" w:eastAsia="Times New Roman" w:hAnsi="Times New Roman"/>
          <w:sz w:val="14"/>
          <w:szCs w:val="14"/>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met, exclusive of the SBA debentures pursuant to SEC exemptive relief, and any cash that we use to service our indebtedness is not available for distribution to our common stockholders.</w:t>
      </w:r>
    </w:p>
    <w:p>
      <w:pPr>
        <w:spacing w:after="0" w:line="134" w:lineRule="exact"/>
        <w:rPr>
          <w:sz w:val="20"/>
          <w:szCs w:val="20"/>
          <w:color w:val="auto"/>
        </w:rPr>
      </w:pPr>
    </w:p>
    <w:p>
      <w:pPr>
        <w:ind w:right="60" w:firstLine="449"/>
        <w:spacing w:after="0" w:line="243" w:lineRule="auto"/>
        <w:rPr>
          <w:sz w:val="20"/>
          <w:szCs w:val="20"/>
          <w:color w:val="auto"/>
        </w:rPr>
      </w:pPr>
      <w:r>
        <w:rPr>
          <w:rFonts w:ascii="Times New Roman" w:cs="Times New Roman" w:eastAsia="Times New Roman" w:hAnsi="Times New Roman"/>
          <w:sz w:val="14"/>
          <w:szCs w:val="14"/>
          <w:color w:val="auto"/>
        </w:rPr>
        <w:t>Our current debt is governed by the terms of our Facilities, 2026 Notes, 2026 Notes-2 and SBA debentures and future debt may be governed by an indenture or other instrument containing covenants restricting our operating flexibility. We, and indirectly our stockholders, bear the cost of issuing and servicing debt. Any convertible or exchangeable securities that we issue</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4"/>
          <w:szCs w:val="14"/>
          <w:color w:val="auto"/>
        </w:rPr>
        <w:t>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97"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4"/>
          <w:szCs w:val="14"/>
          <w:color w:val="auto"/>
        </w:rPr>
        <w:t>Additionally, SBIC II has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SBICs from our consolidated asset coverage ratio. Our ratio</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have indebtedness outstanding pursuant to our Truist Credit Facility, 2026 Notes, 2026 Notes-2 and SBA debentures and expect in the future to borrow additional amounts under our</w:t>
      </w:r>
    </w:p>
    <w:p>
      <w:pPr>
        <w:spacing w:after="0" w:line="17"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4"/>
          <w:szCs w:val="14"/>
          <w:color w:val="auto"/>
        </w:rPr>
        <w:t>Truist Credit Facility or other debt securities, subject to market availability, and, may increase the size of our Truist Credit Facility. We cannot assure you that our leverage will remain at current levels. The amount of leverage that we employ will depend upon our assessment of the market and other factors at the time of any proposed borrowing. Lenders have fixed dollar claims on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assets that are superior to the claims of our common stockholders or preferred stockholders, if any, and we have granted a security interest in our assets, excluding those of SBIC II, in connection</w:t>
      </w:r>
    </w:p>
    <w:p>
      <w:pPr>
        <w:spacing w:after="0" w:line="1"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4"/>
          <w:szCs w:val="14"/>
          <w:color w:val="auto"/>
        </w:rPr>
        <w:t>with borrowings under our Truist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our Truist</w:t>
      </w:r>
    </w:p>
    <w:p>
      <w:pPr>
        <w:spacing w:after="0" w:line="1"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4"/>
          <w:szCs w:val="14"/>
          <w:color w:val="auto"/>
        </w:rPr>
        <w:t>Credit Facility and SBA debentures. In addition, borrowings or debt issuances and SBA debentures, also known as leverage, magnify the potential for loss or gain on amounts invested and, therefore, increase the risks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4" w:name="page25"/>
    <w:bookmarkEnd w:id="24"/>
    <w:p>
      <w:pPr>
        <w:ind w:right="40"/>
        <w:spacing w:after="0" w:line="253" w:lineRule="auto"/>
        <w:rPr>
          <w:sz w:val="20"/>
          <w:szCs w:val="20"/>
          <w:color w:val="auto"/>
        </w:rPr>
      </w:pPr>
      <w:r>
        <w:rPr>
          <w:rFonts w:ascii="Times New Roman" w:cs="Times New Roman" w:eastAsia="Times New Roman" w:hAnsi="Times New Roman"/>
          <w:sz w:val="14"/>
          <w:szCs w:val="14"/>
          <w:color w:val="auto"/>
        </w:rPr>
        <w:t>associated with investing in our securities. Leverage is generally considered a speculative investment technique. If the value of our assets decreases, then the use of leverage would cause the NAV attributable to our common stock to decline more than it otherwise would have had we not utilized leverage. Similarly, any decrease in our revenue would cause our net income to decline more</w:t>
      </w:r>
    </w:p>
    <w:p>
      <w:pPr>
        <w:spacing w:after="0" w:line="1"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14"/>
          <w:szCs w:val="14"/>
          <w:color w:val="auto"/>
        </w:rPr>
        <w:t>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76" w:lineRule="exact"/>
        <w:rPr>
          <w:sz w:val="20"/>
          <w:szCs w:val="20"/>
          <w:color w:val="auto"/>
        </w:rPr>
      </w:pPr>
    </w:p>
    <w:p>
      <w:pPr>
        <w:jc w:val="both"/>
        <w:ind w:right="140" w:firstLine="449"/>
        <w:spacing w:after="0" w:line="271" w:lineRule="auto"/>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since February 5, 2019, the asset coverage requirement applicable to us for senior securities was reduced from 200% to 150%, so long as we comply with the applicable disclosure requirements, which may increase the risk of investing in us.</w:t>
      </w:r>
    </w:p>
    <w:p>
      <w:pPr>
        <w:spacing w:after="0" w:line="157" w:lineRule="exact"/>
        <w:rPr>
          <w:sz w:val="20"/>
          <w:szCs w:val="20"/>
          <w:color w:val="auto"/>
        </w:rPr>
      </w:pPr>
    </w:p>
    <w:p>
      <w:pPr>
        <w:ind w:right="100" w:firstLine="449"/>
        <w:spacing w:after="0" w:line="271" w:lineRule="auto"/>
        <w:rPr>
          <w:sz w:val="20"/>
          <w:szCs w:val="20"/>
          <w:color w:val="auto"/>
        </w:rPr>
      </w:pPr>
      <w:r>
        <w:rPr>
          <w:rFonts w:ascii="Times New Roman" w:cs="Times New Roman" w:eastAsia="Times New Roman" w:hAnsi="Times New Roman"/>
          <w:sz w:val="14"/>
          <w:szCs w:val="14"/>
          <w:color w:val="auto"/>
        </w:rPr>
        <w:t>As of September 30, 2022 and 2021, our asset coverage ratio, as computed in accordance with the 1940 Act, was 186% and 221%, respectively. Since our leverage, including SBA debentures outstanding, was 119% and 92% of our net assets as of September 30, 2022 and 2021, respectively, we would have to receive an annual return of at least 2.6% and 1.7%, respectively, to cover annual interest payments.</w:t>
      </w:r>
    </w:p>
    <w:p>
      <w:pPr>
        <w:spacing w:after="0" w:line="15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As of September 30, 2022, we had outstanding borrowings of $385.9 million under our Truist Credit Facility, $20.0 million outstanding under the SBA debentures, $150.0 million of 2026 Notes and $165.0 million of 2026 Notes-2. Our consolidated debt outstanding was $720.9 million and had a weighted average annual interest rate at the time of 4.8%, exclusive of the fee on undrawn commitment on our Truist Credit Facility and upfront fees on the SBA debentures. This example is for illustrative purposes only, and actual interest rates on our Truist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81"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The following table is designed to illustrate the effect on the return to a holder of our common stock of the leverage created by our use of borrowing as of September 30, 2022 of 53% of total assets (including such borrowed funds), at the current interest rate at the time of 4.8%,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 xml:space="preserve">Assumed return on portfolio (net of expenses) </w:t>
            </w:r>
            <w:r>
              <w:rPr>
                <w:rFonts w:ascii="Times New Roman" w:cs="Times New Roman" w:eastAsia="Times New Roman" w:hAnsi="Times New Roman"/>
                <w:sz w:val="19"/>
                <w:szCs w:val="19"/>
                <w:color w:val="auto"/>
                <w:vertAlign w:val="superscript"/>
              </w:rPr>
              <w:t>(1)</w:t>
            </w:r>
          </w:p>
        </w:tc>
        <w:tc>
          <w:tcPr>
            <w:tcW w:w="1940" w:type="dxa"/>
            <w:vAlign w:val="bottom"/>
            <w:shd w:val="clear" w:color="auto" w:fill="CCECFF"/>
          </w:tcPr>
          <w:p>
            <w:pPr>
              <w:jc w:val="right"/>
              <w:ind w:right="488"/>
              <w:spacing w:after="0"/>
              <w:rPr>
                <w:sz w:val="20"/>
                <w:szCs w:val="20"/>
                <w:color w:val="auto"/>
              </w:rPr>
            </w:pPr>
            <w:r>
              <w:rPr>
                <w:rFonts w:ascii="Times New Roman" w:cs="Times New Roman" w:eastAsia="Times New Roman" w:hAnsi="Times New Roman"/>
                <w:sz w:val="14"/>
                <w:szCs w:val="14"/>
                <w:color w:val="auto"/>
              </w:rPr>
              <w:t>(10.0 )%</w:t>
            </w:r>
          </w:p>
        </w:tc>
        <w:tc>
          <w:tcPr>
            <w:tcW w:w="1640" w:type="dxa"/>
            <w:vAlign w:val="bottom"/>
            <w:shd w:val="clear" w:color="auto" w:fill="CCECFF"/>
          </w:tcPr>
          <w:p>
            <w:pPr>
              <w:jc w:val="right"/>
              <w:ind w:right="508"/>
              <w:spacing w:after="0"/>
              <w:rPr>
                <w:sz w:val="20"/>
                <w:szCs w:val="20"/>
                <w:color w:val="auto"/>
              </w:rPr>
            </w:pPr>
            <w:r>
              <w:rPr>
                <w:rFonts w:ascii="Times New Roman" w:cs="Times New Roman" w:eastAsia="Times New Roman" w:hAnsi="Times New Roman"/>
                <w:sz w:val="14"/>
                <w:szCs w:val="14"/>
                <w:color w:val="auto"/>
              </w:rPr>
              <w:t>(5.0 )%</w:t>
            </w:r>
          </w:p>
        </w:tc>
        <w:tc>
          <w:tcPr>
            <w:tcW w:w="1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w w:val="95"/>
              </w:rPr>
              <w:t>— %</w:t>
            </w:r>
          </w:p>
        </w:tc>
        <w:tc>
          <w:tcPr>
            <w:tcW w:w="1440" w:type="dxa"/>
            <w:vAlign w:val="bottom"/>
            <w:shd w:val="clear" w:color="auto" w:fill="CCECFF"/>
          </w:tcPr>
          <w:p>
            <w:pPr>
              <w:jc w:val="right"/>
              <w:ind w:right="488"/>
              <w:spacing w:after="0"/>
              <w:rPr>
                <w:sz w:val="20"/>
                <w:szCs w:val="20"/>
                <w:color w:val="auto"/>
              </w:rPr>
            </w:pPr>
            <w:r>
              <w:rPr>
                <w:rFonts w:ascii="Times New Roman" w:cs="Times New Roman" w:eastAsia="Times New Roman" w:hAnsi="Times New Roman"/>
                <w:sz w:val="14"/>
                <w:szCs w:val="14"/>
                <w:color w:val="auto"/>
              </w:rPr>
              <w:t>5.0 %</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20" w:type="dxa"/>
            <w:vAlign w:val="bottom"/>
          </w:tcPr>
          <w:p>
            <w:pPr>
              <w:spacing w:after="0"/>
              <w:rPr>
                <w:sz w:val="18"/>
                <w:szCs w:val="18"/>
                <w:color w:val="auto"/>
              </w:rPr>
            </w:pPr>
          </w:p>
        </w:tc>
      </w:tr>
      <w:tr>
        <w:trPr>
          <w:trHeight w:val="253"/>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Corresponding return to common stockholders </w:t>
            </w:r>
            <w:r>
              <w:rPr>
                <w:rFonts w:ascii="Times New Roman" w:cs="Times New Roman" w:eastAsia="Times New Roman" w:hAnsi="Times New Roman"/>
                <w:sz w:val="19"/>
                <w:szCs w:val="19"/>
                <w:color w:val="auto"/>
                <w:vertAlign w:val="superscript"/>
              </w:rPr>
              <w:t>(2)</w:t>
            </w:r>
          </w:p>
        </w:tc>
        <w:tc>
          <w:tcPr>
            <w:tcW w:w="19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(28.3 )%</w:t>
            </w:r>
          </w:p>
        </w:tc>
        <w:tc>
          <w:tcPr>
            <w:tcW w:w="164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(17.0 )%</w:t>
            </w:r>
          </w:p>
        </w:tc>
        <w:tc>
          <w:tcPr>
            <w:tcW w:w="156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(5.8 )%</w:t>
            </w:r>
          </w:p>
        </w:tc>
        <w:tc>
          <w:tcPr>
            <w:tcW w:w="14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5.5 %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1912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28"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The assumed portfolio return is required by regulation of the SEC and is not a prediction of, and does not represent, our projected or actual performance.</w:t>
      </w:r>
    </w:p>
    <w:p>
      <w:pPr>
        <w:ind w:left="380" w:right="240" w:hanging="372"/>
        <w:spacing w:after="0" w:line="212" w:lineRule="auto"/>
        <w:tabs>
          <w:tab w:leader="none" w:pos="380" w:val="left"/>
        </w:tabs>
        <w:numPr>
          <w:ilvl w:val="0"/>
          <w:numId w:val="36"/>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7"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90" w:lineRule="exact"/>
        <w:rPr>
          <w:sz w:val="20"/>
          <w:szCs w:val="20"/>
          <w:color w:val="auto"/>
        </w:rPr>
      </w:pPr>
    </w:p>
    <w:p>
      <w:pPr>
        <w:ind w:right="40" w:firstLine="449"/>
        <w:spacing w:after="0" w:line="257" w:lineRule="auto"/>
        <w:rPr>
          <w:sz w:val="20"/>
          <w:szCs w:val="20"/>
          <w:color w:val="auto"/>
        </w:rPr>
      </w:pPr>
      <w:r>
        <w:rPr>
          <w:rFonts w:ascii="Times New Roman" w:cs="Times New Roman" w:eastAsia="Times New Roman" w:hAnsi="Times New Roman"/>
          <w:sz w:val="14"/>
          <w:szCs w:val="14"/>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40" w:lineRule="exact"/>
        <w:rPr>
          <w:sz w:val="20"/>
          <w:szCs w:val="20"/>
          <w:color w:val="auto"/>
        </w:rPr>
      </w:pPr>
    </w:p>
    <w:p>
      <w:pPr>
        <w:ind w:right="220" w:firstLine="449"/>
        <w:spacing w:after="0" w:line="257" w:lineRule="auto"/>
        <w:rPr>
          <w:sz w:val="20"/>
          <w:szCs w:val="20"/>
          <w:color w:val="auto"/>
        </w:rPr>
      </w:pPr>
      <w:r>
        <w:rPr>
          <w:rFonts w:ascii="Times New Roman" w:cs="Times New Roman" w:eastAsia="Times New Roman" w:hAnsi="Times New Roman"/>
          <w:sz w:val="14"/>
          <w:szCs w:val="14"/>
          <w:color w:val="auto"/>
        </w:rPr>
        <w:t>As a result of the issuance of our SBA debentures, borrowings under our Truist Credit Facility, and issuance of our 2026 Notes and 2026 Notes-2,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credit ratings may not reflect all risks of an investment in our debt securities.</w:t>
      </w:r>
    </w:p>
    <w:p>
      <w:pPr>
        <w:spacing w:after="0" w:line="140"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173"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A downgrade, suspension or withdrawal of the credit rating assigned by a rating agency to us, our 2026 Notes or our 2026 Notes-2, if any, or change in the debt markets could cause the liquidity or market value of our 2026 Notes or our 2026 Notes-2 to decline significantly.</w:t>
      </w:r>
    </w:p>
    <w:p>
      <w:pPr>
        <w:spacing w:after="0" w:line="158" w:lineRule="exact"/>
        <w:rPr>
          <w:sz w:val="20"/>
          <w:szCs w:val="20"/>
          <w:color w:val="auto"/>
        </w:rPr>
      </w:pPr>
    </w:p>
    <w:p>
      <w:pPr>
        <w:ind w:right="100" w:firstLine="449"/>
        <w:spacing w:after="0" w:line="251" w:lineRule="auto"/>
        <w:rPr>
          <w:sz w:val="20"/>
          <w:szCs w:val="20"/>
          <w:color w:val="auto"/>
        </w:rPr>
      </w:pPr>
      <w:r>
        <w:rPr>
          <w:rFonts w:ascii="Times New Roman" w:cs="Times New Roman" w:eastAsia="Times New Roman" w:hAnsi="Times New Roman"/>
          <w:sz w:val="14"/>
          <w:szCs w:val="14"/>
          <w:color w:val="auto"/>
        </w:rPr>
        <w:t>Our credit ratings are an assessment by rating agencies of our ability to pay our debts when due. Consequently, real or anticipated changes in our credit ratings will generally affect the market value of our 2026 Notes or our 2026 Notes-2. Our credit ratings may not reflect the potential impact of risks relating to the structure or marketing of our 2026 Notes or our 2026 Notes-2.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2026 Notes or our 2026 Notes-2 of any changes in our credit ratings. There can be no assurance that our credit ratings will remain for any given period of time or that such credit ratings will not be lowered or withdrawn entirely by any of the rating agencies if in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Truist Credit Facility matures in September 2024, our 2026 Notes mature in November 2026 and our 2026 Notes-2 mature in May 2026. Additionally, our SBA debentures mature</w:t>
      </w:r>
    </w:p>
    <w:p>
      <w:pPr>
        <w:spacing w:after="0" w:line="17" w:lineRule="exact"/>
        <w:rPr>
          <w:sz w:val="20"/>
          <w:szCs w:val="20"/>
          <w:color w:val="auto"/>
        </w:rPr>
      </w:pPr>
    </w:p>
    <w:p>
      <w:pPr>
        <w:ind w:right="460"/>
        <w:spacing w:after="0" w:line="231" w:lineRule="auto"/>
        <w:rPr>
          <w:sz w:val="20"/>
          <w:szCs w:val="20"/>
          <w:color w:val="auto"/>
        </w:rPr>
      </w:pPr>
      <w:r>
        <w:rPr>
          <w:rFonts w:ascii="Times New Roman" w:cs="Times New Roman" w:eastAsia="Times New Roman" w:hAnsi="Times New Roman"/>
          <w:sz w:val="14"/>
          <w:szCs w:val="14"/>
          <w:color w:val="auto"/>
        </w:rPr>
        <w:t>between March 2026 and March 2028. We utilize proceeds from the Truist Credit Facility, our 2026 Notes, our 2026 Notes-2 and our SBA debentures to make investments in our portfolio companies. The duration of many of our investments exceeds the duration of our indebtedness under our Truist Credit Facility, our 2026 Notes, our 2026 Notes-2 and certain of our SBA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debentures. This means that we will have to extend the maturity of our Truist Credit Facility or refinance our indebtedness in order to avoid selling investments at maturity of any of our debt</w:t>
      </w:r>
    </w:p>
    <w:p>
      <w:pPr>
        <w:spacing w:after="0" w:line="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investments, at which time such sales may be at prices that are disadvantageous to us, which could materially damage our business. In addition, future market conditions may affect our ability to renew or refinance our Truist Credit Facility, our 2026 Notes, our 2026 Notes-2 and our SBA debentures on terms as favorable as those in our existing indebtedness. If we fail to extend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refinance the indebtedness by the time it becomes due and payable, holders of the debt and/or the administrative agent may elect to exercise various remedies, including the sale of all or a portion</w:t>
      </w:r>
    </w:p>
    <w:p>
      <w:pPr>
        <w:spacing w:after="0" w:line="1"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4"/>
          <w:szCs w:val="14"/>
          <w:color w:val="auto"/>
        </w:rPr>
        <w:t>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recorded for such investments, and this could materially affect our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are significant potential conflicts of interest which could impact our investment returns.</w:t>
      </w:r>
    </w:p>
    <w:p>
      <w:pPr>
        <w:spacing w:after="0" w:line="154" w:lineRule="exact"/>
        <w:rPr>
          <w:sz w:val="20"/>
          <w:szCs w:val="20"/>
          <w:color w:val="auto"/>
        </w:rPr>
      </w:pPr>
    </w:p>
    <w:p>
      <w:pPr>
        <w:ind w:right="80" w:firstLine="449"/>
        <w:spacing w:after="0" w:line="243" w:lineRule="auto"/>
        <w:rPr>
          <w:sz w:val="20"/>
          <w:szCs w:val="20"/>
          <w:color w:val="auto"/>
        </w:rPr>
      </w:pPr>
      <w:r>
        <w:rPr>
          <w:rFonts w:ascii="Times New Roman" w:cs="Times New Roman" w:eastAsia="Times New Roman" w:hAnsi="Times New Roman"/>
          <w:sz w:val="14"/>
          <w:szCs w:val="14"/>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4"/>
          <w:szCs w:val="14"/>
          <w:color w:val="auto"/>
        </w:rPr>
        <w:t>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well as the current senior investment professionals of the Investment Adviser, may serve as officers and directors of our controlled affiliates and affiliated funds. In addition, we note that any</w:t>
      </w:r>
    </w:p>
    <w:p>
      <w:pPr>
        <w:spacing w:after="0" w:line="1"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4"/>
          <w:szCs w:val="14"/>
          <w:color w:val="auto"/>
        </w:rPr>
        <w:t>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entities. Although the Investment Adviser will endeavor to allocate investment opportunities in a fair and equitable manner, it is possible that, in the future, we may not be given the opportunity</w:t>
      </w:r>
    </w:p>
    <w:p>
      <w:pPr>
        <w:spacing w:after="0" w:line="1"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4"/>
          <w:szCs w:val="14"/>
          <w:color w:val="auto"/>
        </w:rPr>
        <w:t>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Adviser currently has or forms in the future, subject to compliance with applicable regulations and regulatory guidance, our exemptive relief and our allocation procedures.</w:t>
      </w:r>
    </w:p>
    <w:p>
      <w:pPr>
        <w:spacing w:after="0" w:line="120" w:lineRule="exact"/>
        <w:rPr>
          <w:sz w:val="20"/>
          <w:szCs w:val="20"/>
          <w:color w:val="auto"/>
        </w:rPr>
      </w:pPr>
    </w:p>
    <w:p>
      <w:pPr>
        <w:ind w:right="160" w:firstLine="449"/>
        <w:spacing w:after="0" w:line="253" w:lineRule="auto"/>
        <w:rPr>
          <w:sz w:val="20"/>
          <w:szCs w:val="20"/>
          <w:color w:val="auto"/>
        </w:rPr>
      </w:pPr>
      <w:r>
        <w:rPr>
          <w:rFonts w:ascii="Times New Roman" w:cs="Times New Roman" w:eastAsia="Times New Roman" w:hAnsi="Times New Roman"/>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particularly during economic downturns.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have entered into the License Agreement with PennantPark Investment Advisers, pursuant to which the Investment Adviser has agreed to grant us a royalty-free non-exclusive license</w:t>
      </w:r>
    </w:p>
    <w:p>
      <w:pPr>
        <w:spacing w:after="0" w:line="17"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4"/>
          <w:szCs w:val="14"/>
          <w:color w:val="auto"/>
        </w:rPr>
        <w:t>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w:t>
      </w:r>
    </w:p>
    <w:p>
      <w:pPr>
        <w:spacing w:after="0" w:line="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4"/>
          <w:szCs w:val="14"/>
          <w:color w:val="auto"/>
        </w:rPr>
        <w:t>Agreement or any of our rights or duties thereunder without the prior written consent of the Investment Adviser. Other than with respect to this limited license, we have no legal right to the “PennantPark” name.</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addition, we pay PennantPark Investment Administration, an affiliate of the Investment Adviser, our allocable portion of overhead and other expenses incurred by PennantPark</w:t>
      </w:r>
    </w:p>
    <w:p>
      <w:pPr>
        <w:spacing w:after="0" w:line="17"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14"/>
          <w:szCs w:val="14"/>
          <w:color w:val="auto"/>
        </w:rPr>
        <w:t>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cybersecurity and cyber incidents.</w:t>
      </w:r>
    </w:p>
    <w:p>
      <w:pPr>
        <w:spacing w:after="0" w:line="194" w:lineRule="exact"/>
        <w:rPr>
          <w:sz w:val="20"/>
          <w:szCs w:val="20"/>
          <w:color w:val="auto"/>
        </w:rPr>
      </w:pPr>
    </w:p>
    <w:p>
      <w:pPr>
        <w:ind w:right="20" w:firstLine="449"/>
        <w:spacing w:after="0" w:line="243" w:lineRule="auto"/>
        <w:rPr>
          <w:sz w:val="20"/>
          <w:szCs w:val="20"/>
          <w:color w:val="auto"/>
        </w:rPr>
      </w:pPr>
      <w:r>
        <w:rPr>
          <w:rFonts w:ascii="Times New Roman" w:cs="Times New Roman" w:eastAsia="Times New Roman" w:hAnsi="Times New Roman"/>
          <w:sz w:val="14"/>
          <w:szCs w:val="14"/>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stealing confidential information, corrupting data or causing operational disruption and result in disrupted operations, misstated or unreliable financial data, liability for stolen assets or</w:t>
      </w:r>
    </w:p>
    <w:p>
      <w:pPr>
        <w:spacing w:after="0" w:line="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Adviser and third-party service providers. We, along with our Investment Adviser, have implemented processes, procedures and internal controls to help mitigate cybersecurity risks and cyber</w:t>
      </w:r>
    </w:p>
    <w:p>
      <w:pPr>
        <w:spacing w:after="0" w:line="1"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4"/>
          <w:szCs w:val="14"/>
          <w:color w:val="auto"/>
        </w:rPr>
        <w:t>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disruptions may not be fully insured or indemnified by other means. Furthermore, cybersecurity continues to be a key priority for regulators around the world, and some jurisdictions have enacted laws requiring companies to notify individuals of data security breaches involving certain types of personal data. If we fail to comply with the relevant laws and regulations, we could suffer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losses, a disruption of our businesses, liability to investors, regulatory intervention or reputational damage.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quarterly results.</w:t>
      </w:r>
    </w:p>
    <w:p>
      <w:pPr>
        <w:spacing w:after="0" w:line="154" w:lineRule="exact"/>
        <w:rPr>
          <w:sz w:val="20"/>
          <w:szCs w:val="20"/>
          <w:color w:val="auto"/>
        </w:rPr>
      </w:pPr>
    </w:p>
    <w:p>
      <w:pPr>
        <w:ind w:right="40" w:firstLine="449"/>
        <w:spacing w:after="0" w:line="243" w:lineRule="auto"/>
        <w:rPr>
          <w:sz w:val="20"/>
          <w:szCs w:val="20"/>
          <w:color w:val="auto"/>
        </w:rPr>
      </w:pPr>
      <w:r>
        <w:rPr>
          <w:rFonts w:ascii="Times New Roman" w:cs="Times New Roman" w:eastAsia="Times New Roman" w:hAnsi="Times New Roman"/>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economic conditions. However, as a result of our irrevocable election to apply the fair value option to our Truist Credit Facility, future decreases of fair value of our debt is expected to</w:t>
      </w:r>
    </w:p>
    <w:p>
      <w:pPr>
        <w:spacing w:after="0" w:line="1"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4"/>
          <w:szCs w:val="14"/>
          <w:color w:val="auto"/>
        </w:rPr>
        <w:t>have a corresponding increase to our NAV. Similarly, future increases in the fair value of our debt may have a corresponding decrease to our NAV. Any future indebtedness that we elect the fair value option for may have similar effects on our NAV as our Truist Credit Facility. This is expected to mitigate volatility in our earnings and NAV. As a result, results for any period should not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relied upon as being indicative of future performance.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54" w:lineRule="exact"/>
        <w:rPr>
          <w:sz w:val="20"/>
          <w:szCs w:val="20"/>
          <w:color w:val="auto"/>
        </w:rPr>
      </w:pPr>
    </w:p>
    <w:p>
      <w:pPr>
        <w:ind w:right="140" w:firstLine="449"/>
        <w:spacing w:after="0" w:line="243" w:lineRule="auto"/>
        <w:rPr>
          <w:sz w:val="20"/>
          <w:szCs w:val="20"/>
          <w:color w:val="auto"/>
        </w:rPr>
      </w:pPr>
      <w:r>
        <w:rPr>
          <w:rFonts w:ascii="Times New Roman" w:cs="Times New Roman" w:eastAsia="Times New Roman" w:hAnsi="Times New Roman"/>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If we issue preferred stock, debt securities or convertible debt securities, the NAV and market value of our common stock may become more volatile.</w:t>
      </w:r>
    </w:p>
    <w:p>
      <w:pPr>
        <w:spacing w:after="0" w:line="140" w:lineRule="exact"/>
        <w:rPr>
          <w:sz w:val="20"/>
          <w:szCs w:val="20"/>
          <w:color w:val="auto"/>
        </w:rPr>
      </w:pPr>
    </w:p>
    <w:p>
      <w:pPr>
        <w:ind w:right="340" w:firstLine="449"/>
        <w:spacing w:after="0" w:line="253" w:lineRule="auto"/>
        <w:rPr>
          <w:sz w:val="20"/>
          <w:szCs w:val="20"/>
          <w:color w:val="auto"/>
        </w:rPr>
      </w:pPr>
      <w:r>
        <w:rPr>
          <w:rFonts w:ascii="Times New Roman" w:cs="Times New Roman" w:eastAsia="Times New Roman" w:hAnsi="Times New Roman"/>
          <w:sz w:val="14"/>
          <w:szCs w:val="14"/>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w:t>
      </w:r>
    </w:p>
    <w:p>
      <w:pPr>
        <w:spacing w:after="0" w:line="1"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4"/>
          <w:szCs w:val="14"/>
          <w:color w:val="auto"/>
        </w:rPr>
        <w:t>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4"/>
          <w:szCs w:val="14"/>
          <w:color w:val="auto"/>
        </w:rPr>
        <w:t>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leveraged through the issuance of preferred stock, debt securities or convertible debt. This decline in NAV would also tend to cause a greater decline in the market price for our common stock.</w:t>
      </w:r>
    </w:p>
    <w:p>
      <w:pPr>
        <w:spacing w:after="0" w:line="120"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w:t>
      </w:r>
    </w:p>
    <w:p>
      <w:pPr>
        <w:spacing w:after="0" w:line="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 would bear) all costs and expenses relating to the issuance and ongoing maintenance of the preferred stock, debt securities, convertible debt or any combination of these securities. Holders</w:t>
      </w:r>
    </w:p>
    <w:p>
      <w:pPr>
        <w:spacing w:after="0" w:line="1"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4"/>
          <w:szCs w:val="14"/>
          <w:color w:val="auto"/>
        </w:rPr>
        <w:t>of preferred stock, debt securities, convertible debt or any combination of these securities may have different interests than holders of common stock and may at times have disproportionate influence over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market or market value of any publicly issued debt or convertible debt securities may be volatile.</w:t>
      </w:r>
    </w:p>
    <w:p>
      <w:pPr>
        <w:spacing w:after="0" w:line="140" w:lineRule="exact"/>
        <w:rPr>
          <w:sz w:val="20"/>
          <w:szCs w:val="20"/>
          <w:color w:val="auto"/>
        </w:rPr>
      </w:pPr>
    </w:p>
    <w:p>
      <w:pPr>
        <w:ind w:right="160" w:firstLine="449"/>
        <w:spacing w:after="0" w:line="243" w:lineRule="auto"/>
        <w:rPr>
          <w:sz w:val="20"/>
          <w:szCs w:val="20"/>
          <w:color w:val="auto"/>
        </w:rPr>
      </w:pPr>
      <w:r>
        <w:rPr>
          <w:rFonts w:ascii="Times New Roman" w:cs="Times New Roman" w:eastAsia="Times New Roman" w:hAnsi="Times New Roman"/>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market value of, our publicly issued debt or convertible debt securities.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These factors include the following:</w:t>
      </w:r>
    </w:p>
    <w:p>
      <w:pPr>
        <w:spacing w:after="0" w:line="150" w:lineRule="exact"/>
        <w:rPr>
          <w:sz w:val="20"/>
          <w:szCs w:val="20"/>
          <w:color w:val="auto"/>
        </w:rPr>
      </w:pPr>
    </w:p>
    <w:p>
      <w:pPr>
        <w:ind w:left="960" w:hanging="383"/>
        <w:spacing w:after="0"/>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remaining to the maturity of these debt securities;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principal amount of debt securities with terms identical or similar to these debt securities;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of debt securities trading in the secondary market, if any;</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repayment or convertible features, if any, of these debt securities;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direction and volatility of market interest rates; and</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rates of interest higher or lower than rates borne by the debt securities.</w:t>
      </w:r>
    </w:p>
    <w:p>
      <w:pPr>
        <w:spacing w:after="0" w:line="150"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relating to debt redemption may have a material adverse effect on the return on any debt securities.</w:t>
      </w:r>
    </w:p>
    <w:p>
      <w:pPr>
        <w:spacing w:after="0" w:line="154" w:lineRule="exact"/>
        <w:rPr>
          <w:sz w:val="20"/>
          <w:szCs w:val="20"/>
          <w:color w:val="auto"/>
        </w:rPr>
      </w:pPr>
    </w:p>
    <w:p>
      <w:pPr>
        <w:ind w:right="40" w:firstLine="449"/>
        <w:spacing w:after="0" w:line="243" w:lineRule="auto"/>
        <w:rPr>
          <w:sz w:val="20"/>
          <w:szCs w:val="20"/>
          <w:color w:val="auto"/>
        </w:rPr>
      </w:pPr>
      <w:r>
        <w:rPr>
          <w:rFonts w:ascii="Times New Roman" w:cs="Times New Roman" w:eastAsia="Times New Roman" w:hAnsi="Times New Roman"/>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issue subscription rights or warrants for our common stock, your interest in us may be diluted as a result of such rights or warrants offering.</w:t>
      </w:r>
    </w:p>
    <w:p>
      <w:pPr>
        <w:spacing w:after="0" w:line="14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96" w:lineRule="exact"/>
        <w:rPr>
          <w:sz w:val="20"/>
          <w:szCs w:val="20"/>
          <w:color w:val="auto"/>
        </w:rPr>
      </w:pPr>
    </w:p>
    <w:p>
      <w:pPr>
        <w:ind w:right="440" w:firstLine="449"/>
        <w:spacing w:after="0" w:line="243" w:lineRule="auto"/>
        <w:rPr>
          <w:sz w:val="20"/>
          <w:szCs w:val="20"/>
          <w:color w:val="auto"/>
        </w:rPr>
      </w:pPr>
      <w:r>
        <w:rPr>
          <w:rFonts w:ascii="Times New Roman" w:cs="Times New Roman" w:eastAsia="Times New Roman" w:hAnsi="Times New Roman"/>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subscription price, warrant exercise price or NAV per share will be on the expiration date of such rights offering or what proportion of our common stock will be purchased as a result of any such offering.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impact of recent financial reform legislation on us is uncertain.</w:t>
      </w:r>
    </w:p>
    <w:p>
      <w:pPr>
        <w:spacing w:after="0" w:line="194" w:lineRule="exact"/>
        <w:rPr>
          <w:sz w:val="20"/>
          <w:szCs w:val="20"/>
          <w:color w:val="auto"/>
        </w:rPr>
      </w:pPr>
    </w:p>
    <w:p>
      <w:pPr>
        <w:ind w:right="180" w:firstLine="449"/>
        <w:spacing w:after="0" w:line="253" w:lineRule="auto"/>
        <w:rPr>
          <w:sz w:val="20"/>
          <w:szCs w:val="20"/>
          <w:color w:val="auto"/>
        </w:rPr>
      </w:pPr>
      <w:r>
        <w:rPr>
          <w:rFonts w:ascii="Times New Roman" w:cs="Times New Roman" w:eastAsia="Times New Roman" w:hAnsi="Times New Roman"/>
          <w:sz w:val="14"/>
          <w:szCs w:val="14"/>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have an impact on financial institutions. Legislation may be adopted that could significantly affect the regulation of U.S. financial markets. Areas subject to potential change, amendment or repeal include the Dodd-Frank Act and the authority of the Federal Reserve and the Financial Stability Oversight Council. These or other regulatory changes could result in greater competition from</w:t>
      </w:r>
    </w:p>
    <w:p>
      <w:pPr>
        <w:spacing w:after="0" w:line="1"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4"/>
          <w:szCs w:val="14"/>
          <w:color w:val="auto"/>
        </w:rPr>
        <w:t>banks and other lenders with which we compete for lending and other investment opportunities. Accordingly, we are continuing to evaluate the effect the Dodd-Frank Act or implementing its regulations or any repeal or revision thereto will have on our business, financial condition and results of operations.</w:t>
      </w:r>
    </w:p>
    <w:p>
      <w:pPr>
        <w:spacing w:after="0" w:line="176" w:lineRule="exact"/>
        <w:rPr>
          <w:sz w:val="20"/>
          <w:szCs w:val="20"/>
          <w:color w:val="auto"/>
        </w:rPr>
      </w:pPr>
    </w:p>
    <w:p>
      <w:pPr>
        <w:ind w:right="60" w:firstLine="449"/>
        <w:spacing w:after="0" w:line="243" w:lineRule="auto"/>
        <w:rPr>
          <w:sz w:val="20"/>
          <w:szCs w:val="20"/>
          <w:color w:val="auto"/>
        </w:rPr>
      </w:pPr>
      <w:r>
        <w:rPr>
          <w:rFonts w:ascii="Times New Roman" w:cs="Times New Roman" w:eastAsia="Times New Roman" w:hAnsi="Times New Roman"/>
          <w:sz w:val="14"/>
          <w:szCs w:val="14"/>
          <w:color w:val="auto"/>
        </w:rPr>
        <w:t>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material adverse effect on our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condition and results of operations.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or regulations governing our operations or those of our portfolio companies may adversely affect our business.</w:t>
      </w:r>
    </w:p>
    <w:p>
      <w:pPr>
        <w:spacing w:after="0" w:line="154" w:lineRule="exact"/>
        <w:rPr>
          <w:sz w:val="20"/>
          <w:szCs w:val="20"/>
          <w:color w:val="auto"/>
        </w:rPr>
      </w:pPr>
    </w:p>
    <w:p>
      <w:pPr>
        <w:jc w:val="both"/>
        <w:ind w:right="200" w:firstLine="449"/>
        <w:spacing w:after="0" w:line="261" w:lineRule="auto"/>
        <w:rPr>
          <w:sz w:val="20"/>
          <w:szCs w:val="20"/>
          <w:color w:val="auto"/>
        </w:rPr>
      </w:pPr>
      <w:r>
        <w:rPr>
          <w:rFonts w:ascii="Times New Roman" w:cs="Times New Roman" w:eastAsia="Times New Roman" w:hAnsi="Times New Roman"/>
          <w:sz w:val="14"/>
          <w:szCs w:val="14"/>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board of directors may change our investment objectives, operating policies and strategies without prior notice or stockholder approval.</w:t>
      </w:r>
    </w:p>
    <w:p>
      <w:pPr>
        <w:spacing w:after="0" w:line="154"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106"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9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4"/>
          <w:szCs w:val="14"/>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impacted the BDC space.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THE ILLIQUID NATURE OF OUR PORTFOLIO ASSETS</w:t>
      </w:r>
    </w:p>
    <w:p>
      <w:pPr>
        <w:spacing w:after="0" w:line="148" w:lineRule="exact"/>
        <w:rPr>
          <w:sz w:val="20"/>
          <w:szCs w:val="20"/>
          <w:color w:val="auto"/>
        </w:rPr>
      </w:pPr>
    </w:p>
    <w:p>
      <w:pPr>
        <w:ind w:right="20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3"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4"/>
          <w:szCs w:val="14"/>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Truist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borrowings under our Truist Credit Facility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7"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4"/>
          <w:szCs w:val="14"/>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16"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4"/>
          <w:szCs w:val="14"/>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lack of liquidity in our investments may adversely affect our business.</w:t>
      </w:r>
    </w:p>
    <w:p>
      <w:pPr>
        <w:spacing w:after="0" w:line="154" w:lineRule="exact"/>
        <w:rPr>
          <w:sz w:val="20"/>
          <w:szCs w:val="20"/>
          <w:color w:val="auto"/>
        </w:rPr>
      </w:pPr>
    </w:p>
    <w:p>
      <w:pPr>
        <w:jc w:val="both"/>
        <w:ind w:right="60" w:firstLine="449"/>
        <w:spacing w:after="0" w:line="271" w:lineRule="auto"/>
        <w:rPr>
          <w:sz w:val="20"/>
          <w:szCs w:val="20"/>
          <w:color w:val="auto"/>
        </w:rPr>
      </w:pPr>
      <w:r>
        <w:rPr>
          <w:rFonts w:ascii="Times New Roman" w:cs="Times New Roman" w:eastAsia="Times New Roman" w:hAnsi="Times New Roman"/>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03"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2" w:lineRule="exact"/>
        <w:rPr>
          <w:sz w:val="20"/>
          <w:szCs w:val="20"/>
          <w:color w:val="auto"/>
        </w:rPr>
      </w:pPr>
    </w:p>
    <w:p>
      <w:pPr>
        <w:ind w:right="180" w:firstLine="449"/>
        <w:spacing w:after="0" w:line="271" w:lineRule="auto"/>
        <w:rPr>
          <w:sz w:val="20"/>
          <w:szCs w:val="20"/>
          <w:color w:val="auto"/>
        </w:rPr>
      </w:pPr>
      <w:r>
        <w:rPr>
          <w:rFonts w:ascii="Times New Roman" w:cs="Times New Roman" w:eastAsia="Times New Roman" w:hAnsi="Times New Roman"/>
          <w:sz w:val="14"/>
          <w:szCs w:val="14"/>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general disruption in the credit markets could materially damage our business.</w:t>
      </w:r>
    </w:p>
    <w:p>
      <w:pPr>
        <w:spacing w:after="0" w:line="140" w:lineRule="exact"/>
        <w:rPr>
          <w:sz w:val="20"/>
          <w:szCs w:val="20"/>
          <w:color w:val="auto"/>
        </w:rPr>
      </w:pPr>
    </w:p>
    <w:p>
      <w:pPr>
        <w:ind w:right="180" w:firstLine="449"/>
        <w:spacing w:after="0" w:line="302" w:lineRule="auto"/>
        <w:rPr>
          <w:sz w:val="20"/>
          <w:szCs w:val="20"/>
          <w:color w:val="auto"/>
        </w:rPr>
      </w:pPr>
      <w:r>
        <w:rPr>
          <w:rFonts w:ascii="Times New Roman" w:cs="Times New Roman" w:eastAsia="Times New Roman" w:hAnsi="Times New Roman"/>
          <w:sz w:val="14"/>
          <w:szCs w:val="14"/>
          <w:color w:val="auto"/>
        </w:rPr>
        <w:t>We are susceptible to the risk of significant loss if we are forced to discount the value of our investments in order to provide liquidity to meet our debt maturities. Our borrowings under our Truist Credit Facility are collateralized by the assets in our investment portfolio (excluding assets held by SBIC II). A general disruption in the credit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28" w:name="page29"/>
    <w:bookmarkEnd w:id="28"/>
    <w:p>
      <w:pPr>
        <w:ind w:right="340"/>
        <w:spacing w:after="0" w:line="282" w:lineRule="auto"/>
        <w:rPr>
          <w:sz w:val="20"/>
          <w:szCs w:val="20"/>
          <w:color w:val="auto"/>
        </w:rPr>
      </w:pPr>
      <w:r>
        <w:rPr>
          <w:rFonts w:ascii="Times New Roman" w:cs="Times New Roman" w:eastAsia="Times New Roman" w:hAnsi="Times New Roman"/>
          <w:sz w:val="14"/>
          <w:szCs w:val="14"/>
          <w:color w:val="auto"/>
        </w:rPr>
        <w:t>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94"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Truist Credit Facility. These situations may arise due to circumstances that we may be unable to control, such as a general disruption in the credit markets, a severe decline in the value of the U.S. dollar, an economic downturn or recession or an operational problem that affects our counterparties or us, and could materially damage our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invest in over-the-counter securities, which have and may continue to face liquidity constraints, to provide us with liquidity.</w:t>
      </w:r>
    </w:p>
    <w:p>
      <w:pPr>
        <w:spacing w:after="0" w:line="154" w:lineRule="exact"/>
        <w:rPr>
          <w:sz w:val="20"/>
          <w:szCs w:val="20"/>
          <w:color w:val="auto"/>
        </w:rPr>
      </w:pPr>
    </w:p>
    <w:p>
      <w:pPr>
        <w:ind w:right="400" w:firstLine="449"/>
        <w:spacing w:after="0" w:line="282" w:lineRule="auto"/>
        <w:rPr>
          <w:sz w:val="20"/>
          <w:szCs w:val="20"/>
          <w:color w:val="auto"/>
        </w:rPr>
      </w:pPr>
      <w:r>
        <w:rPr>
          <w:rFonts w:ascii="Times New Roman" w:cs="Times New Roman" w:eastAsia="Times New Roman" w:hAnsi="Times New Roman"/>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in prospective portfolio companies may be risky, and you could lose all or part of your investment.</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intend to invest primarily in first lien secured debt, second lien secured debt, subordinated debt and selected equity investments issued by U.S. and foreign middle-market companies.</w:t>
      </w:r>
    </w:p>
    <w:p>
      <w:pPr>
        <w:spacing w:after="0" w:line="146" w:lineRule="exact"/>
        <w:rPr>
          <w:sz w:val="20"/>
          <w:szCs w:val="20"/>
          <w:color w:val="auto"/>
        </w:rPr>
      </w:pPr>
    </w:p>
    <w:p>
      <w:pPr>
        <w:ind w:left="960" w:right="40" w:hanging="383"/>
        <w:spacing w:after="0" w:line="251" w:lineRule="auto"/>
        <w:tabs>
          <w:tab w:leader="none" w:pos="9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First Lien Secured Debt: </w:t>
      </w:r>
      <w:r>
        <w:rPr>
          <w:rFonts w:ascii="Times New Roman" w:cs="Times New Roman" w:eastAsia="Times New Roman" w:hAnsi="Times New Roman"/>
          <w:sz w:val="14"/>
          <w:szCs w:val="14"/>
          <w:color w:val="auto"/>
        </w:rPr>
        <w:t>When we extend first lien secured debt, we will generally take a security interest in the available assets of these portfolio companies, including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279" w:lineRule="exact"/>
        <w:rPr>
          <w:rFonts w:ascii="Times New Roman" w:cs="Times New Roman" w:eastAsia="Times New Roman" w:hAnsi="Times New Roman"/>
          <w:sz w:val="14"/>
          <w:szCs w:val="14"/>
          <w:color w:val="auto"/>
        </w:rPr>
      </w:pPr>
    </w:p>
    <w:p>
      <w:pPr>
        <w:ind w:left="960" w:right="40" w:hanging="383"/>
        <w:spacing w:after="0" w:line="254" w:lineRule="auto"/>
        <w:tabs>
          <w:tab w:leader="none" w:pos="9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Second Lien Secured Debt: </w:t>
      </w:r>
      <w:r>
        <w:rPr>
          <w:rFonts w:ascii="Times New Roman" w:cs="Times New Roman" w:eastAsia="Times New Roman" w:hAnsi="Times New Roman"/>
          <w:sz w:val="14"/>
          <w:szCs w:val="14"/>
          <w:color w:val="auto"/>
        </w:rPr>
        <w:t>Our second lien secured debt usually ranks junior in priority of payment to first lien secured debt. Second lien secured debt holds a second priority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11" w:lineRule="exact"/>
        <w:rPr>
          <w:rFonts w:ascii="Times New Roman" w:cs="Times New Roman" w:eastAsia="Times New Roman" w:hAnsi="Times New Roman"/>
          <w:sz w:val="14"/>
          <w:szCs w:val="14"/>
          <w:color w:val="auto"/>
        </w:rPr>
      </w:pPr>
    </w:p>
    <w:p>
      <w:pPr>
        <w:ind w:left="960" w:hanging="383"/>
        <w:spacing w:after="0" w:line="258" w:lineRule="auto"/>
        <w:tabs>
          <w:tab w:leader="none" w:pos="9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Subordinated Debt: </w:t>
      </w:r>
      <w:r>
        <w:rPr>
          <w:rFonts w:ascii="Times New Roman" w:cs="Times New Roman" w:eastAsia="Times New Roman" w:hAnsi="Times New Roman"/>
          <w:sz w:val="14"/>
          <w:szCs w:val="14"/>
          <w:color w:val="auto"/>
        </w:rPr>
        <w:t>Our subordinated debt usually ranks junior in priority of payment to first lien secured debt and second lien secured debt, and are often unsecured. As such,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09" w:lineRule="exact"/>
        <w:rPr>
          <w:rFonts w:ascii="Times New Roman" w:cs="Times New Roman" w:eastAsia="Times New Roman" w:hAnsi="Times New Roman"/>
          <w:sz w:val="14"/>
          <w:szCs w:val="14"/>
          <w:color w:val="auto"/>
        </w:rPr>
      </w:pPr>
    </w:p>
    <w:p>
      <w:pPr>
        <w:ind w:left="960" w:right="20" w:hanging="383"/>
        <w:spacing w:after="0" w:line="252" w:lineRule="auto"/>
        <w:tabs>
          <w:tab w:leader="none" w:pos="9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Equity Investments: </w:t>
      </w:r>
      <w:r>
        <w:rPr>
          <w:rFonts w:ascii="Times New Roman" w:cs="Times New Roman" w:eastAsia="Times New Roman" w:hAnsi="Times New Roman"/>
          <w:sz w:val="14"/>
          <w:szCs w:val="14"/>
          <w:color w:val="auto"/>
        </w:rPr>
        <w:t>We have made and expect to continue to make select equity investments, all of which are subordinated to debt investments. In addition, when we invest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4"/>
          <w:szCs w:val="14"/>
          <w:color w:val="auto"/>
        </w:rPr>
        <w:t>In addition, investing in middle-market companies involves a number of significant risks, including:</w:t>
      </w:r>
    </w:p>
    <w:p>
      <w:pPr>
        <w:spacing w:after="0" w:line="150" w:lineRule="exact"/>
        <w:rPr>
          <w:sz w:val="20"/>
          <w:szCs w:val="20"/>
          <w:color w:val="auto"/>
        </w:rPr>
      </w:pPr>
    </w:p>
    <w:p>
      <w:pPr>
        <w:ind w:left="960" w:right="480" w:hanging="383"/>
        <w:spacing w:after="0" w:line="261" w:lineRule="auto"/>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09" w:lineRule="exact"/>
        <w:rPr>
          <w:rFonts w:ascii="Times New Roman" w:cs="Times New Roman" w:eastAsia="Times New Roman" w:hAnsi="Times New Roman"/>
          <w:sz w:val="14"/>
          <w:szCs w:val="14"/>
          <w:color w:val="auto"/>
        </w:rPr>
      </w:pPr>
    </w:p>
    <w:p>
      <w:pPr>
        <w:ind w:left="960" w:right="40" w:hanging="383"/>
        <w:spacing w:after="0" w:line="302" w:lineRule="auto"/>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67" w:lineRule="exact"/>
        <w:rPr>
          <w:rFonts w:ascii="Times New Roman" w:cs="Times New Roman" w:eastAsia="Times New Roman" w:hAnsi="Times New Roman"/>
          <w:sz w:val="14"/>
          <w:szCs w:val="14"/>
          <w:color w:val="auto"/>
        </w:rPr>
      </w:pPr>
    </w:p>
    <w:p>
      <w:pPr>
        <w:ind w:left="960" w:right="300" w:hanging="383"/>
        <w:spacing w:after="0" w:line="302" w:lineRule="auto"/>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0" w:lineRule="exact"/>
        <w:rPr>
          <w:rFonts w:ascii="Times New Roman" w:cs="Times New Roman" w:eastAsia="Times New Roman" w:hAnsi="Times New Roman"/>
          <w:sz w:val="14"/>
          <w:szCs w:val="14"/>
          <w:color w:val="auto"/>
        </w:rPr>
      </w:pPr>
    </w:p>
    <w:p>
      <w:pPr>
        <w:ind w:left="960" w:right="180" w:hanging="383"/>
        <w:spacing w:after="0" w:line="261" w:lineRule="auto"/>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9" w:lineRule="exact"/>
        <w:rPr>
          <w:rFonts w:ascii="Times New Roman" w:cs="Times New Roman" w:eastAsia="Times New Roman" w:hAnsi="Times New Roman"/>
          <w:sz w:val="14"/>
          <w:szCs w:val="14"/>
          <w:color w:val="auto"/>
        </w:rPr>
      </w:pPr>
    </w:p>
    <w:p>
      <w:pPr>
        <w:ind w:left="960" w:right="360" w:hanging="383"/>
        <w:spacing w:after="0" w:line="282" w:lineRule="auto"/>
        <w:tabs>
          <w:tab w:leader="none" w:pos="9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may have difficulty accessing the capital markets to meet future capital needs, which may limit their ability to grow or to refinance their outstanding indebtedness upon maturity.</w:t>
      </w:r>
    </w:p>
    <w:p>
      <w:pPr>
        <w:spacing w:after="0" w:line="90"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90"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0"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12"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90"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recessions or downturns could impair our portfolio companies and harm our operating results.</w:t>
      </w:r>
    </w:p>
    <w:p>
      <w:pPr>
        <w:spacing w:after="0" w:line="154"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3" w:lineRule="exact"/>
        <w:rPr>
          <w:sz w:val="20"/>
          <w:szCs w:val="20"/>
          <w:color w:val="auto"/>
        </w:rPr>
      </w:pPr>
    </w:p>
    <w:p>
      <w:pPr>
        <w:ind w:right="120" w:firstLine="449"/>
        <w:spacing w:after="0" w:line="253" w:lineRule="auto"/>
        <w:rPr>
          <w:sz w:val="20"/>
          <w:szCs w:val="20"/>
          <w:color w:val="auto"/>
        </w:rPr>
      </w:pPr>
      <w:r>
        <w:rPr>
          <w:rFonts w:ascii="Times New Roman" w:cs="Times New Roman" w:eastAsia="Times New Roman" w:hAnsi="Times New Roman"/>
          <w:sz w:val="14"/>
          <w:szCs w:val="14"/>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make follow-on investments in our portfolio companies, this could materially impair the value of our portfolio.</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Following an initial investment in a portfolio company, we may make additional investments in that portfolio company as “follow-on” investments, in order to:</w:t>
      </w:r>
    </w:p>
    <w:p>
      <w:pPr>
        <w:spacing w:after="0" w:line="136" w:lineRule="exact"/>
        <w:rPr>
          <w:sz w:val="20"/>
          <w:szCs w:val="20"/>
          <w:color w:val="auto"/>
        </w:rPr>
      </w:pPr>
    </w:p>
    <w:p>
      <w:pPr>
        <w:ind w:left="960" w:hanging="383"/>
        <w:spacing w:after="0"/>
        <w:tabs>
          <w:tab w:leader="none" w:pos="9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maintain in whole or in part our equity ownership percentage;</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warrants, options or convertible securities that were acquired in the original or subsequent financing; or</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attempt to preserve or enhance the value of our investment.</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0" w:name="page31"/>
    <w:bookmarkEnd w:id="30"/>
    <w:p>
      <w:pPr>
        <w:ind w:right="80" w:firstLine="449"/>
        <w:spacing w:after="0" w:line="256" w:lineRule="auto"/>
        <w:rPr>
          <w:sz w:val="20"/>
          <w:szCs w:val="20"/>
          <w:color w:val="auto"/>
        </w:rPr>
      </w:pPr>
      <w:r>
        <w:rPr>
          <w:rFonts w:ascii="Times New Roman" w:cs="Times New Roman" w:eastAsia="Times New Roman" w:hAnsi="Times New Roman"/>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either because we prefer other opportunities, or because we are inhibited by compliance with BDC requirements or the desire to maintain our RIC tax status.</w:t>
      </w:r>
    </w:p>
    <w:p>
      <w:pPr>
        <w:spacing w:after="0" w:line="109"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Because we generally do not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90"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Because we generally do not hold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06"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9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5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We invest primarily in first lien secured debt, second lien secured debt,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incentive fee may induce the Investment Adviser to make speculative investments.</w:t>
      </w:r>
    </w:p>
    <w:p>
      <w:pPr>
        <w:spacing w:after="0" w:line="154" w:lineRule="exact"/>
        <w:rPr>
          <w:sz w:val="20"/>
          <w:szCs w:val="20"/>
          <w:color w:val="auto"/>
        </w:rPr>
      </w:pPr>
    </w:p>
    <w:p>
      <w:pPr>
        <w:ind w:right="20" w:firstLine="449"/>
        <w:spacing w:after="0" w:line="251" w:lineRule="auto"/>
        <w:rPr>
          <w:sz w:val="20"/>
          <w:szCs w:val="20"/>
          <w:color w:val="auto"/>
        </w:rPr>
      </w:pPr>
      <w:r>
        <w:rPr>
          <w:rFonts w:ascii="Times New Roman" w:cs="Times New Roman" w:eastAsia="Times New Roman" w:hAnsi="Times New Roman"/>
          <w:sz w:val="14"/>
          <w:szCs w:val="14"/>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7" w:lineRule="exact"/>
        <w:rPr>
          <w:sz w:val="20"/>
          <w:szCs w:val="20"/>
          <w:color w:val="auto"/>
        </w:rPr>
      </w:pPr>
    </w:p>
    <w:p>
      <w:pPr>
        <w:ind w:right="60" w:firstLine="449"/>
        <w:spacing w:after="0" w:line="271" w:lineRule="auto"/>
        <w:rPr>
          <w:sz w:val="20"/>
          <w:szCs w:val="20"/>
          <w:color w:val="auto"/>
        </w:rPr>
      </w:pPr>
      <w:r>
        <w:rPr>
          <w:rFonts w:ascii="Times New Roman" w:cs="Times New Roman" w:eastAsia="Times New Roman" w:hAnsi="Times New Roman"/>
          <w:sz w:val="14"/>
          <w:szCs w:val="14"/>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investments in distressed debt may not produce income and may require us to bear large expenses in order to protect and recover our investment.</w:t>
      </w:r>
    </w:p>
    <w:p>
      <w:pPr>
        <w:spacing w:after="0" w:line="154"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in foreign securities may involve significant risks in addition to the risks inherent in U.S. investments.</w:t>
      </w:r>
    </w:p>
    <w:p>
      <w:pPr>
        <w:spacing w:after="0" w:line="154"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3"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and economic and political developments. We may employ hedging techniques such as using our Truist Credit Facility’ multicurrency capability to minimize these risks, but we can offer no assurance that we will, in fact, hedge currency risk or, that if we do, such strategies will be effective.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We may make investments that cause our stockholders to bear investment advisory fees and other expenses on such investments in addition to our management fees and expenses.</w:t>
      </w:r>
    </w:p>
    <w:p>
      <w:pPr>
        <w:spacing w:after="0" w:line="140"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w:t>
      </w:r>
    </w:p>
    <w:p>
      <w:pPr>
        <w:spacing w:after="0" w:line="1" w:lineRule="exact"/>
        <w:rPr>
          <w:sz w:val="20"/>
          <w:szCs w:val="20"/>
          <w:color w:val="auto"/>
        </w:rPr>
      </w:pPr>
    </w:p>
    <w:p>
      <w:pPr>
        <w:ind w:right="520"/>
        <w:spacing w:after="0" w:line="231" w:lineRule="auto"/>
        <w:rPr>
          <w:sz w:val="20"/>
          <w:szCs w:val="20"/>
          <w:color w:val="auto"/>
        </w:rPr>
      </w:pPr>
      <w:r>
        <w:rPr>
          <w:rFonts w:ascii="Times New Roman" w:cs="Times New Roman" w:eastAsia="Times New Roman" w:hAnsi="Times New Roman"/>
          <w:sz w:val="14"/>
          <w:szCs w:val="14"/>
          <w:color w:val="auto"/>
        </w:rPr>
        <w:t>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w:t>
      </w:r>
    </w:p>
    <w:p>
      <w:pPr>
        <w:spacing w:after="0" w:line="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obligated to pay our Investment Adviser incentive compensation even if we incur a loss.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 Adviser is entitled to incentive compensation for each fiscal quarter in an amount equal to a percentage of the excess of our investment income for that quarter (before</w:t>
      </w:r>
    </w:p>
    <w:p>
      <w:pPr>
        <w:spacing w:after="0" w:line="17"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quarter. Thus, we may be required to pay the Investment Adviser incentive compensation for a fiscal quarter even if there is a decline in the value of our portfolio, NAV or we incur a net loss for</w:t>
      </w:r>
    </w:p>
    <w:p>
      <w:pPr>
        <w:spacing w:after="0" w:line="1"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14"/>
          <w:szCs w:val="14"/>
          <w:color w:val="auto"/>
        </w:rPr>
        <w:t>that quarter. In addition, increases in interest rates may increase the amount of incentive fees we pay to the Investment Adviser even though our performance relative to the market has not increased.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invest in derivatives or other assets that expose us to certain risks, including market risk, liquidity risk and other risks similar to those associated with the use of leverage.</w:t>
      </w:r>
    </w:p>
    <w:p>
      <w:pPr>
        <w:spacing w:after="0" w:line="208" w:lineRule="exact"/>
        <w:rPr>
          <w:sz w:val="20"/>
          <w:szCs w:val="20"/>
          <w:color w:val="auto"/>
        </w:rPr>
      </w:pPr>
    </w:p>
    <w:p>
      <w:pPr>
        <w:ind w:right="220" w:firstLine="449"/>
        <w:spacing w:after="0" w:line="243" w:lineRule="auto"/>
        <w:rPr>
          <w:sz w:val="20"/>
          <w:szCs w:val="20"/>
          <w:color w:val="auto"/>
        </w:rPr>
      </w:pPr>
      <w:r>
        <w:rPr>
          <w:rFonts w:ascii="Times New Roman" w:cs="Times New Roman" w:eastAsia="Times New Roman" w:hAnsi="Times New Roman"/>
          <w:sz w:val="14"/>
          <w:szCs w:val="14"/>
          <w:color w:val="auto"/>
        </w:rPr>
        <w:t>The Company may invest in derivatives and other assets that are subject to many of the same types of risks related to the use of leverage. In October 2020, the SEC adopted Rule 18f-4 under the 1940 Act regarding the ability of a BDC to use derivatives and other transactions that create future payment or delivery obligations. Under Rule 18f-4, BDCs that use derivatives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subject to a value-at-risk leverage limit, a derivatives risk management program and testing requirements and requirements related to board reporting. These requirements apply unless the BDC</w:t>
      </w:r>
    </w:p>
    <w:p>
      <w:pPr>
        <w:spacing w:after="0" w:line="1"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4"/>
          <w:szCs w:val="14"/>
          <w:color w:val="auto"/>
        </w:rPr>
        <w:t>qualifies as a “limited derivatives user,” as defined under Rule 18f-4. Under Rule 18f-4, a BDC may enter into an unfunded commitment agreement (which may include delayed draw and revolving loans) that will not be deemed to a derivatives transaction, such as an agreement to provide financing to a portfolio company, if the BDC has, among other things, a reasonable belief, at</w:t>
      </w:r>
    </w:p>
    <w:p>
      <w:pPr>
        <w:spacing w:after="0" w:line="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4"/>
          <w:szCs w:val="14"/>
          <w:color w:val="auto"/>
        </w:rPr>
        <w:t>the time it enters into such an agreement, that it will have sufficient cash and cash equivalents to meet its obligations with respect to all of its unfunded commitment agreements, in each case as it becomes due. Collectively, these requirements may limit the Company’s ability to use derivatives and/or enter into certain other financial contracts.</w:t>
      </w:r>
    </w:p>
    <w:p>
      <w:pPr>
        <w:spacing w:after="0" w:line="176" w:lineRule="exact"/>
        <w:rPr>
          <w:sz w:val="20"/>
          <w:szCs w:val="20"/>
          <w:color w:val="auto"/>
        </w:rPr>
      </w:pPr>
    </w:p>
    <w:p>
      <w:pPr>
        <w:ind w:right="20" w:firstLine="449"/>
        <w:spacing w:after="0" w:line="243" w:lineRule="auto"/>
        <w:rPr>
          <w:sz w:val="20"/>
          <w:szCs w:val="20"/>
          <w:color w:val="auto"/>
        </w:rPr>
      </w:pPr>
      <w:r>
        <w:rPr>
          <w:rFonts w:ascii="Times New Roman" w:cs="Times New Roman" w:eastAsia="Times New Roman" w:hAnsi="Times New Roman"/>
          <w:sz w:val="14"/>
          <w:szCs w:val="14"/>
          <w:color w:val="auto"/>
        </w:rPr>
        <w:t>The Company has adopted updated policies and procedures in compliance with Rule 18f-4. The Company expects to qualify as a “limited derivatives user.” Future legislation or rules may modify how the Company treats derivatives and other financial arrangements for purposes of the Company’s compliance with the leverage limitations of the 1940 Act. Future legislation or rules,</w:t>
      </w:r>
    </w:p>
    <w:p>
      <w:pPr>
        <w:spacing w:after="0" w:line="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may modify how leverage is calculated under the 1940 Act and, therefore, may increase or decrease the amount of leverage currently available to the Company under the 1940 Act, which may be materially adverse to the Company and the Company’s Investors.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AN INVESTMENT IN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obtain the approval of our stockholders to issue shares of our common stock at prices below the then current NAV per share of our common stock. If we receive such approval from</w:t>
      </w:r>
    </w:p>
    <w:p>
      <w:pPr>
        <w:spacing w:after="0" w:line="21"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4"/>
          <w:szCs w:val="14"/>
          <w:b w:val="1"/>
          <w:bCs w:val="1"/>
          <w:i w:val="1"/>
          <w:iCs w:val="1"/>
          <w:color w:val="auto"/>
        </w:rPr>
        <w:t>stockholders in the future, we may issue shares of our common stock at a price below the then current NAV per share of common stock. Any such issuance could materially dilute your interest in our common stock and reduce our NAV per share.</w:t>
      </w:r>
    </w:p>
    <w:p>
      <w:pPr>
        <w:spacing w:after="0" w:line="122" w:lineRule="exact"/>
        <w:rPr>
          <w:sz w:val="20"/>
          <w:szCs w:val="20"/>
          <w:color w:val="auto"/>
        </w:rPr>
      </w:pPr>
    </w:p>
    <w:p>
      <w:pPr>
        <w:ind w:right="160" w:firstLine="449"/>
        <w:spacing w:after="0" w:line="243" w:lineRule="auto"/>
        <w:rPr>
          <w:sz w:val="20"/>
          <w:szCs w:val="20"/>
          <w:color w:val="auto"/>
        </w:rPr>
      </w:pPr>
      <w:r>
        <w:rPr>
          <w:rFonts w:ascii="Times New Roman" w:cs="Times New Roman" w:eastAsia="Times New Roman" w:hAnsi="Times New Roman"/>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restrictions that, absent stockholder approval, apply to BDCs under the 1940 Act.</w:t>
      </w:r>
    </w:p>
    <w:p>
      <w:pPr>
        <w:spacing w:after="0" w:line="120" w:lineRule="exact"/>
        <w:rPr>
          <w:sz w:val="20"/>
          <w:szCs w:val="20"/>
          <w:color w:val="auto"/>
        </w:rPr>
      </w:pPr>
    </w:p>
    <w:p>
      <w:pPr>
        <w:ind w:right="80" w:firstLine="449"/>
        <w:spacing w:after="0" w:line="253" w:lineRule="auto"/>
        <w:rPr>
          <w:sz w:val="20"/>
          <w:szCs w:val="20"/>
          <w:color w:val="auto"/>
        </w:rPr>
      </w:pPr>
      <w:r>
        <w:rPr>
          <w:rFonts w:ascii="Times New Roman" w:cs="Times New Roman" w:eastAsia="Times New Roman" w:hAnsi="Times New Roman"/>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w:t>
      </w:r>
    </w:p>
    <w:p>
      <w:pPr>
        <w:spacing w:after="0" w:line="1"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4"/>
          <w:szCs w:val="14"/>
          <w:color w:val="auto"/>
        </w:rPr>
        <w:t>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97" w:lineRule="exact"/>
        <w:rPr>
          <w:sz w:val="20"/>
          <w:szCs w:val="20"/>
          <w:color w:val="auto"/>
        </w:rPr>
      </w:pPr>
    </w:p>
    <w:p>
      <w:pPr>
        <w:ind w:right="260" w:firstLine="449"/>
        <w:spacing w:after="0" w:line="243" w:lineRule="auto"/>
        <w:rPr>
          <w:sz w:val="20"/>
          <w:szCs w:val="20"/>
          <w:color w:val="auto"/>
        </w:rPr>
      </w:pPr>
      <w:r>
        <w:rPr>
          <w:rFonts w:ascii="Times New Roman" w:cs="Times New Roman" w:eastAsia="Times New Roman" w:hAnsi="Times New Roman"/>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previously received the consent of the majority of our common stockholders to do so and the board of directors decides such an offering is in the best interests of our common stockholders.</w:t>
      </w:r>
    </w:p>
    <w:p>
      <w:pPr>
        <w:spacing w:after="0" w:line="1"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as of a time within 48 hours (excluding Sundays and holidays) of the sale.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a risk that our stockholders may not receive distributions or that our distributions may not grow over time.</w:t>
      </w:r>
    </w:p>
    <w:p>
      <w:pPr>
        <w:spacing w:after="0" w:line="154" w:lineRule="exact"/>
        <w:rPr>
          <w:sz w:val="20"/>
          <w:szCs w:val="20"/>
          <w:color w:val="auto"/>
        </w:rPr>
      </w:pPr>
    </w:p>
    <w:p>
      <w:pPr>
        <w:ind w:right="100" w:firstLine="449"/>
        <w:spacing w:after="0" w:line="243" w:lineRule="auto"/>
        <w:rPr>
          <w:sz w:val="20"/>
          <w:szCs w:val="20"/>
          <w:color w:val="auto"/>
        </w:rPr>
      </w:pPr>
      <w:r>
        <w:rPr>
          <w:rFonts w:ascii="Times New Roman" w:cs="Times New Roman" w:eastAsia="Times New Roman" w:hAnsi="Times New Roman"/>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be limited in our ability to make distributions. Further, if more stockholders opt to receive cash distributions rather than participate in our dividend reinvestment plan, we may be forced to</w:t>
      </w:r>
    </w:p>
    <w:p>
      <w:pPr>
        <w:spacing w:after="0" w:line="1"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4"/>
          <w:szCs w:val="14"/>
          <w:color w:val="auto"/>
        </w:rPr>
        <w:t>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distributions may increase an investor’s tax liability for capital gains upon the future sale of our common stock.</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in our shares may involve an above average degree of risk.</w:t>
      </w:r>
    </w:p>
    <w:p>
      <w:pPr>
        <w:spacing w:after="0" w:line="154"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4"/>
          <w:szCs w:val="14"/>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securities may have an adverse effect on the market price of our securities.</w:t>
      </w:r>
    </w:p>
    <w:p>
      <w:pPr>
        <w:spacing w:after="0" w:line="154" w:lineRule="exact"/>
        <w:rPr>
          <w:sz w:val="20"/>
          <w:szCs w:val="20"/>
          <w:color w:val="auto"/>
        </w:rPr>
      </w:pPr>
    </w:p>
    <w:p>
      <w:pPr>
        <w:ind w:right="540" w:firstLine="449"/>
        <w:spacing w:after="0" w:line="282" w:lineRule="auto"/>
        <w:rPr>
          <w:sz w:val="20"/>
          <w:szCs w:val="20"/>
          <w:color w:val="auto"/>
        </w:rPr>
      </w:pPr>
      <w:r>
        <w:rPr>
          <w:rFonts w:ascii="Times New Roman" w:cs="Times New Roman" w:eastAsia="Times New Roman" w:hAnsi="Times New Roman"/>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allocate the net proceeds from any offering of our securities in ways with which you may not agree.</w:t>
      </w:r>
    </w:p>
    <w:p>
      <w:pPr>
        <w:spacing w:after="0" w:line="154"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shares may trade at discounts from NAV or at premiums that are unsustainable over the long term.</w:t>
      </w:r>
    </w:p>
    <w:p>
      <w:pPr>
        <w:spacing w:after="0" w:line="221"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4"/>
          <w:szCs w:val="14"/>
          <w:color w:val="auto"/>
        </w:rPr>
        <w:t>Shares of BDCs may trade at a market price that is less than the NAV that is attributable to those shares. Our shares have traded above and below our NAV. Our shares closed on The New York Stock Exchange at $5.46 and $6.49 on September 30, 2022 and 2021, respectively. Our NAV per share was $8.98 and $9.85, respectively,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fluctuate significantly.</w:t>
      </w:r>
    </w:p>
    <w:p>
      <w:pPr>
        <w:spacing w:after="0" w:line="154" w:lineRule="exact"/>
        <w:rPr>
          <w:sz w:val="20"/>
          <w:szCs w:val="20"/>
          <w:color w:val="auto"/>
        </w:rPr>
      </w:pPr>
    </w:p>
    <w:p>
      <w:pPr>
        <w:ind w:right="280" w:firstLine="449"/>
        <w:spacing w:after="0" w:line="302" w:lineRule="auto"/>
        <w:rPr>
          <w:sz w:val="20"/>
          <w:szCs w:val="20"/>
          <w:color w:val="auto"/>
        </w:rPr>
      </w:pPr>
      <w:r>
        <w:rPr>
          <w:rFonts w:ascii="Times New Roman" w:cs="Times New Roman" w:eastAsia="Times New Roman" w:hAnsi="Times New Roman"/>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960" w:right="20" w:hanging="383"/>
        <w:spacing w:after="0" w:line="302" w:lineRule="auto"/>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80"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policies or tax guidelines, particularly with respect to RICs, BDCs or SBICs;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loss of our BDC or RIC status or any loss of our subsidiaries’ SBIC licenses;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earnings or variations in operating results;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prevailing interest rates;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value of our portfolio of investments;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shortfall in revenue or net income or any increase in losses from levels expected by investors or securities analysts;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our Investment Adviser to employ additional experienced investment professionals or the departure of any of the Investment Adviser’s key personnel;</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performance of companies comparable to us;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national and international economic trends and other external factors;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price and volume fluctuations in the stock markets, including as a result of short sales;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features of subscription rights, warrants or convertible debt; and</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a major funding source.</w:t>
      </w:r>
    </w:p>
    <w:p>
      <w:pPr>
        <w:spacing w:after="0" w:line="136"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Since our initial listing on The Nasdaq Global Select Market to our voluntarily withdraw of the principal listing of common shares from the Nasdaq Stock Market LLC effective at market close on April 13, 2022 and subsequent listing and trading of the Company's common stock on the New York Stock Exchange, which commenced April 14, 2022, our shares of common stock have traded at a wide range of prices. We can offer no assurance that our shares of common stock will not display similar volatility in future periods.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invest the net proceeds raised from offerings on acceptable terms, which would harm our financial condition and operating results.</w:t>
      </w:r>
    </w:p>
    <w:p>
      <w:pPr>
        <w:spacing w:after="0" w:line="154"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Truist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SBA also limits an SBIC’s ability to invest idle funds to the following types of securities:</w:t>
      </w:r>
    </w:p>
    <w:p>
      <w:pPr>
        <w:spacing w:after="0" w:line="150" w:lineRule="exact"/>
        <w:rPr>
          <w:sz w:val="20"/>
          <w:szCs w:val="20"/>
          <w:color w:val="auto"/>
        </w:rPr>
      </w:pPr>
    </w:p>
    <w:p>
      <w:pPr>
        <w:ind w:left="960" w:hanging="383"/>
        <w:spacing w:after="0"/>
        <w:tabs>
          <w:tab w:leader="none" w:pos="9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or obligations guaranteed as to principal and interest by, the U.S. government, which mature within 15 months from the date of the investment;</w:t>
      </w:r>
    </w:p>
    <w:p>
      <w:pPr>
        <w:spacing w:after="0" w:line="149" w:lineRule="exact"/>
        <w:rPr>
          <w:rFonts w:ascii="Times New Roman" w:cs="Times New Roman" w:eastAsia="Times New Roman" w:hAnsi="Times New Roman"/>
          <w:sz w:val="14"/>
          <w:szCs w:val="14"/>
          <w:color w:val="auto"/>
        </w:rPr>
      </w:pPr>
    </w:p>
    <w:p>
      <w:pPr>
        <w:ind w:left="960" w:right="40" w:hanging="383"/>
        <w:spacing w:after="0" w:line="282" w:lineRule="auto"/>
        <w:tabs>
          <w:tab w:leader="none" w:pos="9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94"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funds, securities or other instruments that exclusively consist of, or represent pooled assets of, investments described in the first and second bulleted paragraphs above;</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33" w:name="page34"/>
    <w:bookmarkEnd w:id="33"/>
    <w:p>
      <w:pPr>
        <w:ind w:left="960" w:hanging="383"/>
        <w:spacing w:after="0"/>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of deposit with a maturity of one year or less, issued by a federally insured institution; or</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deposit account in a federally insured institution that is subject to a withdrawal restriction of one year or less.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checking account in a federally insured institution; or</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a reasonable petty cash fund.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You may have current tax liabilities on distributions you reinvest in our common stock.</w:t>
      </w:r>
    </w:p>
    <w:p>
      <w:pPr>
        <w:spacing w:after="0" w:line="154"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54"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4"/>
          <w:szCs w:val="14"/>
          <w:color w:val="auto"/>
        </w:rPr>
        <w:t>We may distribute our common stock as a dividend of our taxable income and a stockholder could receive a portion of the dividends declared and distributed by us in shares of our common stock with the remaining amount in cash. Revenue Procedures issued by the IRS allow a publicly offered regulated investment company (including a BDC) to distribute its own stock as a dividend for the purpose of fulfilling its distribution requirements, if certain conditions are satisfied. As long as a portion of such dividend is paid in cash (which portion may be as low as 20% of such dividend) and certain requirements are met, the entire distribution will be treated as a dividend for U.S. federal income tax purposes. As a result,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of the Maryland General Corporation Law and of our charter and bylaws could deter takeover attempts and have an adverse impact on the price of our common stock.</w:t>
      </w:r>
    </w:p>
    <w:p>
      <w:pPr>
        <w:spacing w:after="0" w:line="154" w:lineRule="exact"/>
        <w:rPr>
          <w:sz w:val="20"/>
          <w:szCs w:val="20"/>
          <w:color w:val="auto"/>
        </w:rPr>
      </w:pPr>
    </w:p>
    <w:p>
      <w:pPr>
        <w:ind w:right="80" w:firstLine="449"/>
        <w:spacing w:after="0" w:line="256" w:lineRule="auto"/>
        <w:rPr>
          <w:sz w:val="20"/>
          <w:szCs w:val="20"/>
          <w:color w:val="auto"/>
        </w:rPr>
      </w:pPr>
      <w:r>
        <w:rPr>
          <w:rFonts w:ascii="Times New Roman" w:cs="Times New Roman" w:eastAsia="Times New Roman" w:hAnsi="Times New Roman"/>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1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13" w:lineRule="exact"/>
        <w:rPr>
          <w:sz w:val="20"/>
          <w:szCs w:val="20"/>
          <w:color w:val="auto"/>
        </w:rPr>
      </w:pPr>
    </w:p>
    <w:p>
      <w:pPr>
        <w:ind w:right="460" w:firstLine="449"/>
        <w:spacing w:after="0" w:line="282" w:lineRule="auto"/>
        <w:rPr>
          <w:sz w:val="20"/>
          <w:szCs w:val="20"/>
          <w:color w:val="auto"/>
        </w:rPr>
      </w:pPr>
      <w:r>
        <w:rPr>
          <w:rFonts w:ascii="Times New Roman" w:cs="Times New Roman" w:eastAsia="Times New Roman" w:hAnsi="Times New Roman"/>
          <w:sz w:val="14"/>
          <w:szCs w:val="14"/>
          <w:color w:val="auto"/>
        </w:rPr>
        <w:t>These anti-takeover provisions may inhibit a change of control in circumstances that could give our stockholders the opportunity to realize a premium over the market price for our common stock.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AN INVESTMENT IN OUR DEBT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2026 Notes and the 2026 Notes-2 are unsecured and therefore are effectively subordinated to any secured indebtedness we have currently incurred or may incur in the future.</w:t>
      </w:r>
    </w:p>
    <w:p>
      <w:pPr>
        <w:spacing w:after="0" w:line="15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The 2026 Notes and the 2026-2 Notes are not secured by any of our assets or any of the assets of our subsidiaries. As a result, the 2026 Notes and the 2026-2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2026 Notes and the 2026-2 Notes. As of September 30, 2022, we had $385.9 million in outstanding borrowings under the Truist Credit Facility. The Truist Credit Facility is secured by substantially all of our assets excluding assets held by SBIC II. The indebtedness under the Truist Credit Facility is therefore effectively senior in right of payment to our 2026 Notes and our 2026-2 Notes to the extent of the value of such assets.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2026 Notes and the 2026-2 Notes are structurally subordinated to the indebtedness and other liabilities of our subsidiaries.</w:t>
      </w:r>
    </w:p>
    <w:p>
      <w:pPr>
        <w:spacing w:after="0" w:line="154"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4"/>
          <w:szCs w:val="14"/>
          <w:color w:val="auto"/>
        </w:rPr>
        <w:t>The 2026 Notes and the 2026-2 Notes are obligations exclusively of PennantPark Investment Corporation and not of any of our subsidiaries. None of our subsidiaries is or acts as a guarantor of the 2026 Notes or the 2026-2 Notes and the 2026 Notes and the 2026-2 Notes are not required to be guaranteed by any subsidiaries we may acquire or create in the future. Our secured indebtedness with respect to the SBA debentures is held through SBIC II. The assets of any such subsidiaries are not directly available to satisfy the claims of our creditors, including holders of our 2026 Notes and our 2026-2 Notes.</w:t>
      </w:r>
    </w:p>
    <w:p>
      <w:pPr>
        <w:spacing w:after="0" w:line="164" w:lineRule="exact"/>
        <w:rPr>
          <w:sz w:val="20"/>
          <w:szCs w:val="20"/>
          <w:color w:val="auto"/>
        </w:rPr>
      </w:pPr>
    </w:p>
    <w:p>
      <w:pPr>
        <w:ind w:right="220" w:firstLine="449"/>
        <w:spacing w:after="0" w:line="254" w:lineRule="auto"/>
        <w:rPr>
          <w:sz w:val="20"/>
          <w:szCs w:val="20"/>
          <w:color w:val="auto"/>
        </w:rPr>
      </w:pPr>
      <w:r>
        <w:rPr>
          <w:rFonts w:ascii="Times New Roman" w:cs="Times New Roman" w:eastAsia="Times New Roman" w:hAnsi="Times New Roman"/>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2026 Notes and the 2026 Notes-2)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2026 Notes and the 2026 Notes-2 are structurally subordinated to all indebtedness and other liabilities (including trade payables) of our subsidiaries and any subsidiaries that we may in the future acquire or establish as financing vehicles or otherwise. As of September 30, 2022 and 2021, our SBIC Fund had $20.0 million and $63.5 million in debt commitments, respectively. All of such indebtedness is structurally senior to the 2026 Notes and the 2026 Notes-2. In addition, our subsidiaries may incur substantial additional indebtedness in the future, all of which would be structurally senior to the 2026 Notes and the 2026 Notes-2.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The indenture under which each of the 2026 Notes and the 2026-2 Notes were issued contains limited protection for their respective holders.</w:t>
      </w:r>
    </w:p>
    <w:p>
      <w:pPr>
        <w:spacing w:after="0" w:line="221" w:lineRule="exact"/>
        <w:rPr>
          <w:sz w:val="20"/>
          <w:szCs w:val="20"/>
          <w:color w:val="auto"/>
        </w:rPr>
      </w:pPr>
    </w:p>
    <w:p>
      <w:pPr>
        <w:ind w:right="120" w:firstLine="449"/>
        <w:spacing w:after="0" w:line="255" w:lineRule="auto"/>
        <w:rPr>
          <w:sz w:val="20"/>
          <w:szCs w:val="20"/>
          <w:color w:val="auto"/>
        </w:rPr>
      </w:pPr>
      <w:r>
        <w:rPr>
          <w:rFonts w:ascii="Times New Roman" w:cs="Times New Roman" w:eastAsia="Times New Roman" w:hAnsi="Times New Roman"/>
          <w:sz w:val="14"/>
          <w:szCs w:val="14"/>
          <w:color w:val="auto"/>
        </w:rPr>
        <w:t>The indenture under which each of the 2026 Notes and the 2026 Notes-2 were issued offers limited protection to holders. The terms of the indenture and each of the 2026 Notes and the 2026 Notes-2 do not restrict our or any of our subsidiaries’ ability to engage in, or otherwise be a party to, a variety of corporate transactions, circumstances or events that could have an adverse impact on each holder’s investment in the 2026 Notes and the 2026 Notes-2. In particular, the terms of the indenture and each of the 2026 Notes and the 2026 Notes-2 will not place any restrictions on our or our subsidiaries’ ability to:</w:t>
      </w:r>
    </w:p>
    <w:p>
      <w:pPr>
        <w:spacing w:after="0" w:line="112" w:lineRule="exact"/>
        <w:rPr>
          <w:sz w:val="20"/>
          <w:szCs w:val="20"/>
          <w:color w:val="auto"/>
        </w:rPr>
      </w:pPr>
    </w:p>
    <w:p>
      <w:pPr>
        <w:ind w:left="1000" w:right="60" w:hanging="379"/>
        <w:spacing w:after="0" w:line="253" w:lineRule="auto"/>
        <w:tabs>
          <w:tab w:leader="none" w:pos="100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securities or otherwise incur additional indebtedness or other obligations, including (1) any indebtedness or other obligations that would be equal in right of payment to each of the 2026 Notes and the 2026 Notes-2, (2) any indebtedness or other obligations that would be secured and therefore rank effectively senior in right of payment to each of the 2026 Notes and the 2026 Notes-2 to the extent of the values of the assets securing such debt, (3) indebtedness of ours that is guaranteed by one or more of our subsidiaries and which therefore would rank structurally senior to each of the 2026 Notes and the 2026 Notes-2 and (4) securities, indebtedness or other obligations issued or incurred by our subsidiaries that would be senior in right of payment to our equity interests in our subsidiaries and therefore would rank structurally senior in right of payment to each of the 2026 Notes and the 2026 Notes-2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113" w:lineRule="exact"/>
        <w:rPr>
          <w:rFonts w:ascii="Times New Roman" w:cs="Times New Roman" w:eastAsia="Times New Roman" w:hAnsi="Times New Roman"/>
          <w:sz w:val="14"/>
          <w:szCs w:val="14"/>
          <w:color w:val="auto"/>
        </w:rPr>
      </w:pPr>
    </w:p>
    <w:p>
      <w:pPr>
        <w:ind w:left="1000" w:right="140" w:hanging="379"/>
        <w:spacing w:after="0" w:line="282" w:lineRule="auto"/>
        <w:tabs>
          <w:tab w:leader="none" w:pos="100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purchase or redeem or make any payments in respect of, capital stock or other securities ranking junior in right of payment to the 2026 Notes and the 2026 Notes-2;</w:t>
      </w:r>
    </w:p>
    <w:p>
      <w:pPr>
        <w:spacing w:after="0" w:line="94"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assets (other than certain limited restrictions on our ability to consolidate, merge or sell all or substantially all of our assets);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(including liens on the shares of our subsidiaries) or enter into sale and leaseback transactions;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restrictions on the payment of dividends or other amounts to us from our subsidiaries.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addition, the indenture will not require us to offer to purchase the Notes in connection with a change of control or any other event.</w:t>
      </w:r>
    </w:p>
    <w:p>
      <w:pPr>
        <w:spacing w:after="0" w:line="204" w:lineRule="exact"/>
        <w:rPr>
          <w:sz w:val="20"/>
          <w:szCs w:val="20"/>
          <w:color w:val="auto"/>
        </w:rPr>
      </w:pPr>
    </w:p>
    <w:p>
      <w:pPr>
        <w:ind w:right="180" w:firstLine="449"/>
        <w:spacing w:after="0" w:line="271" w:lineRule="auto"/>
        <w:rPr>
          <w:sz w:val="20"/>
          <w:szCs w:val="20"/>
          <w:color w:val="auto"/>
        </w:rPr>
      </w:pPr>
      <w:r>
        <w:rPr>
          <w:rFonts w:ascii="Times New Roman" w:cs="Times New Roman" w:eastAsia="Times New Roman" w:hAnsi="Times New Roman"/>
          <w:sz w:val="14"/>
          <w:szCs w:val="14"/>
          <w:color w:val="auto"/>
        </w:rPr>
        <w:t>Furthermore, the terms of the indenture and each of the 2026 Notes and the 2026 Notes-2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57"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4"/>
          <w:szCs w:val="14"/>
          <w:color w:val="auto"/>
        </w:rPr>
        <w:t>Our ability to recapitalize, incur additional debt and take a number of other actions that are not limited by the terms of the 2026 Notes and the 2026 Notes-2 may have important consequences for their holders, including making it more difficult for us to satisfy our obligations with respect to the 2026 Notes and the 2026 Notes-2 or negatively affecting their trading value.</w:t>
      </w:r>
    </w:p>
    <w:p>
      <w:pPr>
        <w:spacing w:after="0" w:line="162" w:lineRule="exact"/>
        <w:rPr>
          <w:sz w:val="20"/>
          <w:szCs w:val="20"/>
          <w:color w:val="auto"/>
        </w:rPr>
      </w:pPr>
    </w:p>
    <w:p>
      <w:pPr>
        <w:jc w:val="both"/>
        <w:ind w:right="120" w:firstLine="449"/>
        <w:spacing w:after="0" w:line="261" w:lineRule="auto"/>
        <w:rPr>
          <w:sz w:val="20"/>
          <w:szCs w:val="20"/>
          <w:color w:val="auto"/>
        </w:rPr>
      </w:pPr>
      <w:r>
        <w:rPr>
          <w:rFonts w:ascii="Times New Roman" w:cs="Times New Roman" w:eastAsia="Times New Roman" w:hAnsi="Times New Roman"/>
          <w:sz w:val="14"/>
          <w:szCs w:val="14"/>
          <w:color w:val="auto"/>
        </w:rPr>
        <w:t>Certain of our current debt instruments include more protections for their respective holders than the indenture and each of the 2026 Notes and the 2026 Notes-2. In addition, other debt we issue or incur in the future could contain more protections for its holders than the indenture and each of the 2026 Notes, including additional covenants and events of default. The issuance or incurrence of any such debt with incremental protections could affect the market for and trading levels and prices of the 2026 Notes and the 2026 Notes-2, if 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optional redemption provision may materially adversely affect your return on the 2026 Notes and the 2026 Notes-2.</w:t>
      </w:r>
    </w:p>
    <w:p>
      <w:pPr>
        <w:spacing w:after="0" w:line="221" w:lineRule="exact"/>
        <w:rPr>
          <w:sz w:val="20"/>
          <w:szCs w:val="20"/>
          <w:color w:val="auto"/>
        </w:rPr>
      </w:pPr>
    </w:p>
    <w:p>
      <w:pPr>
        <w:ind w:right="320" w:firstLine="449"/>
        <w:spacing w:after="0" w:line="261" w:lineRule="auto"/>
        <w:rPr>
          <w:sz w:val="20"/>
          <w:szCs w:val="20"/>
          <w:color w:val="auto"/>
        </w:rPr>
      </w:pPr>
      <w:r>
        <w:rPr>
          <w:rFonts w:ascii="Times New Roman" w:cs="Times New Roman" w:eastAsia="Times New Roman" w:hAnsi="Times New Roman"/>
          <w:sz w:val="14"/>
          <w:szCs w:val="14"/>
          <w:color w:val="auto"/>
        </w:rPr>
        <w:t>The 2026 Notes and the 2026 Notes-2 may be redeemable in whole or in part upon certain conditions at any time, or from time to time, at our option on or after October 15, 2026 or February 1, 2026, respectively. We may choose to redeem the 2026 Notes or the 2026 Notes-2 at times when prevailing interest rates are lower than the interest rate paid on the Notes. In this circumstance, you may not be able to reinvest the redemption proceeds in a comparable security at an effective interest rate as high as the 2026 Notes or the 2026 Notes-2 being redeemed.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no active trading market for the Notes. If an active trading market does not develop for the Notes, you may not be able to sell them.</w:t>
      </w:r>
    </w:p>
    <w:p>
      <w:pPr>
        <w:spacing w:after="0" w:line="208"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4"/>
          <w:szCs w:val="14"/>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including the impact of COVID-19,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default on our obligations to pay our other indebtedness, we may not be able to make payments on the 2026 Notes or the 2026 Notes-2.</w:t>
      </w:r>
    </w:p>
    <w:p>
      <w:pPr>
        <w:spacing w:after="0" w:line="221" w:lineRule="exact"/>
        <w:rPr>
          <w:sz w:val="20"/>
          <w:szCs w:val="20"/>
          <w:color w:val="auto"/>
        </w:rPr>
      </w:pPr>
    </w:p>
    <w:p>
      <w:pPr>
        <w:ind w:firstLine="449"/>
        <w:spacing w:after="0" w:line="250" w:lineRule="auto"/>
        <w:rPr>
          <w:sz w:val="20"/>
          <w:szCs w:val="20"/>
          <w:color w:val="auto"/>
        </w:rPr>
      </w:pPr>
      <w:r>
        <w:rPr>
          <w:rFonts w:ascii="Times New Roman" w:cs="Times New Roman" w:eastAsia="Times New Roman" w:hAnsi="Times New Roman"/>
          <w:sz w:val="14"/>
          <w:szCs w:val="14"/>
          <w:color w:val="auto"/>
        </w:rPr>
        <w:t>Any default under the agreements governing our indebtedness, including a default under our Truist Credit Facility or under other indebtedness to which we may be a party that is not waived by the required lenders or holders, and the remedies sought by the holders of such indebtedness could make us unable to pay principal, premium, if any, and interest on the 2026 Notes or the 2026 Notes-2 and substantially decrease the market value of such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Truist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Truist Credit Facility or other debt that we may incur in the future to avoid being in default. If we breach our covenants under our Truist Credit Facility or other debt and seek a waiver, we may not be able to obtain a waiver from the required lenders or holders. If this occurs, we would be in default and our lenders or debt holders could exercise their rights as described above, and we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35" w:name="page36"/>
    <w:bookmarkEnd w:id="35"/>
    <w:p>
      <w:pPr>
        <w:ind w:right="60"/>
        <w:spacing w:after="0" w:line="271" w:lineRule="auto"/>
        <w:rPr>
          <w:sz w:val="20"/>
          <w:szCs w:val="20"/>
          <w:color w:val="auto"/>
        </w:rPr>
      </w:pPr>
      <w:r>
        <w:rPr>
          <w:rFonts w:ascii="Times New Roman" w:cs="Times New Roman" w:eastAsia="Times New Roman" w:hAnsi="Times New Roman"/>
          <w:sz w:val="14"/>
          <w:szCs w:val="14"/>
          <w:color w:val="auto"/>
        </w:rPr>
        <w:t>could be forced into bankruptcy or liquidation. If we are unable to repay debt, lenders having secured obligations, including the lenders under our Truist Credit Facility, could proceed against the collateral securing the debt. Because our Truist Credit Facility have, and any future debt will likely have, customary cross-default provisions, if the indebtedness thereunder or under any future credit facility is accelerated, we may be unable to repay or finance the amounts due.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FATCA withholding may apply to payments to certain foreign entities.</w:t>
      </w:r>
    </w:p>
    <w:p>
      <w:pPr>
        <w:spacing w:after="0" w:line="208"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4"/>
          <w:szCs w:val="14"/>
          <w:color w:val="auto"/>
        </w:rPr>
        <w:t>Payments made under the 2026 Notes or the 2026 Notes-2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2026 Notes or the 2026 Notes-2 as well as scheduled payments of principal, early redemption, or sale of the 2026 Notes or the 2026 Notes-2,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Proposed Treasury Regulations, if finalized in their present form, would eliminate the application of this 30% U.S. withholding tax in respect of payments of certain gross proceeds. Pursuant to these proposed Treasury Regulations, we and any other applicable withholding agent may (but are not required to) rely on this proposed change to FATCA withholding until final regulations are issued or until such proposed Treasury Regulations are rescinded. Holders of the 2026 Notes and the 2026 Notes-2 should consult their own tax advisors regarding FATCA and how it may affect their investment in the notes.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215"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4"/>
          <w:szCs w:val="14"/>
          <w:b w:val="1"/>
          <w:bCs w:val="1"/>
          <w:i w:val="1"/>
          <w:iCs w:val="1"/>
          <w:color w:val="auto"/>
        </w:rPr>
        <w:t>The ongoing invasion of Ukraine by Russia and related sanctions have increased global political and economic uncertainty, which may have a material impact on the Company's portfolio and the value of an investment in the Company.</w:t>
      </w:r>
    </w:p>
    <w:p>
      <w:pPr>
        <w:spacing w:after="0" w:line="158"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4"/>
          <w:szCs w:val="14"/>
          <w:color w:val="auto"/>
        </w:rPr>
        <w:t>The ongoing invasion of Ukraine by Russia and related sanctions have increased global political and economic uncertainty. In February 2022, Russia invaded Ukraine and, in response, the United States and many other countries placed economic sanctions on certain Russian entities and individuals. Because Russia is a major exporter of oil and natural gas, the invasion and related sanctions have reduced the supply, and increased the price, of energy, which is accelerating inflation and may exacerbate ongoing supply chain issues. There is also the risk of retaliatory actions by Russia against countries which have enacted sanctions, including cyberattacks against financial and governmental institutions, which could result in business disruptions and further economic turbulence. Although the Company has no direct exposure to Russia or Ukraine, the broader consequences of the invasion may have a material adverse impact on the Company's portfolio and the value of an investment in the Company. Because this is an uncertain and evolving situation, its full impact is unknown at this time.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may adversely affect the business, results of operations and financial condition of our portfolio companies.</w:t>
      </w:r>
    </w:p>
    <w:p>
      <w:pPr>
        <w:spacing w:after="0" w:line="221"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Certain of our portfolio companies are in industries that may be impacted by inflation. If such portfolio companies are unable to pass any increases in their costs of operations along to their customers, it could adversely affect their operating results and impact their ability to pay interest and principal on our loans, particularly if interest rates rise in response to inflation. In addition, any projected future decreases in our portfolio companies’ operating results due to inflation could adversely impact the fair value of those investments. Any decreases in the fair value of our investments could result in future realized or unrealized losses and therefore reduce our net assets resulting from operations.</w:t>
      </w:r>
    </w:p>
    <w:p>
      <w:pPr>
        <w:spacing w:after="0" w:line="16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Global capital markets could enter a period of severe disruption and instability due to future recessions, disease pandemics and other serious health events, political instability, geopolitical turmoil and foreign hostilities.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155" w:lineRule="exact"/>
        <w:rPr>
          <w:sz w:val="20"/>
          <w:szCs w:val="20"/>
          <w:color w:val="auto"/>
        </w:rPr>
      </w:pPr>
    </w:p>
    <w:p>
      <w:pPr>
        <w:ind w:firstLine="469"/>
        <w:spacing w:after="0" w:line="251" w:lineRule="auto"/>
        <w:rPr>
          <w:sz w:val="20"/>
          <w:szCs w:val="20"/>
          <w:color w:val="auto"/>
        </w:rPr>
      </w:pPr>
      <w:r>
        <w:rPr>
          <w:rFonts w:ascii="Times New Roman" w:cs="Times New Roman" w:eastAsia="Times New Roman" w:hAnsi="Times New Roman"/>
          <w:sz w:val="14"/>
          <w:szCs w:val="14"/>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United Kingdom’s Withdrawal from the European Union.</w:t>
      </w:r>
    </w:p>
    <w:p>
      <w:pPr>
        <w:spacing w:after="0" w:line="208" w:lineRule="exact"/>
        <w:rPr>
          <w:sz w:val="20"/>
          <w:szCs w:val="20"/>
          <w:color w:val="auto"/>
        </w:rPr>
      </w:pPr>
    </w:p>
    <w:p>
      <w:pPr>
        <w:ind w:right="100" w:firstLine="449"/>
        <w:spacing w:after="0" w:line="302" w:lineRule="auto"/>
        <w:rPr>
          <w:sz w:val="20"/>
          <w:szCs w:val="20"/>
          <w:color w:val="auto"/>
        </w:rPr>
      </w:pPr>
      <w:r>
        <w:rPr>
          <w:rFonts w:ascii="Times New Roman" w:cs="Times New Roman" w:eastAsia="Times New Roman" w:hAnsi="Times New Roman"/>
          <w:sz w:val="14"/>
          <w:szCs w:val="14"/>
          <w:color w:val="auto"/>
        </w:rPr>
        <w:t>The U.K. ceased to be a member of the EU with effect from January 31, 2020 (such departure from the EU, “Brexit”). On December 24, 2020, a trade agreement was concluded between the EU and the U. K. (the “TCA”), which formally took effect on May 1, 2021, and now governs the relationship between the U.K. and EU.</w:t>
      </w:r>
    </w:p>
    <w:p>
      <w:pPr>
        <w:spacing w:after="0" w:line="135" w:lineRule="exact"/>
        <w:rPr>
          <w:sz w:val="20"/>
          <w:szCs w:val="20"/>
          <w:color w:val="auto"/>
        </w:rPr>
      </w:pPr>
    </w:p>
    <w:p>
      <w:pPr>
        <w:ind w:right="100" w:firstLine="449"/>
        <w:spacing w:after="0" w:line="302" w:lineRule="auto"/>
        <w:rPr>
          <w:sz w:val="20"/>
          <w:szCs w:val="20"/>
          <w:color w:val="auto"/>
        </w:rPr>
      </w:pPr>
      <w:r>
        <w:rPr>
          <w:rFonts w:ascii="Times New Roman" w:cs="Times New Roman" w:eastAsia="Times New Roman" w:hAnsi="Times New Roman"/>
          <w:sz w:val="14"/>
          <w:szCs w:val="14"/>
          <w:color w:val="auto"/>
        </w:rPr>
        <w:t>Although the TCA covers many issues, it is silent on items such as financial services equivalence. As such, there remains uncertainty as to the scope, nature and terms of the relationship between the U.K. and the EU and the effect and implications of the TCA.</w:t>
      </w:r>
    </w:p>
    <w:p>
      <w:pPr>
        <w:spacing w:after="0" w:line="135"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The actual and potential consequences of Brexit, and the associated uncertainty, have adversely affected, and for the foreseeable future may adversely affect, economic and market conditions in the U.K., in the EU and its member states and elsewhere, and may also contribute to uncertainty and instability in global financial markets, which could adversely affect our business, financial results and results of operations and those of our portfolio companies. There may be detrimental implications for the value of the Company’s investments. This may be due to, among other things: (i) increased uncertainty and volatility in U.K., EU and other financial markets; (ii) fluctuations in asset values; (iii) fluctuations in exchange rates; (iv) increased illiquidity of investments located, listed or traded within the U.K., the EU or elsewhere; (v) changes in the willingness or ability of financial and other counterparties to enter into transactions, or the price at which and terms on which they are prepared to transact; and/or (vi) changes in legal and regulatory regimes to which the Company or certain of the Company’s assets and/or service providers are or become subject.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COVID-19 pandemic resulted in a period of capital markets disruption and economic uncertainty.</w:t>
      </w:r>
    </w:p>
    <w:p>
      <w:pPr>
        <w:spacing w:after="0" w:line="221" w:lineRule="exact"/>
        <w:rPr>
          <w:sz w:val="20"/>
          <w:szCs w:val="20"/>
          <w:color w:val="auto"/>
        </w:rPr>
      </w:pPr>
    </w:p>
    <w:p>
      <w:pPr>
        <w:ind w:firstLine="469"/>
        <w:spacing w:after="0" w:line="256" w:lineRule="auto"/>
        <w:rPr>
          <w:sz w:val="20"/>
          <w:szCs w:val="20"/>
          <w:color w:val="auto"/>
        </w:rPr>
      </w:pPr>
      <w:r>
        <w:rPr>
          <w:rFonts w:ascii="Times New Roman" w:cs="Times New Roman" w:eastAsia="Times New Roman" w:hAnsi="Times New Roman"/>
          <w:sz w:val="14"/>
          <w:szCs w:val="14"/>
          <w:color w:val="auto"/>
        </w:rPr>
        <w:t>The U.S. capital markets experienced extreme volatility and disruption following the global outbreak of COVID-19. Some economists and major investment banks have expressed concern that the continued spread of the virus globally could lead to a prolonged period of world-wide economic downturn. Disruptions in the capital markets have in the past increased the spread between the yields realized on risk-free and higher risk securities, resulting in illiquidity in parts of the capital markets. Such disruptions adversely affected our business, financial condition, results of operations and cash flows, and future market disruptions and/or illiquidity may again negatively impact us. Such unfavorable economic conditions could also increase our funding costs and limit our access to the capital markets, and may result in a decision by lenders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6" w:name="page37"/>
    <w:bookmarkEnd w:id="36"/>
    <w:p>
      <w:pPr>
        <w:jc w:val="both"/>
        <w:ind w:right="220"/>
        <w:spacing w:after="0" w:line="271" w:lineRule="auto"/>
        <w:rPr>
          <w:sz w:val="20"/>
          <w:szCs w:val="20"/>
          <w:color w:val="auto"/>
        </w:rPr>
      </w:pPr>
      <w:r>
        <w:rPr>
          <w:rFonts w:ascii="Times New Roman" w:cs="Times New Roman" w:eastAsia="Times New Roman" w:hAnsi="Times New Roman"/>
          <w:sz w:val="14"/>
          <w:szCs w:val="14"/>
          <w:color w:val="auto"/>
        </w:rPr>
        <w:t>not to extend credit to us in the future. These events could limit our investment originations, limit our ability to grow and negatively impact our operating results and the fair values of our debt and equity investments. As such, we could also face an increased risk of investor, creditor or portfolio company disputes, litigation and governmental and regulatory scrutiny as a result of the effects of COVID-19 on economic and market conditions.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or a prolonged disruption in the credit markets could materially damage our business.</w:t>
      </w:r>
    </w:p>
    <w:p>
      <w:pPr>
        <w:spacing w:after="0" w:line="154" w:lineRule="exact"/>
        <w:rPr>
          <w:sz w:val="20"/>
          <w:szCs w:val="20"/>
          <w:color w:val="auto"/>
        </w:rPr>
      </w:pPr>
    </w:p>
    <w:p>
      <w:pPr>
        <w:ind w:right="60" w:firstLine="449"/>
        <w:spacing w:after="0" w:line="250" w:lineRule="auto"/>
        <w:rPr>
          <w:sz w:val="20"/>
          <w:szCs w:val="20"/>
          <w:color w:val="auto"/>
        </w:rPr>
      </w:pPr>
      <w:r>
        <w:rPr>
          <w:rFonts w:ascii="Times New Roman" w:cs="Times New Roman" w:eastAsia="Times New Roman" w:hAnsi="Times New Roman"/>
          <w:sz w:val="14"/>
          <w:szCs w:val="14"/>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Truist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6"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333" w:lineRule="exact"/>
        <w:rPr>
          <w:sz w:val="20"/>
          <w:szCs w:val="20"/>
          <w:color w:val="auto"/>
        </w:rPr>
      </w:pPr>
    </w:p>
    <w:p>
      <w:pPr>
        <w:ind w:right="6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Any public health emergency, including the COVID-19 pandemic or any outbreak of other existing or new diseases, and the resulting financial and economic market uncertainty could have a significant adverse impact on us.</w:t>
      </w:r>
    </w:p>
    <w:p>
      <w:pPr>
        <w:spacing w:after="0" w:line="131" w:lineRule="exact"/>
        <w:rPr>
          <w:sz w:val="20"/>
          <w:szCs w:val="20"/>
          <w:color w:val="auto"/>
        </w:rPr>
      </w:pPr>
    </w:p>
    <w:p>
      <w:pPr>
        <w:ind w:right="20" w:firstLine="469"/>
        <w:spacing w:after="0" w:line="251" w:lineRule="auto"/>
        <w:rPr>
          <w:sz w:val="20"/>
          <w:szCs w:val="20"/>
          <w:color w:val="auto"/>
        </w:rPr>
      </w:pPr>
      <w:r>
        <w:rPr>
          <w:rFonts w:ascii="Times New Roman" w:cs="Times New Roman" w:eastAsia="Times New Roman" w:hAnsi="Times New Roman"/>
          <w:sz w:val="14"/>
          <w:szCs w:val="14"/>
          <w:color w:val="auto"/>
        </w:rPr>
        <w:t>The extent of the impact of any public health emergency, including the COVID-19 pandemic, on our and our portfolio companies’ operational and financial performance will depend on many factors, including the duration and scope of such public health emergency, the actions taken by governmental authorities to contain its financial and economic impact, the extent of any related travel advisories and restrictions implemented, the impact of such public health emergency on overall supply and demand, investor liquidity and levels of economic activity and the extent of its disruption to important global, regional and local supply chains and economic markets, all of which are highly uncertain and cannot be predicted. In addition, our and our portfolio companies’ operations may be significantly impacted, or halted, as a result of government quarantine measures, restrictions on travel and other factors related to a public health emergency, including its potential adverse impact on the health of any of our or our portfolio companies’ personnel. This could create widespread business continuity issues for us and our portfolio companies. These factors may also cause the valuation of our investments to differ materially from the values that we may ultimately realize. Any public health emergency, including the COVID-19 pandemic or any outbreak of other existing or new epidemic diseases, or the threat thereof, and the resulting financial and economic market uncertainty could have a significant adverse impact on us and the fair value of our investments and our portfolio companies.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sanction laws in the United States and other jurisdictions may prohibit us and our affiliates from transacting with certain countries, individuals and companies.</w:t>
      </w:r>
    </w:p>
    <w:p>
      <w:pPr>
        <w:spacing w:after="0" w:line="154" w:lineRule="exact"/>
        <w:rPr>
          <w:sz w:val="20"/>
          <w:szCs w:val="20"/>
          <w:color w:val="auto"/>
        </w:rPr>
      </w:pPr>
    </w:p>
    <w:p>
      <w:pPr>
        <w:ind w:right="60" w:firstLine="449"/>
        <w:spacing w:after="0" w:line="256" w:lineRule="auto"/>
        <w:rPr>
          <w:sz w:val="20"/>
          <w:szCs w:val="20"/>
          <w:color w:val="auto"/>
        </w:rPr>
      </w:pPr>
      <w:r>
        <w:rPr>
          <w:rFonts w:ascii="Times New Roman" w:cs="Times New Roman" w:eastAsia="Times New Roman" w:hAnsi="Times New Roman"/>
          <w:sz w:val="14"/>
          <w:szCs w:val="14"/>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13"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the target of litigation.</w:t>
      </w:r>
    </w:p>
    <w:p>
      <w:pPr>
        <w:spacing w:after="0" w:line="154" w:lineRule="exact"/>
        <w:rPr>
          <w:sz w:val="20"/>
          <w:szCs w:val="20"/>
          <w:color w:val="auto"/>
        </w:rPr>
      </w:pPr>
    </w:p>
    <w:p>
      <w:pPr>
        <w:ind w:right="60" w:firstLine="449"/>
        <w:spacing w:after="0" w:line="271" w:lineRule="auto"/>
        <w:rPr>
          <w:sz w:val="20"/>
          <w:szCs w:val="20"/>
          <w:color w:val="auto"/>
        </w:rPr>
      </w:pPr>
      <w:r>
        <w:rPr>
          <w:rFonts w:ascii="Times New Roman" w:cs="Times New Roman" w:eastAsia="Times New Roman" w:hAnsi="Times New Roman"/>
          <w:sz w:val="14"/>
          <w:szCs w:val="14"/>
          <w:color w:val="auto"/>
        </w:rPr>
        <w:t>We may be the target of securities litigation in the future, particularly if the trading price of our common stock, our 2026 Notes or our 2026-2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effect of global climate change may impact the operations of our portfolio companies.</w:t>
      </w:r>
    </w:p>
    <w:p>
      <w:pPr>
        <w:spacing w:after="0" w:line="154" w:lineRule="exact"/>
        <w:rPr>
          <w:sz w:val="20"/>
          <w:szCs w:val="20"/>
          <w:color w:val="auto"/>
        </w:rPr>
      </w:pPr>
    </w:p>
    <w:p>
      <w:pPr>
        <w:ind w:right="60" w:firstLine="449"/>
        <w:spacing w:after="0" w:line="254" w:lineRule="auto"/>
        <w:rPr>
          <w:sz w:val="20"/>
          <w:szCs w:val="20"/>
          <w:color w:val="auto"/>
        </w:rPr>
      </w:pPr>
      <w:r>
        <w:rPr>
          <w:rFonts w:ascii="Times New Roman" w:cs="Times New Roman" w:eastAsia="Times New Roman" w:hAnsi="Times New Roman"/>
          <w:sz w:val="14"/>
          <w:szCs w:val="14"/>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Extreme weather conditions in general require more system backup, adding to costs, and can contribute to increased system stresses, including service interruptions.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Legislative or regulatory tax changes could adversely affect investors.</w:t>
      </w:r>
    </w:p>
    <w:p>
      <w:pPr>
        <w:spacing w:after="0" w:line="221"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At any time, the federal income tax laws governing RICs or the administrative interpretations of those laws or regulations may be amended. The Biden Administration has enacted significant changes to the existing U.S. tax rules that include, among others, a minimum tax on book income and profits of certain multinational corporations, and there are a number of proposals in the U.S. Congress that would similarly modify the existing U.S. tax rules. The likelihood of any new legislation being enacted is uncertain. Any new laws, regulations or interpretations may take effect retroactively and could adversely affect the taxation of us or our shareholders. Therefore,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7" w:name="page38"/>
    <w:bookmarkEnd w:id="37"/>
    <w:p>
      <w:pPr>
        <w:ind w:right="260"/>
        <w:spacing w:after="0" w:line="302" w:lineRule="auto"/>
        <w:rPr>
          <w:sz w:val="20"/>
          <w:szCs w:val="20"/>
          <w:color w:val="auto"/>
        </w:rPr>
      </w:pPr>
      <w:r>
        <w:rPr>
          <w:rFonts w:ascii="Times New Roman" w:cs="Times New Roman" w:eastAsia="Times New Roman" w:hAnsi="Times New Roman"/>
          <w:sz w:val="14"/>
          <w:szCs w:val="14"/>
          <w:color w:val="auto"/>
        </w:rPr>
        <w:t>changes in tax laws, regulations or administrative interpretations or any amendments thereto could diminish the value of an investment in our shares or the value or the resale potential of our investments.</w:t>
      </w:r>
    </w:p>
    <w:p>
      <w:pPr>
        <w:spacing w:after="0" w:line="65"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52" w:lineRule="exact"/>
        <w:rPr>
          <w:sz w:val="20"/>
          <w:szCs w:val="20"/>
          <w:color w:val="auto"/>
        </w:rPr>
      </w:pPr>
    </w:p>
    <w:p>
      <w:pPr>
        <w:jc w:val="center"/>
        <w:ind w:right="9920"/>
        <w:spacing w:after="0"/>
        <w:rPr>
          <w:sz w:val="20"/>
          <w:szCs w:val="20"/>
          <w:color w:val="auto"/>
        </w:rPr>
      </w:pPr>
      <w:r>
        <w:rPr>
          <w:rFonts w:ascii="Times New Roman" w:cs="Times New Roman" w:eastAsia="Times New Roman" w:hAnsi="Times New Roman"/>
          <w:sz w:val="14"/>
          <w:szCs w:val="14"/>
          <w:color w:val="auto"/>
        </w:rPr>
        <w:t>None.</w:t>
      </w:r>
    </w:p>
    <w:p>
      <w:pPr>
        <w:spacing w:after="0" w:line="148" w:lineRule="exact"/>
        <w:rPr>
          <w:sz w:val="20"/>
          <w:szCs w:val="20"/>
          <w:color w:val="auto"/>
        </w:rPr>
      </w:pPr>
    </w:p>
    <w:p>
      <w:pPr>
        <w:jc w:val="center"/>
        <w:ind w:right="9960"/>
        <w:spacing w:after="0"/>
        <w:tabs>
          <w:tab w:leader="none" w:pos="120" w:val="left"/>
        </w:tabs>
        <w:rPr>
          <w:sz w:val="20"/>
          <w:szCs w:val="20"/>
          <w:color w:val="auto"/>
        </w:rPr>
      </w:pPr>
      <w:r>
        <w:rPr>
          <w:rFonts w:ascii="Times New Roman" w:cs="Times New Roman" w:eastAsia="Times New Roman" w:hAnsi="Times New Roman"/>
          <w:sz w:val="14"/>
          <w:szCs w:val="14"/>
          <w:b w:val="1"/>
          <w:bCs w:val="1"/>
          <w:color w:val="auto"/>
        </w:rPr>
        <w:t>Item 2.</w:t>
        <w:tab/>
        <w:t>Properties</w:t>
      </w:r>
    </w:p>
    <w:p>
      <w:pPr>
        <w:spacing w:after="0" w:line="152"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As of September 30, 2022,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9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tab/>
        <w:t>Legal Proceedings</w:t>
      </w:r>
    </w:p>
    <w:p>
      <w:pPr>
        <w:spacing w:after="0" w:line="152"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tab/>
        <w:t>Mine Safety Disclosures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38" w:name="page39"/>
    <w:bookmarkEnd w:id="38"/>
    <w:p>
      <w:pPr>
        <w:ind w:left="536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PRICE RANGE OF COMMON STOCK</w:t>
      </w:r>
    </w:p>
    <w:p>
      <w:pPr>
        <w:spacing w:after="0" w:line="219"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On April 4, 2007, we closed our initial public offering. On April 14, 2022, listing and trading of the Company’s common stock commenced on the New York Stock Exchange after the Company voluntarily withdrew the principal listing of its common stock from the Nasdaq Stock Market effective at market close on April 13, 2022. Our common stock trades on the New York Stock Exchange under the symbol “PNNT”. The following table lists the high and low closing sale prices for our common stock, the closing sale prices as a premium or (discount) to our NAV per share and distributions per share for each full quarterly period within the fiscal years ended September 30, 2022 and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5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5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Closing Sale Prices</w:t>
            </w:r>
          </w:p>
        </w:tc>
        <w:tc>
          <w:tcPr>
            <w:tcW w:w="2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High Sale</w:t>
            </w: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Low Sale</w:t>
            </w: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00" w:type="dxa"/>
            <w:vAlign w:val="bottom"/>
          </w:tcPr>
          <w:p>
            <w:pPr>
              <w:spacing w:after="0"/>
              <w:rPr>
                <w:sz w:val="15"/>
                <w:szCs w:val="15"/>
                <w:color w:val="auto"/>
              </w:rPr>
            </w:pPr>
          </w:p>
        </w:tc>
      </w:tr>
      <w:tr>
        <w:trPr>
          <w:trHeight w:val="17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20"/>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NAV </w:t>
            </w:r>
            <w:r>
              <w:rPr>
                <w:rFonts w:ascii="Times New Roman" w:cs="Times New Roman" w:eastAsia="Times New Roman" w:hAnsi="Times New Roman"/>
                <w:sz w:val="19"/>
                <w:szCs w:val="19"/>
                <w:b w:val="1"/>
                <w:bCs w:val="1"/>
                <w:color w:val="auto"/>
                <w:vertAlign w:val="superscript"/>
              </w:rPr>
              <w:t>(1)</w:t>
            </w: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5"/>
                <w:szCs w:val="15"/>
                <w:color w:val="auto"/>
              </w:rPr>
            </w:pPr>
          </w:p>
        </w:tc>
        <w:tc>
          <w:tcPr>
            <w:tcW w:w="142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Price to NAV </w:t>
            </w:r>
            <w:r>
              <w:rPr>
                <w:rFonts w:ascii="Times New Roman" w:cs="Times New Roman" w:eastAsia="Times New Roman" w:hAnsi="Times New Roman"/>
                <w:sz w:val="19"/>
                <w:szCs w:val="19"/>
                <w:b w:val="1"/>
                <w:bCs w:val="1"/>
                <w:color w:val="auto"/>
                <w:w w:val="97"/>
                <w:vertAlign w:val="superscript"/>
              </w:rPr>
              <w:t>(2)</w:t>
            </w:r>
          </w:p>
        </w:tc>
        <w:tc>
          <w:tcPr>
            <w:tcW w:w="1560" w:type="dxa"/>
            <w:vAlign w:val="bottom"/>
            <w:gridSpan w:val="3"/>
          </w:tcPr>
          <w:p>
            <w:pPr>
              <w:jc w:val="center"/>
              <w:ind w:right="380"/>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Price to NAV </w:t>
            </w:r>
            <w:r>
              <w:rPr>
                <w:rFonts w:ascii="Times New Roman" w:cs="Times New Roman" w:eastAsia="Times New Roman" w:hAnsi="Times New Roman"/>
                <w:sz w:val="19"/>
                <w:szCs w:val="19"/>
                <w:b w:val="1"/>
                <w:bCs w:val="1"/>
                <w:color w:val="auto"/>
                <w:w w:val="95"/>
                <w:vertAlign w:val="superscript"/>
              </w:rPr>
              <w:t>(2)</w:t>
            </w:r>
          </w:p>
        </w:tc>
        <w:tc>
          <w:tcPr>
            <w:tcW w:w="11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100" w:type="dxa"/>
            <w:vAlign w:val="bottom"/>
          </w:tcPr>
          <w:p>
            <w:pPr>
              <w:spacing w:after="0"/>
              <w:rPr>
                <w:sz w:val="15"/>
                <w:szCs w:val="15"/>
                <w:color w:val="auto"/>
              </w:rPr>
            </w:pPr>
          </w:p>
        </w:tc>
      </w:tr>
      <w:tr>
        <w:trPr>
          <w:trHeight w:val="169"/>
        </w:trPr>
        <w:tc>
          <w:tcPr>
            <w:tcW w:w="31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 2022</w:t>
            </w:r>
          </w:p>
        </w:tc>
        <w:tc>
          <w:tcPr>
            <w:tcW w:w="12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spacing w:after="0"/>
              <w:rPr>
                <w:sz w:val="14"/>
                <w:szCs w:val="14"/>
                <w:color w:val="auto"/>
              </w:rPr>
            </w:pPr>
          </w:p>
        </w:tc>
        <w:tc>
          <w:tcPr>
            <w:tcW w:w="90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78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0" w:type="dxa"/>
            <w:vAlign w:val="bottom"/>
            <w:tcBorders>
              <w:top w:val="single" w:sz="8" w:color="auto"/>
            </w:tcBorders>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0" w:type="dxa"/>
            <w:vAlign w:val="bottom"/>
            <w:tcBorders>
              <w:top w:val="single" w:sz="8" w:color="auto"/>
            </w:tcBorders>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spacing w:after="0"/>
              <w:rPr>
                <w:sz w:val="14"/>
                <w:szCs w:val="14"/>
                <w:color w:val="auto"/>
              </w:rPr>
            </w:pPr>
          </w:p>
        </w:tc>
        <w:tc>
          <w:tcPr>
            <w:tcW w:w="11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(26 )%</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(39 )%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5"/>
                <w:szCs w:val="15"/>
                <w:color w:val="auto"/>
              </w:rPr>
            </w:pPr>
          </w:p>
        </w:tc>
      </w:tr>
      <w:tr>
        <w:trPr>
          <w:trHeight w:val="175"/>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4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4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(17 )%</w:t>
            </w:r>
          </w:p>
        </w:tc>
        <w:tc>
          <w:tcPr>
            <w:tcW w:w="156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(38 )% $</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shd w:val="clear" w:color="auto" w:fill="CCECFF"/>
          </w:tcPr>
          <w:p>
            <w:pPr>
              <w:spacing w:after="0"/>
              <w:rPr>
                <w:sz w:val="15"/>
                <w:szCs w:val="15"/>
                <w:color w:val="auto"/>
              </w:rPr>
            </w:pPr>
          </w:p>
        </w:tc>
      </w:tr>
      <w:tr>
        <w:trPr>
          <w:trHeight w:val="176"/>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2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(22 )%</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(34 )%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5"/>
                <w:szCs w:val="15"/>
                <w:color w:val="auto"/>
              </w:rPr>
            </w:pPr>
          </w:p>
        </w:tc>
      </w:tr>
      <w:tr>
        <w:trPr>
          <w:trHeight w:val="176"/>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4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64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(29 )%</w:t>
            </w:r>
          </w:p>
        </w:tc>
        <w:tc>
          <w:tcPr>
            <w:tcW w:w="156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(36 )% $</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CFF"/>
          </w:tcPr>
          <w:p>
            <w:pPr>
              <w:spacing w:after="0"/>
              <w:rPr>
                <w:sz w:val="15"/>
                <w:szCs w:val="15"/>
                <w:color w:val="auto"/>
              </w:rPr>
            </w:pPr>
          </w:p>
        </w:tc>
      </w:tr>
      <w:tr>
        <w:trPr>
          <w:trHeight w:val="17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 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6.88</w:t>
            </w:r>
          </w:p>
        </w:tc>
        <w:tc>
          <w:tcPr>
            <w:tcW w:w="4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64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(30 )%</w:t>
            </w:r>
          </w:p>
        </w:tc>
        <w:tc>
          <w:tcPr>
            <w:tcW w:w="156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(36 )% $</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CFF"/>
          </w:tcPr>
          <w:p>
            <w:pPr>
              <w:spacing w:after="0"/>
              <w:rPr>
                <w:sz w:val="15"/>
                <w:szCs w:val="15"/>
                <w:color w:val="auto"/>
              </w:rPr>
            </w:pPr>
          </w:p>
        </w:tc>
      </w:tr>
      <w:tr>
        <w:trPr>
          <w:trHeight w:val="175"/>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24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(23 )%</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(40 )%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5"/>
                <w:szCs w:val="15"/>
                <w:color w:val="auto"/>
              </w:rPr>
            </w:pPr>
          </w:p>
        </w:tc>
      </w:tr>
      <w:tr>
        <w:trPr>
          <w:trHeight w:val="176"/>
        </w:trPr>
        <w:tc>
          <w:tcPr>
            <w:tcW w:w="31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3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24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4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640" w:type="dxa"/>
            <w:vAlign w:val="bottom"/>
            <w:gridSpan w:val="3"/>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(33 )%</w:t>
            </w:r>
          </w:p>
        </w:tc>
        <w:tc>
          <w:tcPr>
            <w:tcW w:w="1560" w:type="dxa"/>
            <w:vAlign w:val="bottom"/>
            <w:gridSpan w:val="3"/>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(51 )% $</w:t>
            </w: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CFF"/>
          </w:tcPr>
          <w:p>
            <w:pPr>
              <w:spacing w:after="0"/>
              <w:rPr>
                <w:sz w:val="15"/>
                <w:szCs w:val="15"/>
                <w:color w:val="auto"/>
              </w:rPr>
            </w:pPr>
          </w:p>
        </w:tc>
      </w:tr>
      <w:tr>
        <w:trPr>
          <w:trHeight w:val="188"/>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2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(47 )%</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(68 )%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6"/>
                <w:szCs w:val="16"/>
                <w:color w:val="auto"/>
              </w:rPr>
            </w:pPr>
          </w:p>
        </w:tc>
      </w:tr>
    </w:tbl>
    <w:p>
      <w:pPr>
        <w:spacing w:after="0" w:line="236" w:lineRule="exact"/>
        <w:rPr>
          <w:sz w:val="20"/>
          <w:szCs w:val="20"/>
          <w:color w:val="auto"/>
        </w:rPr>
      </w:pPr>
    </w:p>
    <w:p>
      <w:pPr>
        <w:ind w:left="380" w:right="60" w:hanging="372"/>
        <w:spacing w:after="0" w:line="210" w:lineRule="auto"/>
        <w:tabs>
          <w:tab w:leader="none" w:pos="380" w:val="left"/>
        </w:tabs>
        <w:numPr>
          <w:ilvl w:val="0"/>
          <w:numId w:val="45"/>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380" w:hanging="372"/>
        <w:spacing w:after="0" w:line="180" w:lineRule="auto"/>
        <w:tabs>
          <w:tab w:leader="none" w:pos="380" w:val="left"/>
        </w:tabs>
        <w:numPr>
          <w:ilvl w:val="0"/>
          <w:numId w:val="45"/>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Calculated as the respective high or low closing sales price less NAV per share, divided by the quarter-end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11912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66"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Shares of BDCs may trade at a market price both above and below the NAV that is attributable to those shares. During the periods covered in the above table, our shares have traded below our NAV. Our shares closed on the New York Stock Exchange at $5.46 and on the Nasdaq Global Select Market at $6.49 as of September 30, 2022 and 2021, respectively. Our NAV per share was $8.98 and $9.85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2022, we had seven stockholders of record.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of Unregistered Securities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did not engage in any sales of unregistered securities during the year ended September 30,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Repurchases of our common stock under our share repurchase program are as follows:</w:t>
      </w:r>
    </w:p>
    <w:p>
      <w:pPr>
        <w:sectPr>
          <w:pgSz w:w="11900" w:h="16838" w:orient="portrait"/>
          <w:cols w:equalWidth="0" w:num="1">
            <w:col w:w="11240"/>
          </w:cols>
          <w:pgMar w:left="320" w:top="3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8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0" w:type="dxa"/>
            <w:vAlign w:val="bottom"/>
          </w:tcPr>
          <w:p>
            <w:pPr>
              <w:spacing w:after="0"/>
              <w:rPr>
                <w:sz w:val="1"/>
                <w:szCs w:val="1"/>
                <w:color w:val="auto"/>
              </w:rPr>
            </w:pPr>
          </w:p>
        </w:tc>
      </w:tr>
      <w:tr>
        <w:trPr>
          <w:trHeight w:val="173"/>
        </w:trPr>
        <w:tc>
          <w:tcPr>
            <w:tcW w:w="1420" w:type="dxa"/>
            <w:vAlign w:val="bottom"/>
            <w:vMerge w:val="continue"/>
          </w:tcPr>
          <w:p>
            <w:pPr>
              <w:spacing w:after="0"/>
              <w:rPr>
                <w:sz w:val="15"/>
                <w:szCs w:val="15"/>
                <w:color w:val="auto"/>
              </w:rPr>
            </w:pPr>
          </w:p>
        </w:tc>
        <w:tc>
          <w:tcPr>
            <w:tcW w:w="23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34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1980" w:type="dxa"/>
            <w:vAlign w:val="bottom"/>
            <w:vMerge w:val="continue"/>
          </w:tcPr>
          <w:p>
            <w:pPr>
              <w:spacing w:after="0"/>
              <w:rPr>
                <w:sz w:val="12"/>
                <w:szCs w:val="12"/>
                <w:color w:val="auto"/>
              </w:rPr>
            </w:pPr>
          </w:p>
        </w:tc>
        <w:tc>
          <w:tcPr>
            <w:tcW w:w="17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198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7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Repurchased Under the</w:t>
            </w:r>
          </w:p>
        </w:tc>
        <w:tc>
          <w:tcPr>
            <w:tcW w:w="0" w:type="dxa"/>
            <w:vAlign w:val="bottom"/>
          </w:tcPr>
          <w:p>
            <w:pPr>
              <w:spacing w:after="0"/>
              <w:rPr>
                <w:sz w:val="1"/>
                <w:szCs w:val="1"/>
                <w:color w:val="auto"/>
              </w:rPr>
            </w:pPr>
          </w:p>
        </w:tc>
      </w:tr>
      <w:tr>
        <w:trPr>
          <w:trHeight w:val="149"/>
        </w:trPr>
        <w:tc>
          <w:tcPr>
            <w:tcW w:w="1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 Program</w:t>
            </w:r>
          </w:p>
        </w:tc>
        <w:tc>
          <w:tcPr>
            <w:tcW w:w="176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Plans or Programs (in</w:t>
            </w:r>
          </w:p>
        </w:tc>
        <w:tc>
          <w:tcPr>
            <w:tcW w:w="0" w:type="dxa"/>
            <w:vAlign w:val="bottom"/>
          </w:tcPr>
          <w:p>
            <w:pPr>
              <w:spacing w:after="0"/>
              <w:rPr>
                <w:sz w:val="1"/>
                <w:szCs w:val="1"/>
                <w:color w:val="auto"/>
              </w:rPr>
            </w:pPr>
          </w:p>
        </w:tc>
      </w:tr>
      <w:tr>
        <w:trPr>
          <w:trHeight w:val="187"/>
        </w:trPr>
        <w:tc>
          <w:tcPr>
            <w:tcW w:w="1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7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40" w:space="380"/>
            <w:col w:w="3920"/>
          </w:cols>
          <w:pgMar w:left="320" w:top="317"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January</w:t>
            </w:r>
          </w:p>
        </w:tc>
        <w:tc>
          <w:tcPr>
            <w:tcW w:w="3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 2022 through March 31, 2022</w:t>
            </w:r>
          </w:p>
        </w:tc>
        <w:tc>
          <w:tcPr>
            <w:tcW w:w="120" w:type="dxa"/>
            <w:vAlign w:val="bottom"/>
          </w:tcPr>
          <w:p>
            <w:pPr>
              <w:spacing w:after="0"/>
              <w:rPr>
                <w:sz w:val="14"/>
                <w:szCs w:val="14"/>
                <w:color w:val="auto"/>
              </w:rPr>
            </w:pPr>
          </w:p>
        </w:tc>
        <w:tc>
          <w:tcPr>
            <w:tcW w:w="42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140" w:type="dxa"/>
            <w:vAlign w:val="bottom"/>
          </w:tcPr>
          <w:p>
            <w:pPr>
              <w:spacing w:after="0"/>
              <w:rPr>
                <w:sz w:val="14"/>
                <w:szCs w:val="14"/>
                <w:color w:val="auto"/>
              </w:rPr>
            </w:pPr>
          </w:p>
        </w:tc>
        <w:tc>
          <w:tcPr>
            <w:tcW w:w="70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14"/>
                <w:szCs w:val="14"/>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913,454</w:t>
            </w:r>
          </w:p>
        </w:tc>
        <w:tc>
          <w:tcPr>
            <w:tcW w:w="100" w:type="dxa"/>
            <w:vAlign w:val="bottom"/>
          </w:tcPr>
          <w:p>
            <w:pPr>
              <w:spacing w:after="0"/>
              <w:rPr>
                <w:sz w:val="14"/>
                <w:szCs w:val="14"/>
                <w:color w:val="auto"/>
              </w:rPr>
            </w:pPr>
          </w:p>
        </w:tc>
        <w:tc>
          <w:tcPr>
            <w:tcW w:w="82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17,944</w:t>
            </w:r>
          </w:p>
        </w:tc>
        <w:tc>
          <w:tcPr>
            <w:tcW w:w="100" w:type="dxa"/>
            <w:vAlign w:val="bottom"/>
          </w:tcPr>
          <w:p>
            <w:pPr>
              <w:spacing w:after="0"/>
              <w:rPr>
                <w:sz w:val="14"/>
                <w:szCs w:val="14"/>
                <w:color w:val="auto"/>
              </w:rPr>
            </w:pPr>
          </w:p>
        </w:tc>
      </w:tr>
      <w:tr>
        <w:trPr>
          <w:trHeight w:val="175"/>
        </w:trPr>
        <w:tc>
          <w:tcPr>
            <w:tcW w:w="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April 1,</w:t>
            </w:r>
          </w:p>
        </w:tc>
        <w:tc>
          <w:tcPr>
            <w:tcW w:w="3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2022 through June 20, 2022</w:t>
            </w:r>
          </w:p>
        </w:tc>
        <w:tc>
          <w:tcPr>
            <w:tcW w:w="540" w:type="dxa"/>
            <w:vAlign w:val="bottom"/>
            <w:gridSpan w:val="2"/>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717,709</w:t>
            </w:r>
          </w:p>
        </w:tc>
        <w:tc>
          <w:tcPr>
            <w:tcW w:w="840" w:type="dxa"/>
            <w:vAlign w:val="bottom"/>
            <w:gridSpan w:val="2"/>
            <w:shd w:val="clear" w:color="auto" w:fill="CCEC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20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1,631,163</w:t>
            </w:r>
          </w:p>
        </w:tc>
        <w:tc>
          <w:tcPr>
            <w:tcW w:w="920" w:type="dxa"/>
            <w:vAlign w:val="bottom"/>
            <w:gridSpan w:val="2"/>
            <w:shd w:val="clear" w:color="auto" w:fill="CCEC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12,986</w:t>
            </w:r>
          </w:p>
        </w:tc>
        <w:tc>
          <w:tcPr>
            <w:tcW w:w="100" w:type="dxa"/>
            <w:vAlign w:val="bottom"/>
            <w:shd w:val="clear" w:color="auto" w:fill="CCECFF"/>
          </w:tcPr>
          <w:p>
            <w:pPr>
              <w:spacing w:after="0"/>
              <w:rPr>
                <w:sz w:val="15"/>
                <w:szCs w:val="15"/>
                <w:color w:val="auto"/>
              </w:rPr>
            </w:pPr>
          </w:p>
        </w:tc>
      </w:tr>
      <w:tr>
        <w:trPr>
          <w:trHeight w:val="17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July 1, 2022 through September 30, 2022</w:t>
            </w:r>
          </w:p>
        </w:tc>
        <w:tc>
          <w:tcPr>
            <w:tcW w:w="5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189,442</w:t>
            </w:r>
          </w:p>
        </w:tc>
        <w:tc>
          <w:tcPr>
            <w:tcW w:w="84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1,820,605</w:t>
            </w:r>
          </w:p>
        </w:tc>
        <w:tc>
          <w:tcPr>
            <w:tcW w:w="920" w:type="dxa"/>
            <w:vAlign w:val="bottom"/>
            <w:gridSpan w:val="2"/>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11,751</w:t>
            </w:r>
          </w:p>
        </w:tc>
        <w:tc>
          <w:tcPr>
            <w:tcW w:w="100" w:type="dxa"/>
            <w:vAlign w:val="bottom"/>
          </w:tcPr>
          <w:p>
            <w:pPr>
              <w:spacing w:after="0"/>
              <w:rPr>
                <w:sz w:val="15"/>
                <w:szCs w:val="15"/>
                <w:color w:val="auto"/>
              </w:rPr>
            </w:pPr>
          </w:p>
        </w:tc>
      </w:tr>
      <w:tr>
        <w:trPr>
          <w:trHeight w:val="169"/>
        </w:trPr>
        <w:tc>
          <w:tcPr>
            <w:tcW w:w="400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20" w:type="dxa"/>
            <w:vAlign w:val="bottom"/>
            <w:tcBorders>
              <w:bottom w:val="single" w:sz="8" w:color="CCECFF"/>
            </w:tcBorders>
            <w:shd w:val="clear" w:color="auto" w:fill="CCECFF"/>
          </w:tcPr>
          <w:p>
            <w:pPr>
              <w:spacing w:after="0"/>
              <w:rPr>
                <w:sz w:val="14"/>
                <w:szCs w:val="14"/>
                <w:color w:val="auto"/>
              </w:rPr>
            </w:pPr>
          </w:p>
        </w:tc>
        <w:tc>
          <w:tcPr>
            <w:tcW w:w="420" w:type="dxa"/>
            <w:vAlign w:val="bottom"/>
            <w:tcBorders>
              <w:top w:val="single" w:sz="8" w:color="auto"/>
              <w:bottom w:val="single" w:sz="8" w:color="auto"/>
            </w:tcBorders>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1,820,605</w:t>
            </w:r>
          </w:p>
        </w:tc>
        <w:tc>
          <w:tcPr>
            <w:tcW w:w="140" w:type="dxa"/>
            <w:vAlign w:val="bottom"/>
            <w:tcBorders>
              <w:bottom w:val="single" w:sz="8" w:color="CCECFF"/>
            </w:tcBorders>
            <w:shd w:val="clear" w:color="auto" w:fill="CCECFF"/>
          </w:tcPr>
          <w:p>
            <w:pPr>
              <w:spacing w:after="0"/>
              <w:rPr>
                <w:sz w:val="14"/>
                <w:szCs w:val="14"/>
                <w:color w:val="auto"/>
              </w:rPr>
            </w:pPr>
          </w:p>
        </w:tc>
        <w:tc>
          <w:tcPr>
            <w:tcW w:w="700" w:type="dxa"/>
            <w:vAlign w:val="bottom"/>
            <w:tcBorders>
              <w:top w:val="single" w:sz="8" w:color="auto"/>
              <w:bottom w:val="single" w:sz="8" w:color="auto"/>
            </w:tcBorders>
            <w:shd w:val="clear" w:color="auto" w:fill="CCEC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CFF"/>
            </w:tcBorders>
            <w:shd w:val="clear" w:color="auto" w:fill="CCECFF"/>
          </w:tcPr>
          <w:p>
            <w:pPr>
              <w:spacing w:after="0"/>
              <w:rPr>
                <w:sz w:val="14"/>
                <w:szCs w:val="14"/>
                <w:color w:val="auto"/>
              </w:rPr>
            </w:pPr>
          </w:p>
        </w:tc>
        <w:tc>
          <w:tcPr>
            <w:tcW w:w="198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820" w:type="dxa"/>
            <w:vAlign w:val="bottom"/>
            <w:tcBorders>
              <w:bottom w:val="single" w:sz="8" w:color="CCECFF"/>
            </w:tcBorders>
            <w:shd w:val="clear" w:color="auto" w:fill="CCECFF"/>
          </w:tcPr>
          <w:p>
            <w:pPr>
              <w:spacing w:after="0"/>
              <w:rPr>
                <w:sz w:val="14"/>
                <w:szCs w:val="14"/>
                <w:color w:val="auto"/>
              </w:rPr>
            </w:pPr>
          </w:p>
        </w:tc>
        <w:tc>
          <w:tcPr>
            <w:tcW w:w="104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r>
      <w:tr>
        <w:trPr>
          <w:trHeight w:val="167"/>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-118110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-118110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200" w:hanging="372"/>
        <w:spacing w:after="0" w:line="236" w:lineRule="auto"/>
        <w:tabs>
          <w:tab w:leader="none" w:pos="38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February 9, 2022, we announced a share repurchase program which allows us to repurchase up to $25.0 million of our outstanding commons stock. Unless extended by our board of directors, the program will expire on the earlier off March 31, 2023 and the repurchase of $25.0 million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type w:val="continuous"/>
        </w:sectPr>
      </w:pPr>
    </w:p>
    <w:bookmarkStart w:id="39" w:name="page40"/>
    <w:bookmarkEnd w:id="39"/>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52"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taxable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77"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4"/>
          <w:szCs w:val="14"/>
          <w:color w:val="auto"/>
        </w:rPr>
        <w:t>In January 2023, a Form 1099-DIV will be sent to stockholders subject to information reporting that will state the amount and composition of distributions and provide information with respect to appropriate tax treatment of our distributions.</w:t>
      </w:r>
    </w:p>
    <w:p>
      <w:pPr>
        <w:spacing w:after="0" w:line="94"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4"/>
          <w:szCs w:val="14"/>
          <w:color w:val="auto"/>
        </w:rPr>
        <w:t>The tax characteristics of distributions declared, in accordance with Section 19(a) of the 1940 Act, during the years ended September 30, 2022 and 2021 from ordinary income (including short-term gains), if any, totaled $36.6 million and $32.2 million, or $0.56 and $0.48 per share, respectively, based on the weighted average shares outstanding for the respective years.</w:t>
      </w:r>
    </w:p>
    <w:p>
      <w:pPr>
        <w:spacing w:after="0" w:line="94" w:lineRule="exact"/>
        <w:rPr>
          <w:sz w:val="20"/>
          <w:szCs w:val="20"/>
          <w:color w:val="auto"/>
        </w:rPr>
      </w:pPr>
    </w:p>
    <w:p>
      <w:pPr>
        <w:ind w:firstLine="449"/>
        <w:spacing w:after="0" w:line="282"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94"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Performance Graph</w:t>
      </w:r>
    </w:p>
    <w:p>
      <w:pPr>
        <w:spacing w:after="0" w:line="154"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4"/>
          <w:szCs w:val="14"/>
          <w:color w:val="auto"/>
        </w:rPr>
        <w:t>This graph compares the return on our common stock with that of the Standard &amp; Poor’s 500 Stock Index (the "S&amp;P Index") and the Russell 2000 Financial Services Index, for the last five fiscal years. The graph assumes that, on September 30, 2017,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126365</wp:posOffset>
            </wp:positionV>
            <wp:extent cx="5906135" cy="4080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0613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20" w:firstLine="449"/>
        <w:spacing w:after="0" w:line="302" w:lineRule="auto"/>
        <w:rPr>
          <w:sz w:val="20"/>
          <w:szCs w:val="20"/>
          <w:color w:val="auto"/>
        </w:rPr>
      </w:pPr>
      <w:r>
        <w:rPr>
          <w:rFonts w:ascii="Times New Roman" w:cs="Times New Roman" w:eastAsia="Times New Roman" w:hAnsi="Times New Roman"/>
          <w:sz w:val="14"/>
          <w:szCs w:val="14"/>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7" w:right="37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152"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4"/>
          <w:szCs w:val="14"/>
          <w:color w:val="auto"/>
        </w:rPr>
        <w:t>The following table is being provided to update, as of September 30, 2022, certain information in our registration statement on Form N-2 (File No. 333-263564), most recently declared effective by the SEC on April 28, 2022. 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 transaction expenses</w:t>
            </w:r>
          </w:p>
        </w:tc>
        <w:tc>
          <w:tcPr>
            <w:tcW w:w="262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75"/>
        </w:trPr>
        <w:tc>
          <w:tcPr>
            <w:tcW w:w="8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Sales load (as a percentage of offering price)</w:t>
            </w:r>
          </w:p>
        </w:tc>
        <w:tc>
          <w:tcPr>
            <w:tcW w:w="2940" w:type="dxa"/>
            <w:vAlign w:val="bottom"/>
            <w:gridSpan w:val="2"/>
            <w:shd w:val="clear" w:color="auto" w:fill="CCECFF"/>
          </w:tcPr>
          <w:p>
            <w:pPr>
              <w:jc w:val="right"/>
              <w:ind w:right="92"/>
              <w:spacing w:after="0" w:line="176" w:lineRule="exact"/>
              <w:rPr>
                <w:sz w:val="20"/>
                <w:szCs w:val="20"/>
                <w:color w:val="auto"/>
              </w:rPr>
            </w:pPr>
            <w:r>
              <w:rPr>
                <w:rFonts w:ascii="Times New Roman" w:cs="Times New Roman" w:eastAsia="Times New Roman" w:hAnsi="Times New Roman"/>
                <w:sz w:val="20"/>
                <w:szCs w:val="20"/>
                <w:color w:val="auto"/>
                <w:vertAlign w:val="subscript"/>
              </w:rPr>
              <w:t>— %</w:t>
            </w:r>
            <w:r>
              <w:rPr>
                <w:rFonts w:ascii="Times New Roman" w:cs="Times New Roman" w:eastAsia="Times New Roman" w:hAnsi="Times New Roman"/>
                <w:sz w:val="8"/>
                <w:szCs w:val="8"/>
                <w:color w:val="auto"/>
              </w:rPr>
              <w:t>(1)</w:t>
            </w: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expenses (as a percentage of offering price)</w:t>
            </w:r>
          </w:p>
        </w:tc>
        <w:tc>
          <w:tcPr>
            <w:tcW w:w="2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(2)</w:t>
            </w:r>
          </w:p>
        </w:tc>
      </w:tr>
      <w:tr>
        <w:trPr>
          <w:trHeight w:val="176"/>
        </w:trPr>
        <w:tc>
          <w:tcPr>
            <w:tcW w:w="8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Dividend reinvestment plan expenses</w:t>
            </w:r>
          </w:p>
        </w:tc>
        <w:tc>
          <w:tcPr>
            <w:tcW w:w="2620" w:type="dxa"/>
            <w:vAlign w:val="bottom"/>
            <w:shd w:val="clear" w:color="auto" w:fill="CCEC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(3)</w:t>
            </w:r>
          </w:p>
        </w:tc>
      </w:tr>
      <w:tr>
        <w:trPr>
          <w:trHeight w:val="17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 expenses (as a percentage of offering price)</w:t>
            </w:r>
          </w:p>
        </w:tc>
        <w:tc>
          <w:tcPr>
            <w:tcW w:w="2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r>
      <w:tr>
        <w:trPr>
          <w:trHeight w:val="176"/>
        </w:trPr>
        <w:tc>
          <w:tcPr>
            <w:tcW w:w="830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b w:val="1"/>
                <w:bCs w:val="1"/>
                <w:color w:val="auto"/>
              </w:rPr>
              <w:t>Estimated annual expenses (as a percentage of average net assets attributable to common shares)</w:t>
            </w:r>
            <w:r>
              <w:rPr>
                <w:rFonts w:ascii="Times New Roman" w:cs="Times New Roman" w:eastAsia="Times New Roman" w:hAnsi="Times New Roman"/>
                <w:sz w:val="19"/>
                <w:szCs w:val="19"/>
                <w:b w:val="1"/>
                <w:bCs w:val="1"/>
                <w:color w:val="auto"/>
                <w:vertAlign w:val="superscript"/>
              </w:rPr>
              <w:t>(4)</w:t>
            </w:r>
          </w:p>
        </w:tc>
        <w:tc>
          <w:tcPr>
            <w:tcW w:w="262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r>
      <w:tr>
        <w:trPr>
          <w:trHeight w:val="17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Management fees</w:t>
            </w:r>
          </w:p>
        </w:tc>
        <w:tc>
          <w:tcPr>
            <w:tcW w:w="2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3.04</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(5)</w:t>
            </w:r>
          </w:p>
        </w:tc>
      </w:tr>
      <w:tr>
        <w:trPr>
          <w:trHeight w:val="176"/>
        </w:trPr>
        <w:tc>
          <w:tcPr>
            <w:tcW w:w="8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Incentive fees</w:t>
            </w:r>
          </w:p>
        </w:tc>
        <w:tc>
          <w:tcPr>
            <w:tcW w:w="2620" w:type="dxa"/>
            <w:vAlign w:val="bottom"/>
            <w:shd w:val="clear" w:color="auto" w:fill="CCECFF"/>
          </w:tcPr>
          <w:p>
            <w:pPr>
              <w:jc w:val="right"/>
              <w:ind w:right="11"/>
              <w:spacing w:after="0"/>
              <w:rPr>
                <w:sz w:val="20"/>
                <w:szCs w:val="20"/>
                <w:color w:val="auto"/>
              </w:rPr>
            </w:pPr>
            <w:r>
              <w:rPr>
                <w:rFonts w:ascii="Times New Roman" w:cs="Times New Roman" w:eastAsia="Times New Roman" w:hAnsi="Times New Roman"/>
                <w:sz w:val="14"/>
                <w:szCs w:val="14"/>
                <w:color w:val="auto"/>
              </w:rPr>
              <w:t>0.41</w:t>
            </w:r>
          </w:p>
        </w:tc>
        <w:tc>
          <w:tcPr>
            <w:tcW w:w="3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(6)</w:t>
            </w:r>
          </w:p>
        </w:tc>
      </w:tr>
      <w:tr>
        <w:trPr>
          <w:trHeight w:val="175"/>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on borrowed funds</w:t>
            </w:r>
          </w:p>
        </w:tc>
        <w:tc>
          <w:tcPr>
            <w:tcW w:w="2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5.19</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(7)</w:t>
            </w:r>
          </w:p>
        </w:tc>
      </w:tr>
      <w:tr>
        <w:trPr>
          <w:trHeight w:val="176"/>
        </w:trPr>
        <w:tc>
          <w:tcPr>
            <w:tcW w:w="8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Acquired fund fees and expenses</w:t>
            </w:r>
          </w:p>
        </w:tc>
        <w:tc>
          <w:tcPr>
            <w:tcW w:w="2620" w:type="dxa"/>
            <w:vAlign w:val="bottom"/>
            <w:shd w:val="clear" w:color="auto" w:fill="CCECFF"/>
          </w:tcPr>
          <w:p>
            <w:pPr>
              <w:jc w:val="right"/>
              <w:ind w:right="11"/>
              <w:spacing w:after="0"/>
              <w:rPr>
                <w:sz w:val="20"/>
                <w:szCs w:val="20"/>
                <w:color w:val="auto"/>
              </w:rPr>
            </w:pPr>
            <w:r>
              <w:rPr>
                <w:rFonts w:ascii="Times New Roman" w:cs="Times New Roman" w:eastAsia="Times New Roman" w:hAnsi="Times New Roman"/>
                <w:sz w:val="14"/>
                <w:szCs w:val="14"/>
                <w:color w:val="auto"/>
              </w:rPr>
              <w:t>2.45</w:t>
            </w:r>
          </w:p>
        </w:tc>
        <w:tc>
          <w:tcPr>
            <w:tcW w:w="320" w:type="dxa"/>
            <w:vAlign w:val="bottom"/>
            <w:shd w:val="clear" w:color="auto" w:fill="CCECFF"/>
          </w:tcPr>
          <w:p>
            <w:pPr>
              <w:jc w:val="right"/>
              <w:ind w:right="92"/>
              <w:spacing w:after="0"/>
              <w:rPr>
                <w:sz w:val="20"/>
                <w:szCs w:val="20"/>
                <w:color w:val="auto"/>
              </w:rPr>
            </w:pPr>
            <w:r>
              <w:rPr>
                <w:rFonts w:ascii="Times New Roman" w:cs="Times New Roman" w:eastAsia="Times New Roman" w:hAnsi="Times New Roman"/>
                <w:sz w:val="10"/>
                <w:szCs w:val="10"/>
                <w:color w:val="auto"/>
              </w:rPr>
              <w:t>(8)</w:t>
            </w:r>
          </w:p>
        </w:tc>
      </w:tr>
      <w:tr>
        <w:trPr>
          <w:trHeight w:val="176"/>
        </w:trPr>
        <w:tc>
          <w:tcPr>
            <w:tcW w:w="8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6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0.72</w:t>
            </w:r>
          </w:p>
        </w:tc>
        <w:tc>
          <w:tcPr>
            <w:tcW w:w="32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(9)</w:t>
            </w:r>
          </w:p>
        </w:tc>
      </w:tr>
      <w:tr>
        <w:trPr>
          <w:trHeight w:val="175"/>
        </w:trPr>
        <w:tc>
          <w:tcPr>
            <w:tcW w:w="8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Total estimated annual expenses</w:t>
            </w:r>
          </w:p>
        </w:tc>
        <w:tc>
          <w:tcPr>
            <w:tcW w:w="2940" w:type="dxa"/>
            <w:vAlign w:val="bottom"/>
            <w:gridSpan w:val="2"/>
            <w:shd w:val="clear" w:color="auto" w:fill="CCECFF"/>
          </w:tcPr>
          <w:p>
            <w:pPr>
              <w:jc w:val="right"/>
              <w:ind w:right="52"/>
              <w:spacing w:after="0" w:line="175" w:lineRule="exact"/>
              <w:rPr>
                <w:sz w:val="20"/>
                <w:szCs w:val="20"/>
                <w:color w:val="auto"/>
              </w:rPr>
            </w:pPr>
            <w:r>
              <w:rPr>
                <w:rFonts w:ascii="Times New Roman" w:cs="Times New Roman" w:eastAsia="Times New Roman" w:hAnsi="Times New Roman"/>
                <w:sz w:val="14"/>
                <w:szCs w:val="14"/>
                <w:color w:val="auto"/>
              </w:rPr>
              <w:t>11.81 %</w:t>
            </w:r>
            <w:r>
              <w:rPr>
                <w:rFonts w:ascii="Times New Roman" w:cs="Times New Roman" w:eastAsia="Times New Roman" w:hAnsi="Times New Roman"/>
                <w:sz w:val="19"/>
                <w:szCs w:val="19"/>
                <w:color w:val="auto"/>
                <w:vertAlign w:val="superscript"/>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0"/>
          <w:szCs w:val="20"/>
          <w:color w:val="auto"/>
        </w:rPr>
      </w:pPr>
    </w:p>
    <w:p>
      <w:pPr>
        <w:ind w:left="380" w:hanging="372"/>
        <w:spacing w:after="0"/>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securities to which any applicable prospectus relates are sold to or through underwriters or agents, a corresponding prospectus supplement will disclose the applicable sales load.</w:t>
      </w:r>
    </w:p>
    <w:p>
      <w:pPr>
        <w:spacing w:after="0" w:line="105" w:lineRule="exact"/>
        <w:rPr>
          <w:rFonts w:ascii="Times New Roman" w:cs="Times New Roman" w:eastAsia="Times New Roman" w:hAnsi="Times New Roman"/>
          <w:sz w:val="12"/>
          <w:szCs w:val="12"/>
          <w:color w:val="auto"/>
        </w:rPr>
      </w:pPr>
    </w:p>
    <w:p>
      <w:pPr>
        <w:ind w:left="380" w:right="140" w:hanging="372"/>
        <w:spacing w:after="0" w:line="255" w:lineRule="auto"/>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spacing w:after="0" w:line="8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expenses of the dividend reinvestment plan are included in “Other expenses.”</w:t>
      </w:r>
    </w:p>
    <w:p>
      <w:pPr>
        <w:spacing w:after="0" w:line="10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assets attributable to common shares equals average net assets as of September 30, 2022.</w:t>
      </w:r>
    </w:p>
    <w:p>
      <w:pPr>
        <w:spacing w:after="0" w:line="105" w:lineRule="exact"/>
        <w:rPr>
          <w:rFonts w:ascii="Times New Roman" w:cs="Times New Roman" w:eastAsia="Times New Roman" w:hAnsi="Times New Roman"/>
          <w:sz w:val="12"/>
          <w:szCs w:val="12"/>
          <w:color w:val="auto"/>
        </w:rPr>
      </w:pPr>
    </w:p>
    <w:p>
      <w:pPr>
        <w:ind w:left="380" w:right="200" w:hanging="372"/>
        <w:spacing w:after="0" w:line="255" w:lineRule="auto"/>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contractual management fee is calculated at an annual rate of 1.50% of our average adjusted gross assets up to 200% of the Company’s total net assets as of the immediately preceding quarter-end and 1.00% for amounts that exceed such amount on September 30, 2022. See “Business—Investment Management Agreement” and “Business—Management Fees” for more information.</w:t>
      </w:r>
    </w:p>
    <w:p>
      <w:pPr>
        <w:spacing w:after="0" w:line="84" w:lineRule="exact"/>
        <w:rPr>
          <w:rFonts w:ascii="Times New Roman" w:cs="Times New Roman" w:eastAsia="Times New Roman" w:hAnsi="Times New Roman"/>
          <w:sz w:val="12"/>
          <w:szCs w:val="12"/>
          <w:color w:val="auto"/>
        </w:rPr>
      </w:pPr>
    </w:p>
    <w:p>
      <w:pPr>
        <w:ind w:left="380" w:right="60" w:hanging="372"/>
        <w:spacing w:after="0" w:line="235" w:lineRule="auto"/>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incentive fees paid with respect to net investment income and capital gains, if any, is based on actual amounts incurred during the fiscal year ended September 30, 2022.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2022. For more detailed information about the incentive fee, please see “Business—Investment Management Agreement” and “Business—Management Fees” for more information.</w:t>
      </w:r>
    </w:p>
    <w:p>
      <w:pPr>
        <w:spacing w:after="0" w:line="93" w:lineRule="exact"/>
        <w:rPr>
          <w:rFonts w:ascii="Times New Roman" w:cs="Times New Roman" w:eastAsia="Times New Roman" w:hAnsi="Times New Roman"/>
          <w:sz w:val="12"/>
          <w:szCs w:val="12"/>
          <w:color w:val="auto"/>
        </w:rPr>
      </w:pPr>
    </w:p>
    <w:p>
      <w:pPr>
        <w:ind w:left="380" w:hanging="372"/>
        <w:spacing w:after="0" w:line="239" w:lineRule="auto"/>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September 30, 2022, we had $114.1 million of unused borrowing capacity, subject to maintenance of the applicable total assets to debt ratio, under the 1940 Act. As of such date, we had $385.9 million in borrowings outstanding under our $500.0 million Truist Credit Facility, $150.0 million in aggregate principal of 2026 Notes and $165.0 million in aggregate principal of 2026-2 Notes. As of September 30, 2022, our SBIC Fund had debenture commitments from the SBA in the amount of $20.0 million, all of which were outstanding with a weighted average interest rate of 2.9%, exclusive of the 3.4% of upfront fees. We may use proceeds of any offering of securities under any applicable registration statement to repay outstanding obligations under our Truist Credit Facility. After completing any such offering, we may continue to borrow under our Truist Credit Facility to finance our investment objectives. Annual interest expense on borrowed funds represents actual interest expense incurred for the fiscal year ended September 30, 2022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93" w:lineRule="exact"/>
        <w:rPr>
          <w:rFonts w:ascii="Times New Roman" w:cs="Times New Roman" w:eastAsia="Times New Roman" w:hAnsi="Times New Roman"/>
          <w:sz w:val="12"/>
          <w:szCs w:val="12"/>
          <w:color w:val="auto"/>
        </w:rPr>
      </w:pPr>
    </w:p>
    <w:p>
      <w:pPr>
        <w:ind w:left="380" w:right="20" w:hanging="372"/>
        <w:spacing w:after="0" w:line="243" w:lineRule="auto"/>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stockholders indirectly bear 60.5% of the expenses of our investment in PSLF. No management fee is charged by PennantPark Investment Advisers in connection with PSLF. PSLF pays the Administrator an annual fee of 0.25% of average gross assets under management. For this chart, PSLF fees and operating expenses are based on our share of the actual fees and operating expenses of PSLF for the fiscal year ended September 30, 2022. Expenses for PSLF may fluctuate over time and may be substantially higher or lower in the future.</w:t>
      </w:r>
    </w:p>
    <w:p>
      <w:pPr>
        <w:spacing w:after="0" w:line="1" w:lineRule="exact"/>
        <w:rPr>
          <w:rFonts w:ascii="Times New Roman" w:cs="Times New Roman" w:eastAsia="Times New Roman" w:hAnsi="Times New Roman"/>
          <w:sz w:val="12"/>
          <w:szCs w:val="12"/>
          <w:color w:val="auto"/>
        </w:rPr>
      </w:pPr>
    </w:p>
    <w:p>
      <w:pPr>
        <w:jc w:val="both"/>
        <w:ind w:left="380" w:right="100"/>
        <w:spacing w:after="0" w:line="292"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Our stockholders indirectly bear 23.1% of the expenses of our investment in PTSF II. A management fee equal to 0.30% per annum of the gross assets of PTSF II and its subsidiaries is charged by PennantPark Investment Advisers in connection with PTSF II (which is waived by PennantPark Investment Advisers). When applicable, fees and operating expenses estimates would be based on historic fees and operating expenses for acquired funds. For PTSF II,</w:t>
      </w:r>
    </w:p>
    <w:p>
      <w:pPr>
        <w:spacing w:after="0" w:line="1" w:lineRule="exact"/>
        <w:rPr>
          <w:rFonts w:ascii="Times New Roman" w:cs="Times New Roman" w:eastAsia="Times New Roman" w:hAnsi="Times New Roman"/>
          <w:sz w:val="12"/>
          <w:szCs w:val="12"/>
          <w:color w:val="auto"/>
        </w:rPr>
      </w:pPr>
    </w:p>
    <w:p>
      <w:pPr>
        <w:ind w:left="380" w:right="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has a limited operating history, fees and operating expenses are estimates based on expected fees and operating expenses of PTSF II for the applicable fiscal quarter, annualized for a full year. Expenses for PTSF may fluctuate over time and may be substantially higher or lower in the future.</w:t>
      </w:r>
    </w:p>
    <w:p>
      <w:pPr>
        <w:spacing w:after="0" w:line="84" w:lineRule="exact"/>
        <w:rPr>
          <w:rFonts w:ascii="Times New Roman" w:cs="Times New Roman" w:eastAsia="Times New Roman" w:hAnsi="Times New Roman"/>
          <w:sz w:val="12"/>
          <w:szCs w:val="12"/>
          <w:color w:val="auto"/>
        </w:rPr>
      </w:pPr>
    </w:p>
    <w:p>
      <w:pPr>
        <w:ind w:left="380" w:right="280" w:hanging="372"/>
        <w:spacing w:after="0" w:line="255" w:lineRule="auto"/>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expenses” includes our general and administrative expenses, professional fees, directors’ fees, insurance costs, taxes, expenses of our dividend reinvestment plan and the expenses of the Investment Adviser reimbursable under our Investment Management Agreement and of the Administrator reimbursable under our Administration Agreement.</w:t>
      </w:r>
    </w:p>
    <w:p>
      <w:pPr>
        <w:spacing w:after="0" w:line="84" w:lineRule="exact"/>
        <w:rPr>
          <w:rFonts w:ascii="Times New Roman" w:cs="Times New Roman" w:eastAsia="Times New Roman" w:hAnsi="Times New Roman"/>
          <w:sz w:val="12"/>
          <w:szCs w:val="12"/>
          <w:color w:val="auto"/>
        </w:rPr>
      </w:pPr>
    </w:p>
    <w:p>
      <w:pPr>
        <w:ind w:left="380" w:right="20" w:hanging="372"/>
        <w:spacing w:after="0" w:line="241" w:lineRule="auto"/>
        <w:tabs>
          <w:tab w:leader="none" w:pos="3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5.6% of average total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Example</w:t>
      </w:r>
    </w:p>
    <w:p>
      <w:pPr>
        <w:spacing w:after="0" w:line="111" w:lineRule="exact"/>
        <w:rPr>
          <w:sz w:val="20"/>
          <w:szCs w:val="20"/>
          <w:color w:val="auto"/>
        </w:rPr>
      </w:pPr>
    </w:p>
    <w:p>
      <w:pPr>
        <w:ind w:right="100" w:firstLine="469"/>
        <w:spacing w:after="0" w:line="271" w:lineRule="auto"/>
        <w:rPr>
          <w:sz w:val="20"/>
          <w:szCs w:val="20"/>
          <w:color w:val="auto"/>
        </w:rPr>
      </w:pPr>
      <w:r>
        <w:rPr>
          <w:rFonts w:ascii="Times New Roman" w:cs="Times New Roman" w:eastAsia="Times New Roman" w:hAnsi="Times New Roman"/>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11.40% of average net assets attributable to common shares as set forth in the table above (other than performance-based incentive fees) and (3) a 5% annual return.</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 stock investment</w:t>
            </w:r>
          </w:p>
        </w:tc>
        <w:tc>
          <w:tcPr>
            <w:tcW w:w="14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 Years</w:t>
            </w:r>
          </w:p>
        </w:tc>
        <w:tc>
          <w:tcPr>
            <w:tcW w:w="2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10 Years</w:t>
            </w:r>
          </w:p>
        </w:tc>
        <w:tc>
          <w:tcPr>
            <w:tcW w:w="100" w:type="dxa"/>
            <w:vAlign w:val="bottom"/>
          </w:tcPr>
          <w:p>
            <w:pPr>
              <w:spacing w:after="0"/>
              <w:rPr>
                <w:sz w:val="16"/>
                <w:szCs w:val="16"/>
                <w:color w:val="auto"/>
              </w:rPr>
            </w:pPr>
          </w:p>
        </w:tc>
      </w:tr>
      <w:tr>
        <w:trPr>
          <w:trHeight w:val="169"/>
        </w:trPr>
        <w:tc>
          <w:tcPr>
            <w:tcW w:w="6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Assuming a 5% annual return (assumes no return from net realized capital gains or net</w:t>
            </w: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64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unrealized capital appreciation)</w:t>
            </w:r>
          </w:p>
        </w:tc>
        <w:tc>
          <w:tcPr>
            <w:tcW w:w="860" w:type="dxa"/>
            <w:vAlign w:val="bottom"/>
            <w:gridSpan w:val="2"/>
            <w:shd w:val="clear" w:color="auto" w:fill="CCEC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5"/>
              </w:rPr>
              <w:t>142</w:t>
            </w:r>
          </w:p>
        </w:tc>
        <w:tc>
          <w:tcPr>
            <w:tcW w:w="960" w:type="dxa"/>
            <w:vAlign w:val="bottom"/>
            <w:gridSpan w:val="2"/>
            <w:shd w:val="clear" w:color="auto" w:fill="CCECFF"/>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5"/>
              </w:rPr>
              <w:t>335</w:t>
            </w:r>
          </w:p>
        </w:tc>
        <w:tc>
          <w:tcPr>
            <w:tcW w:w="4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3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840</w:t>
            </w:r>
          </w:p>
        </w:tc>
        <w:tc>
          <w:tcPr>
            <w:tcW w:w="100" w:type="dxa"/>
            <w:vAlign w:val="bottom"/>
            <w:shd w:val="clear" w:color="auto" w:fill="CCECFF"/>
          </w:tcPr>
          <w:p>
            <w:pPr>
              <w:spacing w:after="0"/>
              <w:rPr>
                <w:sz w:val="15"/>
                <w:szCs w:val="15"/>
                <w:color w:val="auto"/>
              </w:rPr>
            </w:pPr>
          </w:p>
        </w:tc>
      </w:tr>
      <w:tr>
        <w:trPr>
          <w:trHeight w:val="166"/>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Assuming a 5% annual return (assumes return only from realized capital gains and thus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6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subject to the capital gains incentive fee)</w:t>
            </w:r>
          </w:p>
        </w:tc>
        <w:tc>
          <w:tcPr>
            <w:tcW w:w="860" w:type="dxa"/>
            <w:vAlign w:val="bottom"/>
            <w:gridSpan w:val="2"/>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149</w:t>
            </w:r>
          </w:p>
        </w:tc>
        <w:tc>
          <w:tcPr>
            <w:tcW w:w="96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353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00" w:type="dxa"/>
            <w:vAlign w:val="bottom"/>
          </w:tcPr>
          <w:p>
            <w:pPr>
              <w:spacing w:after="0"/>
              <w:rPr>
                <w:sz w:val="16"/>
                <w:szCs w:val="16"/>
                <w:color w:val="auto"/>
              </w:rPr>
            </w:pPr>
          </w:p>
        </w:tc>
      </w:tr>
    </w:tbl>
    <w:p>
      <w:pPr>
        <w:spacing w:after="0" w:line="392" w:lineRule="exact"/>
        <w:rPr>
          <w:sz w:val="20"/>
          <w:szCs w:val="20"/>
          <w:color w:val="auto"/>
        </w:rPr>
      </w:pPr>
    </w:p>
    <w:p>
      <w:pPr>
        <w:ind w:right="100" w:firstLine="449"/>
        <w:spacing w:after="0" w:line="256" w:lineRule="auto"/>
        <w:rPr>
          <w:sz w:val="20"/>
          <w:szCs w:val="20"/>
          <w:color w:val="auto"/>
        </w:rPr>
      </w:pPr>
      <w:r>
        <w:rPr>
          <w:rFonts w:ascii="Times New Roman" w:cs="Times New Roman" w:eastAsia="Times New Roman" w:hAnsi="Times New Roman"/>
          <w:sz w:val="14"/>
          <w:szCs w:val="14"/>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41" w:name="page42"/>
    <w:bookmarkEnd w:id="41"/>
    <w:p>
      <w:pPr>
        <w:spacing w:after="0" w:line="302" w:lineRule="auto"/>
        <w:rPr>
          <w:sz w:val="20"/>
          <w:szCs w:val="20"/>
          <w:color w:val="auto"/>
        </w:rPr>
      </w:pPr>
      <w:r>
        <w:rPr>
          <w:rFonts w:ascii="Times New Roman" w:cs="Times New Roman" w:eastAsia="Times New Roman" w:hAnsi="Times New Roman"/>
          <w:sz w:val="14"/>
          <w:szCs w:val="14"/>
          <w:color w:val="auto"/>
        </w:rPr>
        <w:t>distributions are reinvested at NAV. Reinvestment of distributions under our dividend reinvestment plan may occur at a price per share that differs from NAV. See “Distributions” for more information.</w:t>
      </w:r>
    </w:p>
    <w:p>
      <w:pPr>
        <w:spacing w:after="0" w:line="14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319" w:right="819" w:bottom="1440" w:gutter="0" w:footer="0" w:header="0"/>
        </w:sectPr>
      </w:pPr>
    </w:p>
    <w:bookmarkStart w:id="42" w:name="page43"/>
    <w:bookmarkEnd w:id="42"/>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tab/>
        <w:t>Selected Financial Data</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1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w:t>
      </w:r>
    </w:p>
    <w:p>
      <w:pPr>
        <w:spacing w:after="0" w:line="17"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risks and uncertainties, including statements as to:</w:t>
      </w:r>
    </w:p>
    <w:p>
      <w:pPr>
        <w:spacing w:after="0" w:line="120" w:lineRule="exact"/>
        <w:rPr>
          <w:sz w:val="20"/>
          <w:szCs w:val="20"/>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pandemic caused by COVID-19 or any future worsening there of;</w:t>
      </w:r>
    </w:p>
    <w:p>
      <w:pPr>
        <w:spacing w:after="0" w:line="149" w:lineRule="exact"/>
        <w:rPr>
          <w:rFonts w:ascii="Times New Roman" w:cs="Times New Roman" w:eastAsia="Times New Roman" w:hAnsi="Times New Roman"/>
          <w:sz w:val="14"/>
          <w:szCs w:val="14"/>
          <w:color w:val="auto"/>
        </w:rPr>
      </w:pPr>
    </w:p>
    <w:p>
      <w:pPr>
        <w:ind w:left="960" w:right="280" w:hanging="383"/>
        <w:spacing w:after="0" w:line="261" w:lineRule="auto"/>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COVID-19 pandemic or any future worsening there of;</w:t>
      </w:r>
    </w:p>
    <w:p>
      <w:pPr>
        <w:spacing w:after="0" w:line="108"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levels of inflation, and its impact on us and our portfolio companies;</w:t>
      </w:r>
    </w:p>
    <w:p>
      <w:pPr>
        <w:spacing w:after="0" w:line="136"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136" w:lineRule="exact"/>
        <w:rPr>
          <w:rFonts w:ascii="Times New Roman" w:cs="Times New Roman" w:eastAsia="Times New Roman" w:hAnsi="Times New Roman"/>
          <w:sz w:val="14"/>
          <w:szCs w:val="14"/>
          <w:color w:val="auto"/>
        </w:rPr>
      </w:pPr>
    </w:p>
    <w:p>
      <w:pPr>
        <w:ind w:left="960" w:right="40" w:hanging="383"/>
        <w:spacing w:after="0" w:line="261" w:lineRule="auto"/>
        <w:tabs>
          <w:tab w:leader="none" w:pos="9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ongoing invasion of Ukraine by Russia, United Kingdom’s withdrawal from the European Union (commonly known as “Brexit”) and other world economic and political issues.</w:t>
      </w:r>
    </w:p>
    <w:p>
      <w:pPr>
        <w:spacing w:after="0" w:line="109" w:lineRule="exact"/>
        <w:rPr>
          <w:sz w:val="20"/>
          <w:szCs w:val="20"/>
          <w:color w:val="auto"/>
        </w:rPr>
      </w:pPr>
    </w:p>
    <w:p>
      <w:pPr>
        <w:ind w:right="140" w:firstLine="449"/>
        <w:spacing w:after="0" w:line="243"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 Factors” and elsewhere in this Report.</w:t>
      </w:r>
    </w:p>
    <w:p>
      <w:pPr>
        <w:spacing w:after="0" w:line="120"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122" w:lineRule="exact"/>
        <w:rPr>
          <w:sz w:val="20"/>
          <w:szCs w:val="20"/>
          <w:color w:val="auto"/>
        </w:rPr>
      </w:pPr>
    </w:p>
    <w:p>
      <w:pPr>
        <w:ind w:right="80" w:firstLine="449"/>
        <w:spacing w:after="0" w:line="243"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w:t>
      </w:r>
    </w:p>
    <w:p>
      <w:pPr>
        <w:spacing w:after="0" w:line="1"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4"/>
          <w:szCs w:val="14"/>
          <w:color w:val="auto"/>
        </w:rPr>
        <w:t>you are advised to consult any additional disclosures that we may make directly to you or through reports that we in the future may file with the SEC, including reports on Form 10-Q/K and current reports on Form 8-K.</w:t>
      </w:r>
    </w:p>
    <w:p>
      <w:pPr>
        <w:spacing w:after="0" w:line="122" w:lineRule="exact"/>
        <w:rPr>
          <w:sz w:val="20"/>
          <w:szCs w:val="20"/>
          <w:color w:val="auto"/>
        </w:rPr>
      </w:pPr>
    </w:p>
    <w:p>
      <w:pPr>
        <w:ind w:right="520" w:firstLine="449"/>
        <w:spacing w:after="0" w:line="261"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9" w:lineRule="exact"/>
        <w:rPr>
          <w:sz w:val="20"/>
          <w:szCs w:val="20"/>
          <w:color w:val="auto"/>
        </w:rPr>
      </w:pPr>
    </w:p>
    <w:p>
      <w:pPr>
        <w:ind w:right="540" w:firstLine="449"/>
        <w:spacing w:after="0" w:line="261"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0"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believe middle-market companies offer attractive risk-reward to investors due to a limited amount of capital available for such companies. We seek to create a diversified portfolio that</w:t>
      </w:r>
    </w:p>
    <w:p>
      <w:pPr>
        <w:spacing w:after="0" w:line="17"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4"/>
          <w:szCs w:val="14"/>
          <w:color w:val="auto"/>
        </w:rPr>
        <w:t>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w:t>
      </w:r>
    </w:p>
    <w:p>
      <w:pPr>
        <w:spacing w:after="0" w:line="1"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4"/>
          <w:szCs w:val="14"/>
          <w:color w:val="auto"/>
        </w:rPr>
        <w:t>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4"/>
          <w:szCs w:val="14"/>
          <w:color w:val="auto"/>
        </w:rPr>
        <w:t>rated below investment grade are often referred to as “leveraged loans” or “high yield” securities or “junk bonds” and are often higher risk compared to debt instruments that are rated above investment grade and have speculative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44" w:name="page45"/>
    <w:bookmarkEnd w:id="44"/>
    <w:p>
      <w:pPr>
        <w:ind w:right="20"/>
        <w:spacing w:after="0" w:line="282" w:lineRule="auto"/>
        <w:rPr>
          <w:sz w:val="20"/>
          <w:szCs w:val="20"/>
          <w:color w:val="auto"/>
        </w:rPr>
      </w:pPr>
      <w:r>
        <w:rPr>
          <w:rFonts w:ascii="Times New Roman" w:cs="Times New Roman" w:eastAsia="Times New Roman" w:hAnsi="Times New Roman"/>
          <w:sz w:val="14"/>
          <w:szCs w:val="14"/>
          <w:color w:val="auto"/>
        </w:rPr>
        <w:t>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w:t>
      </w:r>
    </w:p>
    <w:p>
      <w:pPr>
        <w:spacing w:after="0" w:line="17"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14"/>
          <w:szCs w:val="14"/>
          <w:color w:val="auto"/>
        </w:rPr>
        <w:t>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154" w:lineRule="exact"/>
        <w:rPr>
          <w:sz w:val="20"/>
          <w:szCs w:val="20"/>
          <w:color w:val="auto"/>
        </w:rPr>
      </w:pPr>
    </w:p>
    <w:p>
      <w:pPr>
        <w:ind w:right="80"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5" w:lineRule="exact"/>
        <w:rPr>
          <w:sz w:val="20"/>
          <w:szCs w:val="20"/>
          <w:color w:val="auto"/>
        </w:rPr>
      </w:pPr>
    </w:p>
    <w:p>
      <w:pPr>
        <w:ind w:firstLine="449"/>
        <w:spacing w:after="0" w:line="243" w:lineRule="auto"/>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meet the investment selection criteria used by PennantPark Investment.</w:t>
      </w:r>
    </w:p>
    <w:p>
      <w:pPr>
        <w:spacing w:after="0" w:line="120" w:lineRule="exact"/>
        <w:rPr>
          <w:sz w:val="20"/>
          <w:szCs w:val="20"/>
          <w:color w:val="auto"/>
        </w:rPr>
      </w:pPr>
    </w:p>
    <w:p>
      <w:pPr>
        <w:ind w:right="20" w:firstLine="449"/>
        <w:spacing w:after="0" w:line="236" w:lineRule="auto"/>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w:t>
      </w:r>
    </w:p>
    <w:p>
      <w:pPr>
        <w:spacing w:after="0" w:line="231" w:lineRule="auto"/>
        <w:rPr>
          <w:sz w:val="20"/>
          <w:szCs w:val="20"/>
          <w:color w:val="auto"/>
        </w:rPr>
      </w:pPr>
      <w:r>
        <w:rPr>
          <w:rFonts w:ascii="Times New Roman" w:cs="Times New Roman" w:eastAsia="Times New Roman" w:hAnsi="Times New Roman"/>
          <w:sz w:val="14"/>
          <w:szCs w:val="14"/>
          <w:color w:val="auto"/>
        </w:rPr>
        <w:t>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w:t>
      </w:r>
    </w:p>
    <w:p>
      <w:pPr>
        <w:spacing w:after="0" w:line="1" w:lineRule="exact"/>
        <w:rPr>
          <w:sz w:val="20"/>
          <w:szCs w:val="20"/>
          <w:color w:val="auto"/>
        </w:rPr>
      </w:pPr>
    </w:p>
    <w:p>
      <w:pPr>
        <w:jc w:val="both"/>
        <w:ind w:right="100"/>
        <w:spacing w:after="0" w:line="233" w:lineRule="auto"/>
        <w:rPr>
          <w:sz w:val="20"/>
          <w:szCs w:val="20"/>
          <w:color w:val="auto"/>
        </w:rPr>
      </w:pPr>
      <w:r>
        <w:rPr>
          <w:rFonts w:ascii="Times New Roman" w:cs="Times New Roman" w:eastAsia="Times New Roman" w:hAnsi="Times New Roman"/>
          <w:sz w:val="14"/>
          <w:szCs w:val="14"/>
          <w:color w:val="auto"/>
        </w:rPr>
        <w:t>compensation and related expenses of our Chief Compliance Officer, Chief Financial Officer, Corporate Counsel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w:t>
      </w:r>
    </w:p>
    <w:p>
      <w:pPr>
        <w:spacing w:after="0" w:line="17"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4"/>
          <w:szCs w:val="14"/>
          <w:color w:val="auto"/>
        </w:rPr>
        <w:t>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4"/>
          <w:szCs w:val="14"/>
          <w:color w:val="auto"/>
        </w:rPr>
        <w:t>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w:t>
      </w:r>
    </w:p>
    <w:p>
      <w:pPr>
        <w:jc w:val="both"/>
        <w:ind w:right="20"/>
        <w:spacing w:after="0" w:line="233" w:lineRule="auto"/>
        <w:rPr>
          <w:sz w:val="20"/>
          <w:szCs w:val="20"/>
          <w:color w:val="auto"/>
        </w:rPr>
      </w:pPr>
      <w:r>
        <w:rPr>
          <w:rFonts w:ascii="Times New Roman" w:cs="Times New Roman" w:eastAsia="Times New Roman" w:hAnsi="Times New Roman"/>
          <w:sz w:val="14"/>
          <w:szCs w:val="14"/>
          <w:color w:val="auto"/>
        </w:rPr>
        <w:t>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primary operating expenses include interest expense on the outstanding debt and unused commitment fees on undrawn amounts, under our various debt facilities, the payment of a</w:t>
      </w:r>
    </w:p>
    <w:p>
      <w:pPr>
        <w:spacing w:after="0" w:line="17"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4"/>
          <w:szCs w:val="14"/>
          <w:color w:val="auto"/>
        </w:rPr>
        <w:t>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We bear all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 or indirect costs and expenses of our operations and transactions, including:</w:t>
      </w:r>
    </w:p>
    <w:p>
      <w:pPr>
        <w:spacing w:after="0" w:line="118" w:lineRule="exact"/>
        <w:rPr>
          <w:sz w:val="20"/>
          <w:szCs w:val="20"/>
          <w:color w:val="auto"/>
        </w:rPr>
      </w:pPr>
    </w:p>
    <w:p>
      <w:pPr>
        <w:ind w:left="960" w:right="4620"/>
        <w:spacing w:after="0" w:line="442" w:lineRule="auto"/>
        <w:rPr>
          <w:sz w:val="20"/>
          <w:szCs w:val="20"/>
          <w:color w:val="auto"/>
        </w:rPr>
      </w:pPr>
      <w:r>
        <w:rPr>
          <w:rFonts w:ascii="Times New Roman" w:cs="Times New Roman" w:eastAsia="Times New Roman" w:hAnsi="Times New Roman"/>
          <w:sz w:val="14"/>
          <w:szCs w:val="14"/>
          <w:color w:val="auto"/>
        </w:rPr>
        <w:t>the cost of calculating our net asset value, including the cost of any third-party valuation services; the cost of effecting sales and repurchases of shares of our common stock and other securities;</w:t>
      </w:r>
    </w:p>
    <w:p>
      <w:pPr>
        <w:spacing w:after="0" w:line="1" w:lineRule="exact"/>
        <w:rPr>
          <w:sz w:val="20"/>
          <w:szCs w:val="20"/>
          <w:color w:val="auto"/>
        </w:rPr>
      </w:pPr>
    </w:p>
    <w:p>
      <w:pPr>
        <w:ind w:left="960" w:right="20"/>
        <w:spacing w:after="0" w:line="261" w:lineRule="auto"/>
        <w:rPr>
          <w:sz w:val="20"/>
          <w:szCs w:val="20"/>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95" w:lineRule="exact"/>
        <w:rPr>
          <w:sz w:val="20"/>
          <w:szCs w:val="20"/>
          <w:color w:val="auto"/>
        </w:rPr>
      </w:pPr>
    </w:p>
    <w:p>
      <w:pPr>
        <w:ind w:left="960" w:right="4380"/>
        <w:spacing w:after="0" w:line="442" w:lineRule="auto"/>
        <w:rPr>
          <w:sz w:val="20"/>
          <w:szCs w:val="20"/>
          <w:color w:val="auto"/>
        </w:rPr>
      </w:pPr>
      <w:r>
        <w:rPr>
          <w:rFonts w:ascii="Times New Roman" w:cs="Times New Roman" w:eastAsia="Times New Roman" w:hAnsi="Times New Roman"/>
          <w:sz w:val="14"/>
          <w:szCs w:val="14"/>
          <w:color w:val="auto"/>
        </w:rPr>
        <w:t>expenses incurred by the Investment Adviser in performing due diligence and reviews of investments; transfer agent and custodial fees;</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fees and expenses associated with marketing efforts;</w:t>
      </w:r>
    </w:p>
    <w:p>
      <w:pPr>
        <w:spacing w:after="0" w:line="136" w:lineRule="exact"/>
        <w:rPr>
          <w:sz w:val="20"/>
          <w:szCs w:val="20"/>
          <w:color w:val="auto"/>
        </w:rPr>
      </w:pPr>
    </w:p>
    <w:p>
      <w:pPr>
        <w:ind w:left="960" w:right="6580"/>
        <w:spacing w:after="0" w:line="442" w:lineRule="auto"/>
        <w:rPr>
          <w:sz w:val="20"/>
          <w:szCs w:val="20"/>
          <w:color w:val="auto"/>
        </w:rPr>
      </w:pPr>
      <w:r>
        <w:rPr>
          <w:rFonts w:ascii="Times New Roman" w:cs="Times New Roman" w:eastAsia="Times New Roman" w:hAnsi="Times New Roman"/>
          <w:sz w:val="14"/>
          <w:szCs w:val="14"/>
          <w:color w:val="auto"/>
        </w:rPr>
        <w:t>federal and state registration fees and any exchange listing fees; federal, state, local and foreign taxes;</w:t>
      </w:r>
    </w:p>
    <w:p>
      <w:pPr>
        <w:spacing w:after="0" w:line="1" w:lineRule="exact"/>
        <w:rPr>
          <w:sz w:val="20"/>
          <w:szCs w:val="20"/>
          <w:color w:val="auto"/>
        </w:rPr>
      </w:pPr>
    </w:p>
    <w:p>
      <w:pPr>
        <w:ind w:left="960" w:right="7860"/>
        <w:spacing w:after="0" w:line="442" w:lineRule="auto"/>
        <w:rPr>
          <w:sz w:val="20"/>
          <w:szCs w:val="20"/>
          <w:color w:val="auto"/>
        </w:rPr>
      </w:pPr>
      <w:r>
        <w:rPr>
          <w:rFonts w:ascii="Times New Roman" w:cs="Times New Roman" w:eastAsia="Times New Roman" w:hAnsi="Times New Roman"/>
          <w:sz w:val="14"/>
          <w:szCs w:val="14"/>
          <w:color w:val="auto"/>
        </w:rPr>
        <w:t>independent directors’ fees and expenses; brokerage commissions;</w:t>
      </w:r>
    </w:p>
    <w:p>
      <w:pPr>
        <w:spacing w:after="0" w:line="1" w:lineRule="exact"/>
        <w:rPr>
          <w:sz w:val="20"/>
          <w:szCs w:val="20"/>
          <w:color w:val="auto"/>
        </w:rPr>
      </w:pPr>
    </w:p>
    <w:p>
      <w:pPr>
        <w:ind w:left="960" w:right="4080"/>
        <w:spacing w:after="0" w:line="442" w:lineRule="auto"/>
        <w:rPr>
          <w:sz w:val="20"/>
          <w:szCs w:val="20"/>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 direct costs such as printing, mailing, long distance telephone and staff;</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costs associated with our reporting and compliance obligations under the 1940 Act, the 1958 Act and applicable federal and state securities laws; and</w:t>
      </w:r>
    </w:p>
    <w:p>
      <w:pPr>
        <w:spacing w:after="0" w:line="136" w:lineRule="exact"/>
        <w:rPr>
          <w:sz w:val="20"/>
          <w:szCs w:val="20"/>
          <w:color w:val="auto"/>
        </w:rPr>
      </w:pPr>
    </w:p>
    <w:p>
      <w:pPr>
        <w:ind w:left="960"/>
        <w:spacing w:after="0" w:line="249" w:lineRule="auto"/>
        <w:rPr>
          <w:sz w:val="20"/>
          <w:szCs w:val="20"/>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Corporate Counsel and their respective staffs.</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45" w:name="page46"/>
    <w:bookmarkEnd w:id="45"/>
    <w:p>
      <w:pPr>
        <w:ind w:firstLine="449"/>
        <w:spacing w:after="0" w:line="261"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52" w:lineRule="exact"/>
        <w:rPr>
          <w:sz w:val="20"/>
          <w:szCs w:val="20"/>
          <w:color w:val="auto"/>
        </w:rPr>
      </w:pPr>
    </w:p>
    <w:p>
      <w:pPr>
        <w:ind w:right="20" w:firstLine="449"/>
        <w:spacing w:after="0" w:line="257" w:lineRule="auto"/>
        <w:rPr>
          <w:sz w:val="20"/>
          <w:szCs w:val="20"/>
          <w:color w:val="auto"/>
        </w:rPr>
      </w:pPr>
      <w:r>
        <w:rPr>
          <w:rFonts w:ascii="Times New Roman" w:cs="Times New Roman" w:eastAsia="Times New Roman" w:hAnsi="Times New Roman"/>
          <w:sz w:val="14"/>
          <w:szCs w:val="14"/>
          <w:color w:val="auto"/>
        </w:rPr>
        <w:t>As of September 30, 2022, our portfolio totaled $1,226.3 million and consisted of $631.0 million of first lien secured debt, $129.9 million of second lien secured debt, $141.3 million of subordinated debt (including $88.0 million in PSLF) and $324.1 million of preferred and common equity (including $51.1 million in PSLF). Our interest bearing debt portfolio consisted of 96% variable-rate investments and 4% fixed-rate investments. As of September 30, 2022, we had one portfolio company on non-accrual, representing 1% and zero percent of our overall portfolio on a cost and fair value basis, respectively. Overall, the portfolio had net unrealized depreciation of $71.0 million as of September 30, 2022. Our overall portfolio consisted of 123 companies with an average investment size of $10.1 million, had a weighted average yield on interest bearing debt investments of 10.8 % and was invested 51 % in first lien secured debt, 11 % in second lien secured debt, 12% in subordinated debt (including 7 % in PSLF) and 26 % in preferred and common equity (including 4 % in PSLF).</w:t>
      </w:r>
    </w:p>
    <w:p>
      <w:pPr>
        <w:spacing w:after="0" w:line="10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As of September 30, 2021, our portfolio totaled $1,255.3 million and consisted of $552.5 million of first lien secured debt, $176.9 million of second lien secured debt, $121.2 million of subordinated debt (including $64.2 million in PSLF) and $404.7 million of preferred and common equity (including $41.2 million in PSLF). Our interest bearing debt portfolio consisted of 92% variable-rate investments and 8% fixed-rate investments. As of September 30, 2021, we had no portfolio companies on non-accrual. Overall, the portfolio had net unrealized appreciation of $34.2 million as of September 30, 2021. Our overall portfolio consisted of 97 companies with an average investment size of $12.9 million, had a weighted average yield on interest bearing debt investments of 9.0% and was invested 44% in first lien secured debt, 14% in second lien secured debt, 10% in subordinated debt (including 5% in PSLF) and 32% in preferred and common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 (including 3% in PSLF).</w:t>
      </w:r>
    </w:p>
    <w:p>
      <w:pPr>
        <w:spacing w:after="0" w:line="150"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For the year ended September 30, 2022, we invested $933.8 million of investments in 40 new and 122 existing portfolio companies with a weighted average yield on debt investments of 8.4 %. Sales and repayments of investments for the same period totaled $911.6 million.</w:t>
      </w:r>
    </w:p>
    <w:p>
      <w:pPr>
        <w:spacing w:after="0" w:line="94" w:lineRule="exact"/>
        <w:rPr>
          <w:sz w:val="20"/>
          <w:szCs w:val="20"/>
          <w:color w:val="auto"/>
        </w:rPr>
      </w:pPr>
    </w:p>
    <w:p>
      <w:pPr>
        <w:ind w:right="160" w:firstLine="449"/>
        <w:spacing w:after="0" w:line="282" w:lineRule="auto"/>
        <w:rPr>
          <w:sz w:val="20"/>
          <w:szCs w:val="20"/>
          <w:color w:val="auto"/>
        </w:rPr>
      </w:pPr>
      <w:r>
        <w:rPr>
          <w:rFonts w:ascii="Times New Roman" w:cs="Times New Roman" w:eastAsia="Times New Roman" w:hAnsi="Times New Roman"/>
          <w:sz w:val="14"/>
          <w:szCs w:val="14"/>
          <w:color w:val="auto"/>
        </w:rPr>
        <w:t>For the year ended September 30, 2021, we invested $441.4 million of investments in 30 new and 49 existing portfolio companies with a weighted average yield on debt investments of 8.1%. Sales and repayments of investments for the same period totaled $434.5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52"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As of September 30, 2022, PSLF’s portfolio totaled $730.1 million, consisted of 80 companies with an average investment size of $9.1 million and had a weighted average yield on debt investments of 9.4%. As of September 30, 2022, all of the investments held by PSLF were first lien secured debt. For the year ended September 30, 2022, PSLF invested $431.2 million (of which $387.4 million was purchased from the Company) in 39 new and 28 existing portfolio companies with a weighted average yield on debt investments of 7.8%. PSLF’s sales and repayments of investments for the same period totaled $100.5 million.</w:t>
      </w:r>
    </w:p>
    <w:p>
      <w:pPr>
        <w:spacing w:after="0" w:line="112"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As of September 30, 2021, PSLF’s portfolio totaled $405.2 million, consisted of 47 companies with an average investment size of $8.6 million and had a weighted average yield on debt investments of 7.1%. As of September 30, 2021, all of the investments held by PSLF were first lien secured debt. For the year ended September 30, 2021, PSLF invested $149.4 million (of which $123.4 million was purchased from the Company) in 18 new and nine existing portfolio companies with a weighted average yield on debt investments of 7.3%. PSLF’s sales and repayments of investments totaled $104.9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52"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including the credit worthiness of our portfolio companies.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154"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03" w:lineRule="exact"/>
        <w:rPr>
          <w:sz w:val="20"/>
          <w:szCs w:val="20"/>
          <w:color w:val="auto"/>
        </w:rPr>
      </w:pPr>
    </w:p>
    <w:p>
      <w:pPr>
        <w:ind w:right="340" w:firstLine="449"/>
        <w:spacing w:after="0" w:line="302"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1" w:lineRule="exact"/>
        <w:rPr>
          <w:sz w:val="20"/>
          <w:szCs w:val="20"/>
          <w:color w:val="auto"/>
        </w:rPr>
      </w:pPr>
    </w:p>
    <w:p>
      <w:pPr>
        <w:ind w:left="940" w:right="180" w:hanging="370"/>
        <w:spacing w:after="0" w:line="282" w:lineRule="auto"/>
        <w:tabs>
          <w:tab w:leader="none" w:pos="9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4" w:lineRule="exact"/>
        <w:rPr>
          <w:rFonts w:ascii="Times New Roman" w:cs="Times New Roman" w:eastAsia="Times New Roman" w:hAnsi="Times New Roman"/>
          <w:sz w:val="14"/>
          <w:szCs w:val="14"/>
          <w:color w:val="auto"/>
        </w:rPr>
      </w:pPr>
    </w:p>
    <w:p>
      <w:pPr>
        <w:ind w:left="940" w:hanging="370"/>
        <w:spacing w:after="0"/>
        <w:tabs>
          <w:tab w:leader="none" w:pos="9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49" w:lineRule="exact"/>
        <w:rPr>
          <w:rFonts w:ascii="Times New Roman" w:cs="Times New Roman" w:eastAsia="Times New Roman" w:hAnsi="Times New Roman"/>
          <w:sz w:val="14"/>
          <w:szCs w:val="14"/>
          <w:color w:val="auto"/>
        </w:rPr>
      </w:pPr>
    </w:p>
    <w:p>
      <w:pPr>
        <w:jc w:val="both"/>
        <w:ind w:left="940" w:right="20" w:hanging="370"/>
        <w:spacing w:after="0" w:line="261" w:lineRule="auto"/>
        <w:tabs>
          <w:tab w:leader="none" w:pos="9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ind w:left="940" w:right="280" w:hanging="370"/>
        <w:spacing w:after="0" w:line="271" w:lineRule="auto"/>
        <w:tabs>
          <w:tab w:leader="none" w:pos="9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6" w:name="page47"/>
    <w:bookmarkEnd w:id="46"/>
    <w:p>
      <w:pPr>
        <w:ind w:left="940" w:right="60" w:hanging="370"/>
        <w:spacing w:after="0" w:line="282" w:lineRule="auto"/>
        <w:tabs>
          <w:tab w:leader="none" w:pos="9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4"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0"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1: Inputs that are quoted prices (unadjusted) in active markets for identical assets or liabilities, accessible by us at the measurement date.</w:t>
      </w:r>
    </w:p>
    <w:p>
      <w:pPr>
        <w:spacing w:after="0" w:line="150" w:lineRule="exact"/>
        <w:rPr>
          <w:sz w:val="20"/>
          <w:szCs w:val="20"/>
          <w:color w:val="auto"/>
        </w:rPr>
      </w:pPr>
    </w:p>
    <w:p>
      <w:pPr>
        <w:ind w:left="580" w:right="180"/>
        <w:spacing w:after="0" w:line="282" w:lineRule="auto"/>
        <w:rPr>
          <w:sz w:val="20"/>
          <w:szCs w:val="20"/>
          <w:color w:val="auto"/>
        </w:rPr>
      </w:pPr>
      <w:r>
        <w:rPr>
          <w:rFonts w:ascii="Times New Roman" w:cs="Times New Roman" w:eastAsia="Times New Roman" w:hAnsi="Times New Roman"/>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3: 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Truist Credit Facility, 2026 Notes and 2026-2 Notes and our SBA debentures are classified as Level 3. Our 2024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0"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4"/>
          <w:szCs w:val="14"/>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116" w:lineRule="exact"/>
        <w:rPr>
          <w:sz w:val="20"/>
          <w:szCs w:val="20"/>
          <w:color w:val="auto"/>
        </w:rPr>
      </w:pPr>
    </w:p>
    <w:p>
      <w:pPr>
        <w:jc w:val="both"/>
        <w:ind w:right="60" w:firstLine="449"/>
        <w:spacing w:after="0" w:line="27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2024 Notes, our 2026 Notes, 2026-2 Notes and our Truist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89" w:lineRule="exact"/>
        <w:rPr>
          <w:sz w:val="20"/>
          <w:szCs w:val="20"/>
          <w:color w:val="auto"/>
        </w:rPr>
      </w:pPr>
    </w:p>
    <w:p>
      <w:pPr>
        <w:ind w:firstLine="449"/>
        <w:spacing w:after="0" w:line="251"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expenses of $5.1 million, zero, and zero relating to amendment costs on the Truist Credit Facility during the years ended September 30, 2022, 2021 and 2020,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and, prior to their redemptions, the 2019 Notes and 2024 Notes are reported in our Consolidated Statements of Operations. We elect not to apply ASC 825-10 to any other financial assets or liabilities, including the 2024 Notes, 2026 Notes, 2026 Notes-2 Notes, and SBA debentures.</w:t>
      </w:r>
    </w:p>
    <w:p>
      <w:pPr>
        <w:spacing w:after="0" w:line="118" w:lineRule="exact"/>
        <w:rPr>
          <w:sz w:val="20"/>
          <w:szCs w:val="20"/>
          <w:color w:val="auto"/>
        </w:rPr>
      </w:pPr>
    </w:p>
    <w:p>
      <w:pPr>
        <w:ind w:right="220" w:firstLine="449"/>
        <w:spacing w:after="0" w:line="271" w:lineRule="auto"/>
        <w:rPr>
          <w:sz w:val="20"/>
          <w:szCs w:val="20"/>
          <w:color w:val="auto"/>
        </w:rPr>
      </w:pPr>
      <w:r>
        <w:rPr>
          <w:rFonts w:ascii="Times New Roman" w:cs="Times New Roman" w:eastAsia="Times New Roman" w:hAnsi="Times New Roman"/>
          <w:sz w:val="14"/>
          <w:szCs w:val="14"/>
          <w:color w:val="auto"/>
        </w:rPr>
        <w:t>For the years ended September 30, 2022, 2021, and 2020 the Truist Credit Facility had a net change in unrealized depreciation (appreciation) of $7.5 million, $(17.8) million and $12.3 million, respectively. As of September 30, 2022 and 2021, the net unrealized depreciation on our Truist Credit Facility totaled $9.2 million and $1.7 million. We use a nationally recognized independent valuation service to measure the fair value of our Truist Credit Facility in a manner consistent with the valuation process that the board of directors uses to value our investments.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54"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154"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and our Truist Credit Facility, including any reversal of previously recorded unrealized appreciation or depreciation, when gains or losses are realized.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50" w:lineRule="exact"/>
        <w:rPr>
          <w:sz w:val="20"/>
          <w:szCs w:val="20"/>
          <w:color w:val="auto"/>
        </w:rPr>
      </w:pPr>
    </w:p>
    <w:p>
      <w:pPr>
        <w:ind w:left="960" w:hanging="383"/>
        <w:spacing w:after="0"/>
        <w:tabs>
          <w:tab w:leader="none" w:pos="9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50"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Payment-in-Kind, or, PIK Interest</w:t>
      </w:r>
    </w:p>
    <w:p>
      <w:pPr>
        <w:spacing w:after="0" w:line="154" w:lineRule="exact"/>
        <w:rPr>
          <w:sz w:val="20"/>
          <w:szCs w:val="20"/>
          <w:color w:val="auto"/>
        </w:rPr>
      </w:pPr>
    </w:p>
    <w:p>
      <w:pPr>
        <w:jc w:val="both"/>
        <w:ind w:right="120" w:firstLine="449"/>
        <w:spacing w:after="0" w:line="26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54" w:lineRule="exact"/>
        <w:rPr>
          <w:sz w:val="20"/>
          <w:szCs w:val="20"/>
          <w:color w:val="auto"/>
        </w:rPr>
      </w:pPr>
    </w:p>
    <w:p>
      <w:pPr>
        <w:ind w:firstLine="449"/>
        <w:spacing w:after="0" w:line="255"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12" w:lineRule="exact"/>
        <w:rPr>
          <w:sz w:val="20"/>
          <w:szCs w:val="20"/>
          <w:color w:val="auto"/>
        </w:rPr>
      </w:pPr>
    </w:p>
    <w:p>
      <w:pPr>
        <w:ind w:right="240" w:firstLine="449"/>
        <w:spacing w:after="0" w:line="249"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U.S. federal excise tax imposed on RICs, we must distribute dividends for federal income tax purposes to our stockholders in respect of each calendar year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w:t>
      </w:r>
    </w:p>
    <w:p>
      <w:pPr>
        <w:spacing w:after="0" w:line="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4"/>
          <w:szCs w:val="14"/>
          <w:color w:val="auto"/>
        </w:rPr>
        <w:t>one-year period ending on October 31 of the calendar year plus (3) the sum of any net ordinary income plus capital gain net income for preceding years that was realized but not distributed during such years and on which we did not incur any U.S. federal income tax, or the Excise Tax Avoidance Requirement. In addition, although we may distribute realized net capital gains (i.e., net long-</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4"/>
          <w:szCs w:val="14"/>
          <w:color w:val="auto"/>
        </w:rPr>
        <w:t>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347"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77" w:lineRule="exact"/>
        <w:rPr>
          <w:sz w:val="20"/>
          <w:szCs w:val="20"/>
          <w:color w:val="auto"/>
        </w:rPr>
      </w:pPr>
    </w:p>
    <w:p>
      <w:pPr>
        <w:ind w:right="580" w:firstLine="449"/>
        <w:spacing w:after="0" w:line="282" w:lineRule="auto"/>
        <w:rPr>
          <w:sz w:val="20"/>
          <w:szCs w:val="20"/>
          <w:color w:val="auto"/>
        </w:rPr>
      </w:pPr>
      <w:r>
        <w:rPr>
          <w:rFonts w:ascii="Times New Roman" w:cs="Times New Roman" w:eastAsia="Times New Roman" w:hAnsi="Times New Roman"/>
          <w:sz w:val="14"/>
          <w:szCs w:val="14"/>
          <w:color w:val="auto"/>
        </w:rPr>
        <w:t>For the years ended September 30, 2022, 2021 and 2020, we recorded a provision for taxes on net investment income of $0.8 million, $0.6 million and $1.2 million, respectively, pertaining to federal excise tax.</w:t>
      </w:r>
    </w:p>
    <w:p>
      <w:pPr>
        <w:spacing w:after="0" w:line="162"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The Taxable Subsidiary (PNNT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148"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4"/>
          <w:szCs w:val="14"/>
          <w:color w:val="auto"/>
        </w:rPr>
        <w:t>For the years ended September 30, 2022 and 2021 the Company recognized a provision for taxes of $6.2 million and zero, respectively, on net realized gain on investments by the Taxable Subsidiary. For the years ended September 30, 2022 and 2021, the Company recognized a provision for taxes of $0.9 million and zero,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the fiscal year and (ii) the expected tax benefit resulting from the use of loss carryforwards to offset such gains. For the year ended September 30, 2022, the Company recognized a provision for taxes $7.1 million on net realized and unrealized gains on investments by the Taxable Subsidiary. For the year ended September 30, 2021, the Company recognized a provision for taxes of zero on net realized and unrealized gains on investments by the Taxable Subsidiary.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During the year ended September 30, 2022, the Company paid $4.0 million in federal taxes on realized gains on the sale of investments held by the Taxable Subsidiary. Due to offsetting</w:t>
      </w:r>
    </w:p>
    <w:p>
      <w:pPr>
        <w:spacing w:after="0" w:line="1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14"/>
          <w:szCs w:val="14"/>
          <w:color w:val="auto"/>
        </w:rPr>
        <w:t>losses in the three months ended June 30, 2022 the $4.0 million is expected to be refunded and is shown on the consolidated statement of assets and liabilities under prepaid expenses and other assets. The state and local tax liability of $0.8 million as of September 30, 2022 is included under accrued other expenses in the consolidated statement of assets and liabilities.</w:t>
      </w:r>
    </w:p>
    <w:p>
      <w:pPr>
        <w:spacing w:after="0" w:line="176"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The Taxable Subsidiary, which is subject to tax as a corporation, allows us to hold equity securities of certain portfolio companies treated as pass-through entities for U.S. federal income tax purposes while facilitating our ability to qualify as a RIC under the Code.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2"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4"/>
          <w:szCs w:val="14"/>
          <w:color w:val="auto"/>
        </w:rPr>
        <w:t>Set forth below are the results of operations for the years ended September 30, 2022 and 2021. For information regarding results of operations for the year ended September 30, 2020, see the Company's Form 10-K for the fiscal year ended September 30, 2021, as filed with the SEC on November 17,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4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Investment income for the year ended September 30, 2022 was $105.0 million and was attributable to $74.4 million from first lien secured debt, $17.0 million from second lien secured debt and $3.7 million from subordinated debt and $9.9 from preferred and common equity. The increase in investment income compared to the same periods in the prior year was primarily due to an increase in LIBOR and SOFR base rates and an increase in the size of our interest bearing portfolio.</w:t>
      </w:r>
    </w:p>
    <w:p>
      <w:pPr>
        <w:spacing w:after="0" w:line="109"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4"/>
          <w:szCs w:val="14"/>
          <w:color w:val="auto"/>
        </w:rPr>
        <w:t>Investment income for the year ended September 30, 2021 was $81.6 million and was attributable to $47 million from first lien secured debt, $20.2 million from second lien secured debt and $7.0 million from subordinated debt and $7.4 million from preferred and common equity.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4" w:right="339" w:bottom="1440" w:gutter="0" w:footer="0" w:header="0"/>
        </w:sectPr>
      </w:pPr>
    </w:p>
    <w:bookmarkStart w:id="48" w:name="page49"/>
    <w:bookmarkEnd w:id="48"/>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Net expenses for the year ended September 30, 2022 totaled $61.0 million. Base management fee for the same period totaled $19.8 million, incentive fee totaled $2.7 million, debt related interest and other financing expenses totaled $33.8 million (including one-time debt related costs of $5.1 million) and general and administrative expenses totaled $3.9 million. The increase in expenses over the prior year was primarily due to an increase in debt related interest and other financing expenses and an increase in incentive fees.</w:t>
      </w:r>
    </w:p>
    <w:p>
      <w:pPr>
        <w:spacing w:after="0" w:line="10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4"/>
          <w:szCs w:val="14"/>
          <w:color w:val="auto"/>
        </w:rPr>
        <w:t>Net expenses for the year ended September 30, 2021 totaled $45.1 million. Base management fee for the same period totaled $17.3 million, incentive fee totaled $0.6 million, debt related interest and other financing expenses totaled $22.5 million and general and administrative expenses totaled $4.1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154"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4"/>
          <w:szCs w:val="14"/>
          <w:color w:val="auto"/>
        </w:rPr>
        <w:t>For the years ended September 30, 2022 and 2021 net investment income totaled $43.9 million, or $0.66 per share, and $36.5 million, or $0.54 per share, respectively. The increase in net investment income per share compared to the prior year was primarily due to an increase in investment income.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154"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4"/>
          <w:szCs w:val="14"/>
          <w:color w:val="auto"/>
        </w:rPr>
        <w:t>For the years ended September 30, 2022 and 2021 net realized gain (loss) totaled $34.8 million and $30.0 million, respectively. The change in realized gains/losses was primarily due to changes in market conditions of our investments and the values at which they were realized, primarily due to the realized appreciation of PT Network Intermediate Holdings, LLC, and the fluctuations in the market and in the economy, as discussed above under “Forward-Looking Statements".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and Truist Credit Facility</w:t>
      </w:r>
    </w:p>
    <w:p>
      <w:pPr>
        <w:spacing w:after="0" w:line="140" w:lineRule="exact"/>
        <w:rPr>
          <w:sz w:val="20"/>
          <w:szCs w:val="20"/>
          <w:color w:val="auto"/>
        </w:rPr>
      </w:pPr>
    </w:p>
    <w:p>
      <w:pPr>
        <w:ind w:right="120" w:firstLine="449"/>
        <w:spacing w:after="0" w:line="251" w:lineRule="auto"/>
        <w:rPr>
          <w:sz w:val="20"/>
          <w:szCs w:val="20"/>
          <w:color w:val="auto"/>
        </w:rPr>
      </w:pPr>
      <w:r>
        <w:rPr>
          <w:rFonts w:ascii="Times New Roman" w:cs="Times New Roman" w:eastAsia="Times New Roman" w:hAnsi="Times New Roman"/>
          <w:sz w:val="14"/>
          <w:szCs w:val="14"/>
          <w:color w:val="auto"/>
        </w:rPr>
        <w:t>For the years ended September 30, 2022 and 2021, we reported net unrealized appreciation (depreciation) on investments of $(110.0) million and $117.9 million, respectively. As of September 30, 2022 and 2021, our net unrealized appreciation (depreciation) on investments totaled $(75.7) million and $34.2 million, respectively. The net change in unrealized appreciation/depreciation on our investments for the year ended September 30, 2022 compared to the prior year was primarily due to changes in the capital market conditions of our investments and the values at which they were realized, primarily due to the realized appreciation of PT Network Intermediate Holdings, LLC, and the fluctuation in the market and in the economy, as discussed above under the “Forward-Looking Statements” section above.</w:t>
      </w:r>
    </w:p>
    <w:p>
      <w:pPr>
        <w:spacing w:after="0" w:line="117"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For the years ended September 30, 2022 and 2021, we reported a net unrealized (appreciation) depreciation in our Truist Credit Facility of $7.5 million and $(17.8) million, respectively. As of September 30, 2022 and 2021, our net unrealized depreciation on our Truist Credit Facility totaled $9.2 million and $1.7 million, respectively. The net change in unrealized depreciation for the year ended September 30, 2022 compared to the prior year was primarily due to changes in the capital markets, as further discussed above under “Forward-Looking Statements”.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140" w:lineRule="exact"/>
        <w:rPr>
          <w:sz w:val="20"/>
          <w:szCs w:val="20"/>
          <w:color w:val="auto"/>
        </w:rPr>
      </w:pPr>
    </w:p>
    <w:p>
      <w:pPr>
        <w:jc w:val="both"/>
        <w:ind w:right="120" w:firstLine="449"/>
        <w:spacing w:after="0" w:line="261" w:lineRule="auto"/>
        <w:rPr>
          <w:sz w:val="20"/>
          <w:szCs w:val="20"/>
          <w:color w:val="auto"/>
        </w:rPr>
      </w:pPr>
      <w:r>
        <w:rPr>
          <w:rFonts w:ascii="Times New Roman" w:cs="Times New Roman" w:eastAsia="Times New Roman" w:hAnsi="Times New Roman"/>
          <w:sz w:val="14"/>
          <w:szCs w:val="14"/>
          <w:color w:val="auto"/>
        </w:rPr>
        <w:t>Net change in net assets resulting from operations totaled $(24.7) million, or $(0.37) per share, and $166.6 million, or $2.49 per share, for the years ended September 30, 2022 and 2021, respectively. The decrease in net assets from operations for the year ended September 30, 2022 compared to the prior year was primarily due to depreciation of the portfolio primarily driven by changes in market conditions, as discussed above under “Forward-Looking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52"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interest expense, fees and other operating expenses we incur. We have used, and expect to continue to use, our debt capital, proceeds from the rotation of our portfolio and proceeds from public and private offerings of securities to finance our investment objectives. As of September 30, 2022,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This “Liquidity and Capital Resources” section should be read in conjunction with the “Forward-Looking Statements” section above.</w:t>
      </w:r>
    </w:p>
    <w:p>
      <w:pPr>
        <w:spacing w:after="0" w:line="116" w:lineRule="exact"/>
        <w:rPr>
          <w:sz w:val="20"/>
          <w:szCs w:val="20"/>
          <w:color w:val="auto"/>
        </w:rPr>
      </w:pPr>
    </w:p>
    <w:p>
      <w:pPr>
        <w:ind w:firstLine="449"/>
        <w:spacing w:after="0" w:line="264"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September 30, 2022 and 2021, our asset coverage ratio, as computed in accordance with the 1940 Act, was 186% and 221%, respectively.</w:t>
      </w:r>
    </w:p>
    <w:p>
      <w:pPr>
        <w:spacing w:after="0" w:line="136" w:lineRule="exact"/>
        <w:rPr>
          <w:sz w:val="20"/>
          <w:szCs w:val="20"/>
          <w:color w:val="auto"/>
        </w:rPr>
      </w:pPr>
    </w:p>
    <w:p>
      <w:pPr>
        <w:ind w:right="320" w:firstLine="449"/>
        <w:spacing w:after="0" w:line="302" w:lineRule="auto"/>
        <w:rPr>
          <w:sz w:val="20"/>
          <w:szCs w:val="20"/>
          <w:color w:val="auto"/>
        </w:rPr>
      </w:pPr>
      <w:r>
        <w:rPr>
          <w:rFonts w:ascii="Times New Roman" w:cs="Times New Roman" w:eastAsia="Times New Roman" w:hAnsi="Times New Roman"/>
          <w:sz w:val="14"/>
          <w:szCs w:val="14"/>
          <w:color w:val="auto"/>
        </w:rPr>
        <w:t>The annualized weighted average cost of debt for the years ended September 30, 2022 and 2021, inclusive of the fee on the undrawn commitment and amendment costs on the Truist Credit Facility, amortized upfront fees on SBA debentures and debt retirement and issuance costs, was 4.8% and 3.5%, respectively.</w:t>
      </w:r>
    </w:p>
    <w:p>
      <w:pPr>
        <w:spacing w:after="0" w:line="81" w:lineRule="exact"/>
        <w:rPr>
          <w:sz w:val="20"/>
          <w:szCs w:val="20"/>
          <w:color w:val="auto"/>
        </w:rPr>
      </w:pPr>
    </w:p>
    <w:p>
      <w:pPr>
        <w:ind w:right="20" w:firstLine="449"/>
        <w:spacing w:after="0" w:line="246" w:lineRule="auto"/>
        <w:rPr>
          <w:sz w:val="20"/>
          <w:szCs w:val="20"/>
          <w:color w:val="auto"/>
        </w:rPr>
      </w:pPr>
      <w:r>
        <w:rPr>
          <w:rFonts w:ascii="Times New Roman" w:cs="Times New Roman" w:eastAsia="Times New Roman" w:hAnsi="Times New Roman"/>
          <w:sz w:val="14"/>
          <w:szCs w:val="14"/>
          <w:color w:val="auto"/>
        </w:rPr>
        <w:t>As of September 30, 2022, we had the multi-currency Truist Credit Facility for up to $500.0 million (increased from $465.0 million in July 2022), which may be further increased up to $750.0 million in borrowings with certain lenders and Truist Bank (formerly SunTrust Bank), acting as administrative agent, Regions Bank, acting as an additional multicurrency lender, and JPMorgan Chase Bank, N.A., acting as syndication agent for the lenders. As of September 30, 2022 and 2021, we had $385.9 million and $316.5 million, respectively, in outstanding borrowings under the Truist Credit Facility. The Truist Credit Facility had a weighted average interest rate of 5.3% and 2.4%, respectively, exclusive of the fee on undrawn commitments, as of September 30, 2022 and 2021. The Truist Credit Facility is a revolving facility with a stated maturity date of July 29, 2027 for $475.0 million out of the total $500.0 million commitments (with the revolving</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4"/>
          <w:szCs w:val="14"/>
          <w:color w:val="auto"/>
        </w:rPr>
        <w:t>period with respect to the remaining $25.0 million of commitments expiring on September 4, 2023 and the related obligations maturing on September 4, 2024) and pricing set at 235 basis points over SOFR. As of September 30, 2022 and 2021, we had $114.1 million and $118.5 million of unused borrowing capacity under the Truist Credit Facility, respectively, subject to leverage and</w:t>
      </w:r>
    </w:p>
    <w:p>
      <w:pPr>
        <w:spacing w:after="0" w:line="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borrowing base restrictions. The Truist Credit Facility is secured by substantially all of our assets excluding assets held by SBIC II. As of September 30, 2022, we were in compliance with the terms of the Truist Credit Facility.</w:t>
      </w:r>
    </w:p>
    <w:p>
      <w:pPr>
        <w:spacing w:after="0" w:line="110"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4"/>
          <w:szCs w:val="14"/>
          <w:color w:val="auto"/>
        </w:rPr>
        <w:t>On November 13, 2021, the 2024 Notes were redeemed at a redemption price of $25.00 per 2024 Note, plus accrued and unpaid interest to November 13, 2021, pursuant to the indenture governing the 2024 Notes. Accordingly, as of September 30, 2022 and September 30, 2021, we had zero and $86.3 million in aggregate principal amount of 2024 Notes outstanding, respectively. Interest on the 2024 Notes was paid quarterly on January 15, April 15, July 15 and October 15, at a rate of 5.5% per year.</w:t>
      </w:r>
    </w:p>
    <w:p>
      <w:pPr>
        <w:spacing w:after="0" w:line="109" w:lineRule="exact"/>
        <w:rPr>
          <w:sz w:val="20"/>
          <w:szCs w:val="20"/>
          <w:color w:val="auto"/>
        </w:rPr>
      </w:pPr>
    </w:p>
    <w:p>
      <w:pPr>
        <w:jc w:val="both"/>
        <w:ind w:right="80" w:firstLine="449"/>
        <w:spacing w:after="0" w:line="255" w:lineRule="auto"/>
        <w:rPr>
          <w:sz w:val="20"/>
          <w:szCs w:val="20"/>
          <w:color w:val="auto"/>
        </w:rPr>
      </w:pPr>
      <w:r>
        <w:rPr>
          <w:rFonts w:ascii="Times New Roman" w:cs="Times New Roman" w:eastAsia="Times New Roman" w:hAnsi="Times New Roman"/>
          <w:sz w:val="14"/>
          <w:szCs w:val="14"/>
          <w:color w:val="auto"/>
        </w:rPr>
        <w:t>As of September 30, 2022, we had $150.0 million in aggregate principal amount of 2026 Notes outstanding. Interest on the 2026 Notes is paid semi-annually on May 1 and November 1, at a rate of 4.50% per year, commencing November 1, 2021. The 2026 Notes mature on May 1, 2026, and may be redeemed in whole or in part at our option subject to a make-whole premium if redeemed more than three months prior to maturity. The 2026 Notes are direct unsecured obligations and rank pari passu in right of payment with future unsecured unsubordinated indebtedness. The 2026 Notes are structurally subordinated to all existing and future indebtedness and other obligations of any of our subsidiaries, financing vehicles, or similar facilities.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9" w:name="page50"/>
    <w:bookmarkEnd w:id="49"/>
    <w:p>
      <w:pPr>
        <w:ind w:right="60" w:firstLine="449"/>
        <w:spacing w:after="0" w:line="255" w:lineRule="auto"/>
        <w:rPr>
          <w:sz w:val="20"/>
          <w:szCs w:val="20"/>
          <w:color w:val="auto"/>
        </w:rPr>
      </w:pPr>
      <w:r>
        <w:rPr>
          <w:rFonts w:ascii="Times New Roman" w:cs="Times New Roman" w:eastAsia="Times New Roman" w:hAnsi="Times New Roman"/>
          <w:sz w:val="14"/>
          <w:szCs w:val="14"/>
          <w:color w:val="auto"/>
        </w:rPr>
        <w:t>As of September 30, 2022, we had $165.0 million in aggregate principal amount of 2026 Notes-2 outstanding. Interest on the 2026 Notes is paid semi-annually on May 1 and November 1, at a rate of 4.0% per year, commencing May 1, 2022. The 2026 Notes-2 mature on November 1, 2026,and may be redeemed in whole or in part at our option subject to a make-whole premium if redeemed more than three months prior to maturity. The 2026 Notes-2 are direct unsecured obligations and rank pari passu in right of payment with future unsecured unsubordinated indebtedness. The 2026 Notes-2 are structurally subordinated to all existing and future indebtedness and other obligations of any of our subsidiaries, financing vehicles, or similar facilities.</w:t>
      </w:r>
    </w:p>
    <w:p>
      <w:pPr>
        <w:spacing w:after="0" w:line="112"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4"/>
          <w:szCs w:val="14"/>
          <w:color w:val="auto"/>
        </w:rPr>
        <w:t>We may raise additional equity or debt capital through both registered offerings off our shelf registration statement and private offerings of securities, by securitizing a portion of our investments, among other sources. Any future additional debt capital we incur, to the extent it is available, may be issued at a higher cost and on less favorable terms and conditions than the Truist Credit Facility, 2026 Notes, 2026 Notes-2 and SBA debentures. Furthermore, the Truist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00" w:lineRule="exact"/>
        <w:rPr>
          <w:sz w:val="20"/>
          <w:szCs w:val="20"/>
          <w:color w:val="auto"/>
        </w:rPr>
      </w:pPr>
    </w:p>
    <w:p>
      <w:pPr>
        <w:ind w:right="200" w:firstLine="449"/>
        <w:spacing w:after="0" w:line="256"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2022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13" w:lineRule="exact"/>
        <w:rPr>
          <w:sz w:val="20"/>
          <w:szCs w:val="20"/>
          <w:color w:val="auto"/>
        </w:rPr>
      </w:pPr>
    </w:p>
    <w:p>
      <w:pPr>
        <w:ind w:right="60" w:firstLine="449"/>
        <w:spacing w:after="0" w:line="257"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February 2022 and amended in July 2022, the Administrator furnishes us with office facilities and administrative services necessary to conduct our day-to-day operations. The Administration Agreement was amended on July 1, 2022.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Corporate Counsel and their respective staffs.</w:t>
      </w:r>
    </w:p>
    <w:p>
      <w:pPr>
        <w:spacing w:after="0" w:line="113"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year ended September 30, 2022, we repurchased 1,820,605 shares of common stock in open market transactions for an aggregate cost (including transaction costs) of $13.2 million. During the year ended September 30, 2021, we did not make any repurchases of shares of our common stock.</w:t>
      </w:r>
    </w:p>
    <w:p>
      <w:pPr>
        <w:spacing w:after="0" w:line="181" w:lineRule="exact"/>
        <w:rPr>
          <w:sz w:val="20"/>
          <w:szCs w:val="20"/>
          <w:color w:val="auto"/>
        </w:rPr>
      </w:pPr>
    </w:p>
    <w:p>
      <w:pPr>
        <w:ind w:right="80" w:firstLine="449"/>
        <w:spacing w:after="0" w:line="255"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$20.0 million and $63.5 million, as of September 30, 2022 and 2021. respectively. SBA debentures are non-recourse to us and may be prepaid at any time without penalty. The interest rate of SBA debentures is fixed at the time of issuance, often referred to as pooling, at a market-driven spread over 10-year U.S. Treasury Notes.</w:t>
      </w:r>
    </w:p>
    <w:p>
      <w:pPr>
        <w:spacing w:after="0" w:line="180" w:lineRule="exact"/>
        <w:rPr>
          <w:sz w:val="20"/>
          <w:szCs w:val="20"/>
          <w:color w:val="auto"/>
        </w:rPr>
      </w:pPr>
    </w:p>
    <w:p>
      <w:pPr>
        <w:ind w:right="300" w:firstLine="449"/>
        <w:spacing w:after="0" w:line="261" w:lineRule="auto"/>
        <w:rPr>
          <w:sz w:val="20"/>
          <w:szCs w:val="20"/>
          <w:color w:val="auto"/>
        </w:rPr>
      </w:pPr>
      <w:r>
        <w:rPr>
          <w:rFonts w:ascii="Times New Roman" w:cs="Times New Roman" w:eastAsia="Times New Roman" w:hAnsi="Times New Roman"/>
          <w:sz w:val="14"/>
          <w:szCs w:val="14"/>
          <w:color w:val="auto"/>
        </w:rPr>
        <w:t>As of both September 30, 2022 and 2021, SBIC II had an initial $150.0 million in debt commitments, all of which were drawn. During the years ended September 30, 2022 and 2021, $43.5 million and $55.0 million in SBA debentures were repaid, respectively. As of September 30, 2022 and 2021, the unamortized fees on the SBA debentures were $0.3 million and $1.3 million, respectively. The SBA debentures’ upfront fees of 3.4% consist of a commitment fee of 1.0% and an issuance discount of 2.4%, which are being amortized.</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fixed-rate SBA debentures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tcPr>
          <w:p>
            <w:pPr>
              <w:spacing w:after="0"/>
              <w:rPr>
                <w:sz w:val="13"/>
                <w:szCs w:val="13"/>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3"/>
                <w:szCs w:val="13"/>
                <w:color w:val="auto"/>
              </w:rPr>
            </w:pPr>
          </w:p>
        </w:tc>
        <w:tc>
          <w:tcPr>
            <w:tcW w:w="27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2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2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8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4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CFF"/>
          </w:tcPr>
          <w:p>
            <w:pPr>
              <w:spacing w:after="0"/>
              <w:rPr>
                <w:sz w:val="14"/>
                <w:szCs w:val="14"/>
                <w:color w:val="auto"/>
              </w:rPr>
            </w:pPr>
          </w:p>
        </w:tc>
        <w:tc>
          <w:tcPr>
            <w:tcW w:w="2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488"/>
        </w:trPr>
        <w:tc>
          <w:tcPr>
            <w:tcW w:w="356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24"/>
                <w:szCs w:val="24"/>
                <w:color w:val="auto"/>
              </w:rPr>
            </w:pPr>
          </w:p>
        </w:tc>
        <w:tc>
          <w:tcPr>
            <w:tcW w:w="27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22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3"/>
            <w:vMerge w:val="continue"/>
          </w:tcPr>
          <w:p>
            <w:pPr>
              <w:spacing w:after="0"/>
              <w:rPr>
                <w:sz w:val="16"/>
                <w:szCs w:val="16"/>
                <w:color w:val="auto"/>
              </w:rPr>
            </w:pPr>
          </w:p>
        </w:tc>
        <w:tc>
          <w:tcPr>
            <w:tcW w:w="22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40" w:type="dxa"/>
            <w:vAlign w:val="bottom"/>
            <w:shd w:val="clear" w:color="auto" w:fill="CCECFF"/>
          </w:tcPr>
          <w:p>
            <w:pPr>
              <w:spacing w:after="0"/>
              <w:rPr>
                <w:sz w:val="14"/>
                <w:szCs w:val="14"/>
                <w:color w:val="auto"/>
              </w:rPr>
            </w:pPr>
          </w:p>
        </w:tc>
        <w:tc>
          <w:tcPr>
            <w:tcW w:w="21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80" w:type="dxa"/>
            <w:vAlign w:val="bottom"/>
            <w:shd w:val="clear" w:color="auto" w:fill="CCECFF"/>
          </w:tcPr>
          <w:p>
            <w:pPr>
              <w:spacing w:after="0"/>
              <w:rPr>
                <w:sz w:val="14"/>
                <w:szCs w:val="14"/>
                <w:color w:val="auto"/>
              </w:rPr>
            </w:pPr>
          </w:p>
        </w:tc>
        <w:tc>
          <w:tcPr>
            <w:tcW w:w="2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4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CFF"/>
          </w:tcPr>
          <w:p>
            <w:pPr>
              <w:spacing w:after="0"/>
              <w:rPr>
                <w:sz w:val="14"/>
                <w:szCs w:val="14"/>
                <w:color w:val="auto"/>
              </w:rPr>
            </w:pPr>
          </w:p>
        </w:tc>
        <w:tc>
          <w:tcPr>
            <w:tcW w:w="22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21, 2018</w:t>
            </w:r>
          </w:p>
        </w:tc>
        <w:tc>
          <w:tcPr>
            <w:tcW w:w="24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1, 2028</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Weighted Average Rate / Total</w:t>
            </w:r>
          </w:p>
        </w:tc>
        <w:tc>
          <w:tcPr>
            <w:tcW w:w="240" w:type="dxa"/>
            <w:vAlign w:val="bottom"/>
            <w:tcBorders>
              <w:bottom w:val="single" w:sz="8" w:color="CCECFF"/>
            </w:tcBorders>
            <w:shd w:val="clear" w:color="auto" w:fill="CCECFF"/>
          </w:tcPr>
          <w:p>
            <w:pPr>
              <w:spacing w:after="0"/>
              <w:rPr>
                <w:sz w:val="18"/>
                <w:szCs w:val="18"/>
                <w:color w:val="auto"/>
              </w:rPr>
            </w:pPr>
          </w:p>
        </w:tc>
        <w:tc>
          <w:tcPr>
            <w:tcW w:w="216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CCECFF"/>
            </w:tcBorders>
            <w:shd w:val="clear" w:color="auto" w:fill="CCECFF"/>
          </w:tcPr>
          <w:p>
            <w:pPr>
              <w:spacing w:after="0"/>
              <w:rPr>
                <w:sz w:val="18"/>
                <w:szCs w:val="18"/>
                <w:color w:val="auto"/>
              </w:rPr>
            </w:pPr>
          </w:p>
        </w:tc>
        <w:tc>
          <w:tcPr>
            <w:tcW w:w="2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4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22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63,500,000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Excluding 3.4% of upfront fees.</w:t>
      </w:r>
    </w:p>
    <w:p>
      <w:pPr>
        <w:spacing w:after="0" w:line="13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2022, SBIC II was in compliance with their regulatory requirements.</w:t>
      </w:r>
    </w:p>
    <w:p>
      <w:pPr>
        <w:spacing w:after="0" w:line="167"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In accordance with the 1940 Act, with certain limited exceptions, PennantPark Investment is only allowed to borrow amounts such that our required 150% asset coverage ratio is met after such borrowing. As of September 30, 2022 and 2021,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0" w:name="page51"/>
    <w:bookmarkEnd w:id="50"/>
    <w:p>
      <w:pPr>
        <w:ind w:firstLine="449"/>
        <w:spacing w:after="0" w:line="302" w:lineRule="auto"/>
        <w:rPr>
          <w:sz w:val="20"/>
          <w:szCs w:val="20"/>
          <w:color w:val="auto"/>
        </w:rPr>
      </w:pPr>
      <w:r>
        <w:rPr>
          <w:rFonts w:ascii="Times New Roman" w:cs="Times New Roman" w:eastAsia="Times New Roman" w:hAnsi="Times New Roman"/>
          <w:sz w:val="14"/>
          <w:szCs w:val="14"/>
          <w:color w:val="auto"/>
        </w:rPr>
        <w:t>As of September 30, 2022 and 2021, we had cash and cash equivalents of $52.7 million and $20.4 million, respectively, available for investing and general corporate purposes. We believe our liquidity and capital resources are sufficient to allow us to effectively operate our business.</w:t>
      </w:r>
    </w:p>
    <w:p>
      <w:pPr>
        <w:spacing w:after="0" w:line="67" w:lineRule="exact"/>
        <w:rPr>
          <w:sz w:val="20"/>
          <w:szCs w:val="20"/>
          <w:color w:val="auto"/>
        </w:rPr>
      </w:pPr>
    </w:p>
    <w:p>
      <w:pPr>
        <w:jc w:val="both"/>
        <w:ind w:right="60" w:firstLine="449"/>
        <w:spacing w:after="0" w:line="271" w:lineRule="auto"/>
        <w:rPr>
          <w:sz w:val="20"/>
          <w:szCs w:val="20"/>
          <w:color w:val="auto"/>
        </w:rPr>
      </w:pPr>
      <w:r>
        <w:rPr>
          <w:rFonts w:ascii="Times New Roman" w:cs="Times New Roman" w:eastAsia="Times New Roman" w:hAnsi="Times New Roman"/>
          <w:sz w:val="14"/>
          <w:szCs w:val="14"/>
          <w:color w:val="auto"/>
        </w:rPr>
        <w:t>Our operating activities used cash of $19.0 million for the year ended September 30, 2022, and our financing activities provided cash of $52.0 million for the same period. Our operating activities used cash primarily for our investment activities and our financing activities provided cash primarily from the issuance of our 2026-2 Notes and net repayments under our Truist Credit Facility and the repayment of the SBA debentures.</w:t>
      </w:r>
    </w:p>
    <w:p>
      <w:pPr>
        <w:spacing w:after="0" w:line="103" w:lineRule="exact"/>
        <w:rPr>
          <w:sz w:val="20"/>
          <w:szCs w:val="20"/>
          <w:color w:val="auto"/>
        </w:rPr>
      </w:pPr>
    </w:p>
    <w:p>
      <w:pPr>
        <w:jc w:val="both"/>
        <w:ind w:right="80" w:firstLine="449"/>
        <w:spacing w:after="0" w:line="261" w:lineRule="auto"/>
        <w:rPr>
          <w:sz w:val="20"/>
          <w:szCs w:val="20"/>
          <w:color w:val="auto"/>
        </w:rPr>
      </w:pPr>
      <w:r>
        <w:rPr>
          <w:rFonts w:ascii="Times New Roman" w:cs="Times New Roman" w:eastAsia="Times New Roman" w:hAnsi="Times New Roman"/>
          <w:sz w:val="14"/>
          <w:szCs w:val="14"/>
          <w:color w:val="auto"/>
        </w:rPr>
        <w:t>Our operating activities provided cash of $7.9 million for the year ended September 30, 2021, and our financing activities used cash of $(13.4) million for the same period. Our operating activities used cash primarily for our investment activities and our financing activities provided cash primarily for net borrowings under our Truist Credit Facility and the repayment of the SBA debentures.</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more information regarding our borrowing arrangements, see “Business—Leverage” above.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Senior Securities</w:t>
      </w:r>
    </w:p>
    <w:p>
      <w:pPr>
        <w:spacing w:after="0" w:line="219"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4"/>
          <w:szCs w:val="14"/>
          <w:color w:val="auto"/>
        </w:rPr>
        <w:t>Information about our senior securities is shown in the following table as of September 30, 2022, 2021, 2020, 2019, 2018, 2017, 2016, 2015, 2014 and 2013. The report of RSM US LLP, an independent registered public accounting firm, on the Senior Securities table as of September 30, 2022, is attached as an exhibit to this Report.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tcPr>
          <w:p>
            <w:pPr>
              <w:jc w:val="right"/>
              <w:ind w:right="628"/>
              <w:spacing w:after="0" w:line="146"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220" w:type="dxa"/>
            <w:vAlign w:val="bottom"/>
          </w:tcPr>
          <w:p>
            <w:pPr>
              <w:spacing w:after="0"/>
              <w:rPr>
                <w:sz w:val="17"/>
                <w:szCs w:val="17"/>
                <w:color w:val="auto"/>
              </w:rPr>
            </w:pPr>
          </w:p>
        </w:tc>
        <w:tc>
          <w:tcPr>
            <w:tcW w:w="1700" w:type="dxa"/>
            <w:vAlign w:val="bottom"/>
            <w:tcBorders>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Outstanding </w:t>
            </w:r>
            <w:r>
              <w:rPr>
                <w:rFonts w:ascii="Times New Roman" w:cs="Times New Roman" w:eastAsia="Times New Roman" w:hAnsi="Times New Roman"/>
                <w:sz w:val="19"/>
                <w:szCs w:val="19"/>
                <w:b w:val="1"/>
                <w:bCs w:val="1"/>
                <w:color w:val="auto"/>
                <w:vertAlign w:val="superscript"/>
              </w:rPr>
              <w:t>(1)</w:t>
            </w:r>
          </w:p>
        </w:tc>
        <w:tc>
          <w:tcPr>
            <w:tcW w:w="6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54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9"/>
                <w:szCs w:val="19"/>
                <w:b w:val="1"/>
                <w:bCs w:val="1"/>
                <w:color w:val="auto"/>
                <w:vertAlign w:val="superscript"/>
              </w:rPr>
              <w:t>(2), (3)</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Truist Credit Facility</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2022</w:t>
            </w:r>
          </w:p>
        </w:tc>
        <w:tc>
          <w:tcPr>
            <w:tcW w:w="1920" w:type="dxa"/>
            <w:vAlign w:val="bottom"/>
            <w:gridSpan w:val="2"/>
            <w:shd w:val="clear" w:color="auto" w:fill="CCECFF"/>
          </w:tcPr>
          <w:p>
            <w:pPr>
              <w:jc w:val="right"/>
              <w:ind w:right="15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385,920</w:t>
            </w:r>
          </w:p>
        </w:tc>
        <w:tc>
          <w:tcPr>
            <w:tcW w:w="6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32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2021</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316,545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2020</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388,252</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2019</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301,636</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2018</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80,520</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2017</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79,393</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2016</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50,340</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2015</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136,864</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2014</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55,226</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2013</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BNP Credit Facility</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2019</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2019 Notes</w:t>
            </w:r>
          </w:p>
        </w:tc>
        <w:tc>
          <w:tcPr>
            <w:tcW w:w="220" w:type="dxa"/>
            <w:vAlign w:val="bottom"/>
            <w:shd w:val="clear" w:color="auto" w:fill="CCECFF"/>
          </w:tcPr>
          <w:p>
            <w:pPr>
              <w:spacing w:after="0"/>
              <w:rPr>
                <w:sz w:val="19"/>
                <w:szCs w:val="19"/>
                <w:color w:val="auto"/>
              </w:rPr>
            </w:pPr>
          </w:p>
        </w:tc>
        <w:tc>
          <w:tcPr>
            <w:tcW w:w="17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34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176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380" w:type="dxa"/>
            <w:vAlign w:val="bottom"/>
            <w:shd w:val="clear" w:color="auto" w:fill="CCECFF"/>
          </w:tcPr>
          <w:p>
            <w:pPr>
              <w:spacing w:after="0"/>
              <w:rPr>
                <w:sz w:val="19"/>
                <w:szCs w:val="19"/>
                <w:color w:val="auto"/>
              </w:rPr>
            </w:pPr>
          </w:p>
        </w:tc>
        <w:tc>
          <w:tcPr>
            <w:tcW w:w="1860" w:type="dxa"/>
            <w:vAlign w:val="bottom"/>
            <w:shd w:val="clear" w:color="auto" w:fill="CCECFF"/>
          </w:tcPr>
          <w:p>
            <w:pPr>
              <w:spacing w:after="0"/>
              <w:rPr>
                <w:sz w:val="19"/>
                <w:szCs w:val="19"/>
                <w:color w:val="auto"/>
              </w:rPr>
            </w:pPr>
          </w:p>
        </w:tc>
        <w:tc>
          <w:tcPr>
            <w:tcW w:w="56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2018</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2017</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2016</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2015</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2014</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2021</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75"/>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2020</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86,250</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5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76"/>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2019</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76"/>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2016</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76"/>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2015</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5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2014</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56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75"/>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2013</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560" w:type="dxa"/>
            <w:vAlign w:val="bottom"/>
            <w:shd w:val="clear" w:color="auto" w:fill="CCECFF"/>
          </w:tcPr>
          <w:p>
            <w:pPr>
              <w:jc w:val="right"/>
              <w:ind w:right="272"/>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Fiscal 2022</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2021</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2026-2 Notes</w:t>
            </w: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Fiscal 2022</w:t>
            </w: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00" w:type="dxa"/>
            <w:vAlign w:val="bottom"/>
            <w:shd w:val="clear" w:color="auto" w:fill="CCECFF"/>
          </w:tcPr>
          <w:p>
            <w:pPr>
              <w:spacing w:after="0"/>
              <w:rPr>
                <w:sz w:val="15"/>
                <w:szCs w:val="15"/>
                <w:color w:val="auto"/>
              </w:rPr>
            </w:pPr>
          </w:p>
        </w:tc>
        <w:tc>
          <w:tcPr>
            <w:tcW w:w="16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700" w:type="dxa"/>
            <w:vAlign w:val="bottom"/>
            <w:shd w:val="clear" w:color="auto" w:fill="CCECFF"/>
          </w:tcPr>
          <w:p>
            <w:pPr>
              <w:spacing w:after="0"/>
              <w:rPr>
                <w:sz w:val="15"/>
                <w:szCs w:val="15"/>
                <w:color w:val="auto"/>
              </w:rPr>
            </w:pPr>
          </w:p>
        </w:tc>
        <w:tc>
          <w:tcPr>
            <w:tcW w:w="60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76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860" w:type="dxa"/>
            <w:vAlign w:val="bottom"/>
            <w:shd w:val="clear" w:color="auto" w:fill="CCECFF"/>
          </w:tcPr>
          <w:p>
            <w:pPr>
              <w:spacing w:after="0"/>
              <w:rPr>
                <w:sz w:val="15"/>
                <w:szCs w:val="15"/>
                <w:color w:val="auto"/>
              </w:rPr>
            </w:pPr>
          </w:p>
        </w:tc>
        <w:tc>
          <w:tcPr>
            <w:tcW w:w="56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00" w:type="dxa"/>
            <w:vAlign w:val="bottom"/>
            <w:tcBorders>
              <w:bottom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380" w:hanging="372"/>
        <w:spacing w:after="0"/>
        <w:tabs>
          <w:tab w:leader="none" w:pos="38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cost of each class of senior securities outstanding at the end of the period presented in thousands (000s).</w:t>
      </w:r>
    </w:p>
    <w:p>
      <w:pPr>
        <w:spacing w:after="0" w:line="92" w:lineRule="exact"/>
        <w:rPr>
          <w:rFonts w:ascii="Times New Roman" w:cs="Times New Roman" w:eastAsia="Times New Roman" w:hAnsi="Times New Roman"/>
          <w:sz w:val="16"/>
          <w:szCs w:val="16"/>
          <w:color w:val="auto"/>
          <w:vertAlign w:val="superscript"/>
        </w:rPr>
      </w:pPr>
    </w:p>
    <w:p>
      <w:pPr>
        <w:ind w:left="380" w:right="300" w:hanging="372"/>
        <w:spacing w:after="0" w:line="212" w:lineRule="auto"/>
        <w:tabs>
          <w:tab w:leader="none" w:pos="38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59" w:lineRule="exact"/>
        <w:rPr>
          <w:rFonts w:ascii="Times New Roman" w:cs="Times New Roman" w:eastAsia="Times New Roman" w:hAnsi="Times New Roman"/>
          <w:sz w:val="16"/>
          <w:szCs w:val="16"/>
          <w:color w:val="auto"/>
          <w:vertAlign w:val="superscript"/>
        </w:rPr>
      </w:pPr>
    </w:p>
    <w:p>
      <w:pPr>
        <w:ind w:left="380" w:hanging="372"/>
        <w:spacing w:after="0"/>
        <w:tabs>
          <w:tab w:leader="none" w:pos="38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These amounts exclude SBA debentures from our total amount outstanding and asset coverage per unit computation pursuant to an exemptive relief letter provided by the SEC in June 2011.</w:t>
      </w:r>
    </w:p>
    <w:p>
      <w:pPr>
        <w:spacing w:after="0" w:line="79" w:lineRule="exact"/>
        <w:rPr>
          <w:rFonts w:ascii="Times New Roman" w:cs="Times New Roman" w:eastAsia="Times New Roman" w:hAnsi="Times New Roman"/>
          <w:sz w:val="16"/>
          <w:szCs w:val="16"/>
          <w:color w:val="auto"/>
          <w:vertAlign w:val="superscript"/>
        </w:rPr>
      </w:pPr>
    </w:p>
    <w:p>
      <w:pPr>
        <w:ind w:left="380" w:right="140" w:hanging="372"/>
        <w:spacing w:after="0" w:line="212" w:lineRule="auto"/>
        <w:tabs>
          <w:tab w:leader="none" w:pos="38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93" w:lineRule="exact"/>
        <w:rPr>
          <w:rFonts w:ascii="Times New Roman" w:cs="Times New Roman" w:eastAsia="Times New Roman" w:hAnsi="Times New Roman"/>
          <w:sz w:val="16"/>
          <w:szCs w:val="16"/>
          <w:color w:val="auto"/>
          <w:vertAlign w:val="superscript"/>
        </w:rPr>
      </w:pPr>
    </w:p>
    <w:p>
      <w:pPr>
        <w:ind w:left="380" w:right="40" w:hanging="372"/>
        <w:spacing w:after="0" w:line="212" w:lineRule="auto"/>
        <w:tabs>
          <w:tab w:leader="none" w:pos="380" w:val="left"/>
        </w:tabs>
        <w:numPr>
          <w:ilvl w:val="0"/>
          <w:numId w:val="5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79" w:lineRule="exact"/>
        <w:rPr>
          <w:sz w:val="20"/>
          <w:szCs w:val="20"/>
          <w:color w:val="auto"/>
        </w:rPr>
      </w:pPr>
    </w:p>
    <w:p>
      <w:pPr>
        <w:ind w:right="80" w:firstLine="449"/>
        <w:spacing w:after="0" w:line="257"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September 30, 2022 and 2021 PSLF had total assets of $781.3 million and $417.4 million, respectively. PSLF’s portfolio consisted of debt investments in 80 and 47 portfolio companies as of September 30, 2022 and 2021, respectively. As of the same dates, we and Pantheon had no remaining commitments to fund first lien secured debt and equity interests in PSLF. As of September 30, 2022, at fair value, the largest investment in a single portfolio company in PSLF was $19.9 million and the five largest investments totaled $98.5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113" w:lineRule="exact"/>
        <w:rPr>
          <w:sz w:val="20"/>
          <w:szCs w:val="20"/>
          <w:color w:val="auto"/>
        </w:rPr>
      </w:pPr>
    </w:p>
    <w:p>
      <w:pPr>
        <w:jc w:val="both"/>
        <w:ind w:right="40" w:firstLine="449"/>
        <w:spacing w:after="0" w:line="261"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September 30, 2022 and 2021 we and Pantheon owned 60.5% and 39.5%, respectively, of each of the outstanding subordinated notes and equity interests of PSLF. As of September 30, 2022 and 2021 , our investment in PSLF consisted of subordinated notes of $88.0 million and $64.2 million, respectively, and equity interests of $51.1 million and $41.2 million, respectively.</w:t>
      </w:r>
    </w:p>
    <w:p>
      <w:pPr>
        <w:spacing w:after="0" w:line="109" w:lineRule="exact"/>
        <w:rPr>
          <w:sz w:val="20"/>
          <w:szCs w:val="20"/>
          <w:color w:val="auto"/>
        </w:rPr>
      </w:pPr>
    </w:p>
    <w:p>
      <w:pPr>
        <w:ind w:right="40" w:firstLine="449"/>
        <w:spacing w:after="0" w:line="253"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2" w:name="page53"/>
    <w:bookmarkEnd w:id="52"/>
    <w:p>
      <w:pPr>
        <w:ind w:right="100" w:firstLine="449"/>
        <w:spacing w:after="0" w:line="271" w:lineRule="auto"/>
        <w:rPr>
          <w:sz w:val="20"/>
          <w:szCs w:val="20"/>
          <w:color w:val="auto"/>
        </w:rPr>
      </w:pPr>
      <w:r>
        <w:rPr>
          <w:rFonts w:ascii="Times New Roman" w:cs="Times New Roman" w:eastAsia="Times New Roman" w:hAnsi="Times New Roman"/>
          <w:sz w:val="14"/>
          <w:szCs w:val="14"/>
          <w:color w:val="auto"/>
        </w:rPr>
        <w:t>Additionally, PSLF, through its wholly-owned subsidiary, or PSLF Subsidiary, has entered into a $225 million (reduced from $275.0 million on March 2, 2022) senior secured revolving credit facility which bears interest at SOFR (or an alternative risk-free interest rate index) plus 255 basis points during the investment period, or the PSLF Credit Facility, with BNP Paribas, subject to leverage and borrowing base restrictions.</w:t>
      </w:r>
    </w:p>
    <w:p>
      <w:pPr>
        <w:spacing w:after="0" w:line="103"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a wholly owned subsidiary of PSLF 100% of the Subordinated Notes issued by PennantPark CLO IV, LLC.</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19" w:right="3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8"/>
        </w:trPr>
        <w:tc>
          <w:tcPr>
            <w:tcW w:w="76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 ($ in thousands):</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730,108</w:t>
            </w:r>
          </w:p>
        </w:tc>
        <w:tc>
          <w:tcPr>
            <w:tcW w:w="2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140" w:type="dxa"/>
            <w:vAlign w:val="bottom"/>
          </w:tcPr>
          <w:p>
            <w:pPr>
              <w:spacing w:after="0"/>
              <w:rPr>
                <w:sz w:val="15"/>
                <w:szCs w:val="15"/>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9.4 %</w:t>
            </w:r>
          </w:p>
        </w:tc>
        <w:tc>
          <w:tcPr>
            <w:tcW w:w="14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20" w:type="dxa"/>
            <w:vAlign w:val="bottom"/>
          </w:tcPr>
          <w:p>
            <w:pPr>
              <w:spacing w:after="0"/>
              <w:rPr>
                <w:sz w:val="15"/>
                <w:szCs w:val="15"/>
                <w:color w:val="auto"/>
              </w:rPr>
            </w:pPr>
          </w:p>
        </w:tc>
      </w:tr>
      <w:tr>
        <w:trPr>
          <w:trHeight w:val="176"/>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1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19,906</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76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 at fair value</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98,502</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74,445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bl>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2022 ($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30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6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00" w:type="dxa"/>
            <w:vAlign w:val="bottom"/>
          </w:tcPr>
          <w:p>
            <w:pPr>
              <w:spacing w:after="0"/>
              <w:rPr>
                <w:sz w:val="9"/>
                <w:szCs w:val="9"/>
                <w:color w:val="auto"/>
              </w:rPr>
            </w:pPr>
          </w:p>
        </w:tc>
        <w:tc>
          <w:tcPr>
            <w:tcW w:w="4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49"/>
        </w:trPr>
        <w:tc>
          <w:tcPr>
            <w:tcW w:w="3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- 864.4%</w:t>
            </w:r>
          </w:p>
        </w:tc>
        <w:tc>
          <w:tcPr>
            <w:tcW w:w="3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05/06/26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4,938</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460" w:type="dxa"/>
            <w:vAlign w:val="bottom"/>
            <w:gridSpan w:val="2"/>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11/30/26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Containers, Packaging and Glass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8.69 %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07/24/25</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10.81 %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19,90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12/21/23</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7.79 %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14,10</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06/10/25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13,968</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15,16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05/23/24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07/21/27</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7.98 %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9,942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9,934</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6.25 %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 Term Loan 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6.50 %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12/29/26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8,822</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8,602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11,94</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03/07/28</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8.99 %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11,721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15,00</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07/01/29</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17,99</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09/17/24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8.57 %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17,772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12/02/22</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7.39 %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17,45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05/13/28</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9.55 %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08/20/26</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9.08 %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2,958</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07/13/27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8.42 %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9,045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08/31/27</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6,435</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6,427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12/21/28</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8.37 %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2,776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15,14</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11/03/25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15,063</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06/30/24</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8,139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05/01/28</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10.62 %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12/23/25</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6.32 %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03/15/27</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06/17/28</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7.63 %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L+475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03/16/26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8.74 %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7,343</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08/10/27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12/31/26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6,835</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19,91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11/23/28</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19,535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15,25</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12/17/26</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15,045</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14,43</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12/10/24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05/11/28</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2,333</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2,001</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17,40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12/30/26</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10.20 %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17,154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09/22/28</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4,473</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11/15/27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6.91 %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5,636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20,00</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12/07/23</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9.96 %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19,545</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11/01/26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19,95</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08/27/25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9.21 %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19,866</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14,43</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12/20/23</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11.12 %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4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10/31/24</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Entertainment</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2,129</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19,92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02/18/27</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11.17 %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12,34</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02/03/26</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12,119</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04/01/27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07/31/28</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3,140</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05/14/26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04/16/27</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7,406</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7,326</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12/10/27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09/28/27</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4,164</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4,102</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08/19/26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7.80 %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07/09/26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5,210</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02/04/28</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8.41 %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(New Issue)</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05/18/26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8.32 %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4,962</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4,911</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11/09/27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8,634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05/08/26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11/19/26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9.92 %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3,403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11/19/26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0.00 %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12,75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03/31/25</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9.46 %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12/18/25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02/28/28</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9.13 %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01/29/26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9.92 %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9,850</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9,718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14,54</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8.84 %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06/20/25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7.74 %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3,192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3,172</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03/10/25</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9,949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01/03/25</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6,859</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6,779</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12/20/24</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7.15 %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15,00</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06/13/29</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7.90 %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14,794</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11,95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05/03/24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11,38</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01/17/24</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11,352</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12,09</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12/11/26</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8.37 %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19" w:right="319" w:bottom="187"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300" w:type="dxa"/>
            <w:vAlign w:val="bottom"/>
          </w:tcPr>
          <w:p>
            <w:pPr>
              <w:spacing w:after="0"/>
              <w:rPr>
                <w:sz w:val="9"/>
                <w:szCs w:val="9"/>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9"/>
                <w:szCs w:val="9"/>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00" w:type="dxa"/>
            <w:vAlign w:val="bottom"/>
          </w:tcPr>
          <w:p>
            <w:pPr>
              <w:spacing w:after="0"/>
              <w:rPr>
                <w:sz w:val="9"/>
                <w:szCs w:val="9"/>
                <w:color w:val="auto"/>
              </w:rPr>
            </w:pPr>
          </w:p>
        </w:tc>
        <w:tc>
          <w:tcPr>
            <w:tcW w:w="780" w:type="dxa"/>
            <w:vAlign w:val="bottom"/>
            <w:gridSpan w:val="3"/>
            <w:vMerge w:val="restart"/>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Par</w:t>
            </w:r>
          </w:p>
        </w:tc>
        <w:tc>
          <w:tcPr>
            <w:tcW w:w="4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49"/>
        </w:trPr>
        <w:tc>
          <w:tcPr>
            <w:tcW w:w="3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20" w:type="dxa"/>
            <w:vAlign w:val="bottom"/>
            <w:tcBorders>
              <w:top w:val="single" w:sz="8" w:color="auto"/>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2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44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System Planning and Analysis, Inc. (f/k/a Management Consulting &amp;</w:t>
            </w: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4"/>
              </w:rPr>
              <w:t>8/16/2027</w:t>
            </w:r>
          </w:p>
        </w:tc>
        <w:tc>
          <w:tcPr>
            <w:tcW w:w="14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8.73 %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4"/>
              </w:rPr>
              <w:t>7/18/2025</w:t>
            </w:r>
          </w:p>
        </w:tc>
        <w:tc>
          <w:tcPr>
            <w:tcW w:w="140" w:type="dxa"/>
            <w:vAlign w:val="bottom"/>
            <w:shd w:val="clear" w:color="auto" w:fill="CCECFF"/>
          </w:tcPr>
          <w:p>
            <w:pPr>
              <w:spacing w:after="0"/>
              <w:rPr>
                <w:sz w:val="12"/>
                <w:szCs w:val="12"/>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7.73 %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9"/>
              </w:rPr>
              <w:t>10/31/2025</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11,208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4"/>
              </w:rPr>
              <w:t>7/27/2026</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5,549</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4"/>
              </w:rPr>
              <w:t>8/30/2027</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9"/>
              </w:rPr>
              <w:t>11/24/2025</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7.78 %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5,392</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4"/>
              </w:rPr>
              <w:t>3/26/2026</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17,381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4"/>
              </w:rPr>
              <w:t>6/16/2025</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8.76 %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7,917</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4/3/2028</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7.76 %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12,064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4/3/2024</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4,657</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4"/>
              </w:rPr>
              <w:t>5/24/2027</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Home and Office Furnishings, Housewares</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4"/>
              </w:rPr>
              <w:t>2/27/2026</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11,506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3/1/2024</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10.24 %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Borders>
              <w:bottom w:val="single" w:sz="8" w:color="CCECFF"/>
            </w:tcBorders>
            <w:shd w:val="clear" w:color="auto" w:fill="CCECFF"/>
          </w:tcPr>
          <w:p>
            <w:pPr>
              <w:spacing w:after="0"/>
              <w:rPr>
                <w:sz w:val="11"/>
                <w:szCs w:val="11"/>
                <w:color w:val="auto"/>
              </w:rPr>
            </w:pPr>
          </w:p>
        </w:tc>
        <w:tc>
          <w:tcPr>
            <w:tcW w:w="3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3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4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6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738,219</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730,108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- 864.4%</w:t>
            </w:r>
          </w:p>
        </w:tc>
        <w:tc>
          <w:tcPr>
            <w:tcW w:w="3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- 50.9%</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3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3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4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- 915.3%</w:t>
            </w:r>
          </w:p>
        </w:tc>
        <w:tc>
          <w:tcPr>
            <w:tcW w:w="30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3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gridSpan w:val="3"/>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781,185</w:t>
            </w:r>
          </w:p>
        </w:tc>
        <w:tc>
          <w:tcPr>
            <w:tcW w:w="20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773,073</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2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(815.3)%</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1"/>
                <w:szCs w:val="11"/>
                <w:color w:val="auto"/>
              </w:rPr>
              <w:t>(688,612 )</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30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3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84,462</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-779145</wp:posOffset>
            </wp:positionV>
            <wp:extent cx="68580"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02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-419100</wp:posOffset>
            </wp:positionV>
            <wp:extent cx="68580" cy="102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-230505</wp:posOffset>
            </wp:positionV>
            <wp:extent cx="677545"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54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2" w:lineRule="exact"/>
        <w:rPr>
          <w:sz w:val="20"/>
          <w:szCs w:val="20"/>
          <w:color w:val="auto"/>
        </w:rPr>
      </w:pPr>
    </w:p>
    <w:p>
      <w:pPr>
        <w:ind w:left="380" w:right="40" w:hanging="372"/>
        <w:spacing w:after="0" w:line="219" w:lineRule="auto"/>
        <w:tabs>
          <w:tab w:leader="none" w:pos="380" w:val="left"/>
        </w:tabs>
        <w:numPr>
          <w:ilvl w:val="0"/>
          <w:numId w:val="5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94" w:lineRule="exact"/>
        <w:rPr>
          <w:rFonts w:ascii="Times New Roman" w:cs="Times New Roman" w:eastAsia="Times New Roman" w:hAnsi="Times New Roman"/>
          <w:sz w:val="16"/>
          <w:szCs w:val="16"/>
          <w:color w:val="auto"/>
          <w:vertAlign w:val="superscript"/>
        </w:rPr>
      </w:pPr>
    </w:p>
    <w:p>
      <w:pPr>
        <w:ind w:left="380" w:hanging="372"/>
        <w:spacing w:after="0"/>
        <w:tabs>
          <w:tab w:leader="none" w:pos="380" w:val="left"/>
        </w:tabs>
        <w:numPr>
          <w:ilvl w:val="0"/>
          <w:numId w:val="5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Valued based on PSLF’s accounting policy.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2021 ($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Current</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9"/>
                <w:szCs w:val="9"/>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49"/>
        </w:trPr>
        <w:tc>
          <w:tcPr>
            <w:tcW w:w="2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- 595.6%</w:t>
            </w:r>
          </w:p>
        </w:tc>
        <w:tc>
          <w:tcPr>
            <w:tcW w:w="14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44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05/06/26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3M L + 600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07/24/25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12/21/23</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07/21/27</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6.55%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12/29/26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02/13/23</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08/05/25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11/03/25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13,428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03/31/28</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8.25%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12/23/25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03/16/26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12/31/26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12/19/25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12/10/24</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04/09/27</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08/27/25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12/22/21</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12/20/23</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L+700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10/31/24</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8.50%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02/03/26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04/13/23</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L+825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04/01/27</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05/14/26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04/16/27</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05/23/24</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05/08/26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5.65%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03/31/25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12/18/25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01/29/26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06/20/25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01/03/25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7,632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05/03/24</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01/17/24</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12/11/26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5.33%</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L+450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03/01/26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11/20/25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07/18/25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11/24/25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03/26/26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06/16/25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04/03/28</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04/03/24</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06/10/25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02/27/26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820" w:type="dxa"/>
            <w:vAlign w:val="bottom"/>
            <w:shd w:val="clear" w:color="auto" w:fill="CCECFF"/>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24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480" w:type="dxa"/>
            <w:vAlign w:val="bottom"/>
            <w:shd w:val="clear" w:color="auto" w:fill="CCECFF"/>
          </w:tcPr>
          <w:p>
            <w:pPr>
              <w:jc w:val="right"/>
              <w:spacing w:after="0" w:line="113" w:lineRule="exact"/>
              <w:rPr>
                <w:sz w:val="20"/>
                <w:szCs w:val="20"/>
                <w:color w:val="auto"/>
              </w:rPr>
            </w:pPr>
            <w:r>
              <w:rPr>
                <w:rFonts w:ascii="Times New Roman" w:cs="Times New Roman" w:eastAsia="Times New Roman" w:hAnsi="Times New Roman"/>
                <w:sz w:val="11"/>
                <w:szCs w:val="11"/>
                <w:color w:val="auto"/>
              </w:rPr>
              <w:t>409,602</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3" w:lineRule="exact"/>
              <w:rPr>
                <w:sz w:val="20"/>
                <w:szCs w:val="20"/>
                <w:color w:val="auto"/>
              </w:rPr>
            </w:pPr>
            <w:r>
              <w:rPr>
                <w:rFonts w:ascii="Times New Roman" w:cs="Times New Roman" w:eastAsia="Times New Roman" w:hAnsi="Times New Roman"/>
                <w:sz w:val="11"/>
                <w:szCs w:val="11"/>
                <w:color w:val="auto"/>
              </w:rPr>
              <w:t>405,009</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20" w:type="dxa"/>
            <w:vAlign w:val="bottom"/>
            <w:shd w:val="clear" w:color="auto" w:fill="CCECFF"/>
          </w:tcPr>
          <w:p>
            <w:pPr>
              <w:jc w:val="right"/>
              <w:spacing w:after="0" w:line="113" w:lineRule="exact"/>
              <w:rPr>
                <w:sz w:val="20"/>
                <w:szCs w:val="20"/>
                <w:color w:val="auto"/>
              </w:rPr>
            </w:pPr>
            <w:r>
              <w:rPr>
                <w:rFonts w:ascii="Times New Roman" w:cs="Times New Roman" w:eastAsia="Times New Roman" w:hAnsi="Times New Roman"/>
                <w:sz w:val="11"/>
                <w:szCs w:val="11"/>
                <w:color w:val="auto"/>
              </w:rPr>
              <w:t>405,232</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Equivalents—16.2%</w:t>
            </w:r>
          </w:p>
        </w:tc>
        <w:tc>
          <w:tcPr>
            <w:tcW w:w="1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282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Borders>
              <w:top w:val="single" w:sz="8" w:color="CCECFF"/>
            </w:tcBorders>
          </w:tcPr>
          <w:p>
            <w:pPr>
              <w:spacing w:after="0"/>
              <w:rPr>
                <w:sz w:val="11"/>
                <w:szCs w:val="11"/>
                <w:color w:val="auto"/>
              </w:rPr>
            </w:pPr>
          </w:p>
        </w:tc>
        <w:tc>
          <w:tcPr>
            <w:tcW w:w="74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2440" w:type="dxa"/>
            <w:vAlign w:val="bottom"/>
            <w:tcBorders>
              <w:top w:val="single" w:sz="8" w:color="CCECFF"/>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760" w:type="dxa"/>
            <w:vAlign w:val="bottom"/>
            <w:tcBorders>
              <w:top w:val="single" w:sz="8" w:color="CCECFF"/>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82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48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220" w:type="dxa"/>
            <w:vAlign w:val="bottom"/>
            <w:tcBorders>
              <w:top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Equivalents—611.8%</w:t>
            </w:r>
          </w:p>
        </w:tc>
        <w:tc>
          <w:tcPr>
            <w:tcW w:w="14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48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416,023</w:t>
            </w:r>
          </w:p>
        </w:tc>
        <w:tc>
          <w:tcPr>
            <w:tcW w:w="22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416,246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8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Assets—(511.8)%</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1"/>
                <w:szCs w:val="11"/>
                <w:color w:val="auto"/>
              </w:rPr>
              <w:t>(348,213 )</w:t>
            </w:r>
          </w:p>
        </w:tc>
        <w:tc>
          <w:tcPr>
            <w:tcW w:w="0" w:type="dxa"/>
            <w:vAlign w:val="bottom"/>
          </w:tcPr>
          <w:p>
            <w:pPr>
              <w:spacing w:after="0"/>
              <w:rPr>
                <w:sz w:val="1"/>
                <w:szCs w:val="1"/>
                <w:color w:val="auto"/>
              </w:rPr>
            </w:pPr>
          </w:p>
        </w:tc>
      </w:tr>
      <w:tr>
        <w:trPr>
          <w:trHeight w:val="182"/>
        </w:trPr>
        <w:tc>
          <w:tcPr>
            <w:tcW w:w="2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4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48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68,032</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-419100</wp:posOffset>
            </wp:positionV>
            <wp:extent cx="6858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-231140</wp:posOffset>
            </wp:positionV>
            <wp:extent cx="78867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886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20" w:hanging="372"/>
        <w:spacing w:after="0" w:line="219" w:lineRule="auto"/>
        <w:tabs>
          <w:tab w:leader="none" w:pos="380" w:val="left"/>
        </w:tabs>
        <w:numPr>
          <w:ilvl w:val="0"/>
          <w:numId w:val="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11" w:lineRule="auto"/>
        <w:tabs>
          <w:tab w:leader="none" w:pos="380" w:val="left"/>
        </w:tabs>
        <w:numPr>
          <w:ilvl w:val="0"/>
          <w:numId w:val="5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Valued based on PSLF’s accounting policy.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88"/>
        </w:trPr>
        <w:tc>
          <w:tcPr>
            <w:tcW w:w="6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assets and liabilities for PSLF ($ in thousands):</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0"/>
        </w:trPr>
        <w:tc>
          <w:tcPr>
            <w:tcW w:w="6840" w:type="dxa"/>
            <w:vAlign w:val="bottom"/>
          </w:tcPr>
          <w:p>
            <w:pPr>
              <w:spacing w:after="0"/>
              <w:rPr>
                <w:sz w:val="24"/>
                <w:szCs w:val="24"/>
                <w:color w:val="auto"/>
              </w:rPr>
            </w:pPr>
          </w:p>
        </w:tc>
        <w:tc>
          <w:tcPr>
            <w:tcW w:w="23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60" w:type="dxa"/>
            <w:vAlign w:val="bottom"/>
            <w:tcBorders>
              <w:top w:val="single" w:sz="8" w:color="auto"/>
            </w:tcBorders>
            <w:shd w:val="clear" w:color="auto" w:fill="CCECFF"/>
          </w:tcPr>
          <w:p>
            <w:pPr>
              <w:spacing w:after="0"/>
              <w:rPr>
                <w:sz w:val="14"/>
                <w:szCs w:val="14"/>
                <w:color w:val="auto"/>
              </w:rPr>
            </w:pPr>
          </w:p>
        </w:tc>
        <w:tc>
          <w:tcPr>
            <w:tcW w:w="420" w:type="dxa"/>
            <w:vAlign w:val="bottom"/>
            <w:tcBorders>
              <w:top w:val="single" w:sz="8" w:color="auto"/>
            </w:tcBorders>
            <w:shd w:val="clear" w:color="auto" w:fill="CCECFF"/>
          </w:tcPr>
          <w:p>
            <w:pPr>
              <w:spacing w:after="0"/>
              <w:rPr>
                <w:sz w:val="14"/>
                <w:szCs w:val="14"/>
                <w:color w:val="auto"/>
              </w:rPr>
            </w:pPr>
          </w:p>
        </w:tc>
        <w:tc>
          <w:tcPr>
            <w:tcW w:w="112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64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(cost—$738,219 and $405,009, respectively)</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730,108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(cost—$42,966 and $11,013, respectively)</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42,966</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6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781,287</w:t>
            </w:r>
          </w:p>
        </w:tc>
        <w:tc>
          <w:tcPr>
            <w:tcW w:w="2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257,600</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224,000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2034 Asset-backed debt, net (par—$246,000)</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243,896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145,472</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106,041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payable to Members</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6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696,825</w:t>
            </w:r>
          </w:p>
        </w:tc>
        <w:tc>
          <w:tcPr>
            <w:tcW w:w="2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349,389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11)</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46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84,462</w:t>
            </w:r>
          </w:p>
        </w:tc>
        <w:tc>
          <w:tcPr>
            <w:tcW w:w="2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68,032</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781,287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 As of September 30, 2022 and 2021, PSLF had $0.1 million and zero unfunded commitments to fund investments, respectively.</w:t>
            </w: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8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8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PSLF ($ in thousands):</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gridSpan w:val="2"/>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37,905</w:t>
            </w:r>
          </w:p>
        </w:tc>
        <w:tc>
          <w:tcPr>
            <w:tcW w:w="80" w:type="dxa"/>
            <w:vAlign w:val="bottom"/>
            <w:shd w:val="clear" w:color="auto" w:fill="CCECFF"/>
          </w:tcPr>
          <w:p>
            <w:pPr>
              <w:spacing w:after="0"/>
              <w:rPr>
                <w:sz w:val="15"/>
                <w:szCs w:val="15"/>
                <w:color w:val="auto"/>
              </w:rPr>
            </w:pPr>
          </w:p>
        </w:tc>
        <w:tc>
          <w:tcPr>
            <w:tcW w:w="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27,489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4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460" w:type="dxa"/>
            <w:vAlign w:val="bottom"/>
            <w:tcBorders>
              <w:bottom w:val="single" w:sz="8" w:color="CCECFF"/>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38,151</w:t>
            </w: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29,292</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11,023</w:t>
            </w: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4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460" w:type="dxa"/>
            <w:vAlign w:val="bottom"/>
            <w:tcBorders>
              <w:bottom w:val="single" w:sz="8" w:color="CCECFF"/>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24,333</w:t>
            </w: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17,436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w:t>
            </w:r>
          </w:p>
        </w:tc>
        <w:tc>
          <w:tcPr>
            <w:tcW w:w="46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4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(8,334 )</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40" w:type="dxa"/>
            <w:vAlign w:val="bottom"/>
            <w:shd w:val="clear" w:color="auto" w:fill="CCECFF"/>
          </w:tcPr>
          <w:p>
            <w:pPr>
              <w:spacing w:after="0" w:line="20" w:lineRule="exact"/>
              <w:rPr>
                <w:sz w:val="1"/>
                <w:szCs w:val="1"/>
                <w:color w:val="auto"/>
              </w:rPr>
            </w:pPr>
          </w:p>
        </w:tc>
        <w:tc>
          <w:tcPr>
            <w:tcW w:w="460" w:type="dxa"/>
            <w:vAlign w:val="bottom"/>
            <w:shd w:val="clear" w:color="auto" w:fill="CCEC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(7,958 )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46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top w:val="single" w:sz="8" w:color="auto"/>
              <w:bottom w:val="single" w:sz="8" w:color="auto"/>
            </w:tcBorders>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5,860</w:t>
            </w:r>
          </w:p>
        </w:tc>
        <w:tc>
          <w:tcPr>
            <w:tcW w:w="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17,281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-4088130</wp:posOffset>
            </wp:positionV>
            <wp:extent cx="7747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-2956560</wp:posOffset>
            </wp:positionV>
            <wp:extent cx="7747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-2716530</wp:posOffset>
            </wp:positionV>
            <wp:extent cx="7747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-2716530</wp:posOffset>
            </wp:positionV>
            <wp:extent cx="6858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-1413510</wp:posOffset>
            </wp:positionV>
            <wp:extent cx="7747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1200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-727710</wp:posOffset>
            </wp:positionV>
            <wp:extent cx="7747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-264795</wp:posOffset>
            </wp:positionV>
            <wp:extent cx="77470"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No management or incentive fees are payable by PSLF.</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54" w:lineRule="exact"/>
        <w:rPr>
          <w:sz w:val="20"/>
          <w:szCs w:val="20"/>
          <w:color w:val="auto"/>
        </w:rPr>
      </w:pPr>
    </w:p>
    <w:p>
      <w:pPr>
        <w:jc w:val="both"/>
        <w:ind w:right="140" w:firstLine="449"/>
        <w:spacing w:after="0" w:line="26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09" w:lineRule="exact"/>
        <w:rPr>
          <w:sz w:val="20"/>
          <w:szCs w:val="20"/>
          <w:color w:val="auto"/>
        </w:rPr>
      </w:pPr>
    </w:p>
    <w:p>
      <w:pPr>
        <w:ind w:right="120" w:firstLine="449"/>
        <w:spacing w:after="0" w:line="256"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3"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During the years ended September 30, 2022 and 2021, we declared distributions of $0.56 per share and $0.48 per share, respectively, for total distributions of $36.6 million and $32.2 million. We monitor available net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intend to continue to make quarterly distributions to our stockholders. Our quarterly distributions, if any, are determined by our board of directors.</w:t>
      </w:r>
    </w:p>
    <w:p>
      <w:pPr>
        <w:spacing w:after="0" w:line="150"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4"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7" w:name="page58"/>
    <w:bookmarkEnd w:id="57"/>
    <w:p>
      <w:pPr>
        <w:ind w:right="240"/>
        <w:spacing w:after="0" w:line="282" w:lineRule="auto"/>
        <w:rPr>
          <w:sz w:val="20"/>
          <w:szCs w:val="20"/>
          <w:color w:val="auto"/>
        </w:rPr>
      </w:pPr>
      <w:r>
        <w:rPr>
          <w:rFonts w:ascii="Times New Roman" w:cs="Times New Roman" w:eastAsia="Times New Roman" w:hAnsi="Times New Roman"/>
          <w:sz w:val="14"/>
          <w:szCs w:val="14"/>
          <w:color w:val="auto"/>
        </w:rPr>
        <w:t>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221" w:lineRule="exact"/>
        <w:rPr>
          <w:sz w:val="20"/>
          <w:szCs w:val="20"/>
          <w:color w:val="auto"/>
        </w:rPr>
      </w:pPr>
    </w:p>
    <w:p>
      <w:pPr>
        <w:ind w:right="180" w:firstLine="449"/>
        <w:spacing w:after="0" w:line="253"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September30, 2022, the effect of which was not material to the consolidated financial statements and the notes thereto. The Company continues to evaluate the potential impact that the amendments in this update will have on its consolidated financial statements and disclosures.</w:t>
      </w:r>
    </w:p>
    <w:p>
      <w:pPr>
        <w:spacing w:after="0" w:line="183"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is currently evaluating the impact of the adoption of ASU 2022-02 on its consolidated financial statement and disclosures.</w:t>
      </w:r>
    </w:p>
    <w:p>
      <w:pPr>
        <w:spacing w:after="0" w:line="167"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5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September 30, 2022, our debt portfolio consisted of 94% variable-rate investments and 6% fixed-rate investments. The variable-rate loans are usually based on a SOFR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3"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100" w:type="dxa"/>
            <w:vAlign w:val="bottom"/>
            <w:gridSpan w:val="2"/>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rPr>
              <w:t>Change in Interest Income,</w:t>
            </w:r>
          </w:p>
        </w:tc>
      </w:tr>
      <w:tr>
        <w:trPr>
          <w:trHeight w:val="148"/>
        </w:trPr>
        <w:tc>
          <w:tcPr>
            <w:tcW w:w="3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00" w:type="dxa"/>
            <w:vAlign w:val="bottom"/>
            <w:gridSpan w:val="2"/>
          </w:tcPr>
          <w:p>
            <w:pPr>
              <w:jc w:val="center"/>
              <w:ind w:right="54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r>
      <w:tr>
        <w:trPr>
          <w:trHeight w:val="20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40" w:type="dxa"/>
            <w:vAlign w:val="bottom"/>
          </w:tcPr>
          <w:p>
            <w:pPr>
              <w:spacing w:after="0"/>
              <w:rPr>
                <w:sz w:val="17"/>
                <w:szCs w:val="17"/>
                <w:color w:val="auto"/>
              </w:rPr>
            </w:pPr>
          </w:p>
        </w:tc>
        <w:tc>
          <w:tcPr>
            <w:tcW w:w="28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00" w:type="dxa"/>
            <w:vAlign w:val="bottom"/>
            <w:gridSpan w:val="2"/>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Expense Per Share</w:t>
            </w:r>
          </w:p>
        </w:tc>
      </w:tr>
      <w:tr>
        <w:trPr>
          <w:trHeight w:val="169"/>
        </w:trPr>
        <w:tc>
          <w:tcPr>
            <w:tcW w:w="35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Down 1%</w:t>
            </w:r>
          </w:p>
        </w:tc>
        <w:tc>
          <w:tcPr>
            <w:tcW w:w="240" w:type="dxa"/>
            <w:vAlign w:val="bottom"/>
            <w:shd w:val="clear" w:color="auto" w:fill="CCECFF"/>
          </w:tcPr>
          <w:p>
            <w:pPr>
              <w:spacing w:after="0"/>
              <w:rPr>
                <w:sz w:val="14"/>
                <w:szCs w:val="14"/>
                <w:color w:val="auto"/>
              </w:rPr>
            </w:pPr>
          </w:p>
        </w:tc>
        <w:tc>
          <w:tcPr>
            <w:tcW w:w="2840" w:type="dxa"/>
            <w:vAlign w:val="bottom"/>
            <w:tcBorders>
              <w:top w:val="single" w:sz="8" w:color="auto"/>
            </w:tcBorders>
            <w:shd w:val="clear" w:color="auto" w:fill="CCECFF"/>
          </w:tcPr>
          <w:p>
            <w:pPr>
              <w:jc w:val="right"/>
              <w:ind w:right="26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(4,923</w:t>
            </w:r>
          </w:p>
        </w:tc>
        <w:tc>
          <w:tcPr>
            <w:tcW w:w="34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Borders>
              <w:top w:val="single" w:sz="8" w:color="auto"/>
            </w:tcBorders>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3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6"/>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5,350</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Pr>
          <w:p>
            <w:pPr>
              <w:spacing w:after="0"/>
              <w:rPr>
                <w:sz w:val="15"/>
                <w:szCs w:val="15"/>
                <w:color w:val="auto"/>
              </w:rPr>
            </w:pPr>
          </w:p>
        </w:tc>
      </w:tr>
      <w:tr>
        <w:trPr>
          <w:trHeight w:val="175"/>
        </w:trPr>
        <w:tc>
          <w:tcPr>
            <w:tcW w:w="3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40" w:type="dxa"/>
            <w:vAlign w:val="bottom"/>
            <w:shd w:val="clear" w:color="auto" w:fill="CCECFF"/>
          </w:tcPr>
          <w:p>
            <w:pPr>
              <w:spacing w:after="0"/>
              <w:rPr>
                <w:sz w:val="15"/>
                <w:szCs w:val="15"/>
                <w:color w:val="auto"/>
              </w:rPr>
            </w:pPr>
          </w:p>
        </w:tc>
        <w:tc>
          <w:tcPr>
            <w:tcW w:w="2840" w:type="dxa"/>
            <w:vAlign w:val="bottom"/>
            <w:shd w:val="clear" w:color="auto" w:fill="CCECFF"/>
          </w:tcPr>
          <w:p>
            <w:pPr>
              <w:spacing w:after="0"/>
              <w:rPr>
                <w:sz w:val="15"/>
                <w:szCs w:val="15"/>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10,486</w:t>
            </w:r>
          </w:p>
        </w:tc>
        <w:tc>
          <w:tcPr>
            <w:tcW w:w="340" w:type="dxa"/>
            <w:vAlign w:val="bottom"/>
            <w:shd w:val="clear" w:color="auto" w:fill="CCECFF"/>
          </w:tcPr>
          <w:p>
            <w:pPr>
              <w:spacing w:after="0"/>
              <w:rPr>
                <w:sz w:val="15"/>
                <w:szCs w:val="15"/>
                <w:color w:val="auto"/>
              </w:rPr>
            </w:pPr>
          </w:p>
        </w:tc>
        <w:tc>
          <w:tcPr>
            <w:tcW w:w="480" w:type="dxa"/>
            <w:vAlign w:val="bottom"/>
            <w:shd w:val="clear" w:color="auto" w:fill="CCECFF"/>
          </w:tcPr>
          <w:p>
            <w:pPr>
              <w:spacing w:after="0"/>
              <w:rPr>
                <w:sz w:val="15"/>
                <w:szCs w:val="15"/>
                <w:color w:val="auto"/>
              </w:rPr>
            </w:pP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shd w:val="clear" w:color="auto" w:fill="CCECFF"/>
          </w:tcPr>
          <w:p>
            <w:pPr>
              <w:spacing w:after="0"/>
              <w:rPr>
                <w:sz w:val="15"/>
                <w:szCs w:val="15"/>
                <w:color w:val="auto"/>
              </w:rPr>
            </w:pPr>
          </w:p>
        </w:tc>
      </w:tr>
      <w:tr>
        <w:trPr>
          <w:trHeight w:val="175"/>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15,622</w:t>
            </w: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5"/>
                <w:szCs w:val="15"/>
                <w:color w:val="auto"/>
              </w:rPr>
            </w:pPr>
          </w:p>
        </w:tc>
      </w:tr>
      <w:tr>
        <w:trPr>
          <w:trHeight w:val="175"/>
        </w:trPr>
        <w:tc>
          <w:tcPr>
            <w:tcW w:w="3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3080" w:type="dxa"/>
            <w:vAlign w:val="bottom"/>
            <w:gridSpan w:val="2"/>
            <w:shd w:val="clear" w:color="auto" w:fill="CCECFF"/>
          </w:tcPr>
          <w:p>
            <w:pPr>
              <w:jc w:val="right"/>
              <w:ind w:right="26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20,759</w:t>
            </w:r>
          </w:p>
        </w:tc>
        <w:tc>
          <w:tcPr>
            <w:tcW w:w="340" w:type="dxa"/>
            <w:vAlign w:val="bottom"/>
            <w:shd w:val="clear" w:color="auto" w:fill="CCECFF"/>
          </w:tcPr>
          <w:p>
            <w:pPr>
              <w:spacing w:after="0"/>
              <w:rPr>
                <w:sz w:val="15"/>
                <w:szCs w:val="15"/>
                <w:color w:val="auto"/>
              </w:rPr>
            </w:pPr>
          </w:p>
        </w:tc>
        <w:tc>
          <w:tcPr>
            <w:tcW w:w="4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shd w:val="clear" w:color="auto" w:fill="CCECFF"/>
          </w:tcPr>
          <w:p>
            <w:pPr>
              <w:spacing w:after="0"/>
              <w:rPr>
                <w:sz w:val="15"/>
                <w:szCs w:val="15"/>
                <w:color w:val="auto"/>
              </w:rPr>
            </w:pPr>
          </w:p>
        </w:tc>
      </w:tr>
    </w:tbl>
    <w:p>
      <w:pPr>
        <w:spacing w:after="0" w:line="180" w:lineRule="exact"/>
        <w:rPr>
          <w:sz w:val="20"/>
          <w:szCs w:val="20"/>
          <w:color w:val="auto"/>
        </w:rPr>
      </w:pPr>
    </w:p>
    <w:p>
      <w:pPr>
        <w:ind w:right="20" w:firstLine="449"/>
        <w:spacing w:after="0" w:line="27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3" w:lineRule="exact"/>
        <w:rPr>
          <w:sz w:val="20"/>
          <w:szCs w:val="20"/>
          <w:color w:val="auto"/>
        </w:rPr>
      </w:pPr>
    </w:p>
    <w:p>
      <w:pPr>
        <w:jc w:val="both"/>
        <w:ind w:right="160" w:firstLine="449"/>
        <w:spacing w:after="0" w:line="26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9"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Truist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190"/>
        </w:trPr>
        <w:tc>
          <w:tcPr>
            <w:tcW w:w="62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Item 8.  Consolidated Financial Statements and Supplementary Data</w:t>
            </w:r>
          </w:p>
        </w:tc>
        <w:tc>
          <w:tcPr>
            <w:tcW w:w="5020" w:type="dxa"/>
            <w:vAlign w:val="bottom"/>
          </w:tcPr>
          <w:p>
            <w:pPr>
              <w:spacing w:after="0"/>
              <w:rPr>
                <w:sz w:val="16"/>
                <w:szCs w:val="16"/>
                <w:color w:val="auto"/>
              </w:rPr>
            </w:pPr>
          </w:p>
        </w:tc>
      </w:tr>
      <w:tr>
        <w:trPr>
          <w:trHeight w:val="379"/>
        </w:trPr>
        <w:tc>
          <w:tcPr>
            <w:tcW w:w="2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8"/>
        </w:trPr>
        <w:tc>
          <w:tcPr>
            <w:tcW w:w="6220" w:type="dxa"/>
            <w:vAlign w:val="bottom"/>
            <w:gridSpan w:val="8"/>
          </w:tcPr>
          <w:p>
            <w:pPr>
              <w:ind w:left="20"/>
              <w:spacing w:after="0" w:line="158" w:lineRule="exact"/>
              <w:rPr>
                <w:sz w:val="20"/>
                <w:szCs w:val="20"/>
                <w:color w:val="auto"/>
              </w:rPr>
            </w:pPr>
            <w:r>
              <w:rPr>
                <w:rFonts w:ascii="Times New Roman" w:cs="Times New Roman" w:eastAsia="Times New Roman" w:hAnsi="Times New Roman"/>
                <w:sz w:val="14"/>
                <w:szCs w:val="14"/>
                <w:color w:val="0000FF"/>
              </w:rPr>
              <w:t>Management’s Report on Internal Control over Financial Reporting</w:t>
            </w:r>
          </w:p>
        </w:tc>
        <w:tc>
          <w:tcPr>
            <w:tcW w:w="502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60</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31"/>
        </w:trPr>
        <w:tc>
          <w:tcPr>
            <w:tcW w:w="44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(PCAOB ID - 49)</w:t>
            </w:r>
          </w:p>
        </w:tc>
        <w:tc>
          <w:tcPr>
            <w:tcW w:w="1760" w:type="dxa"/>
            <w:vAlign w:val="bottom"/>
            <w:gridSpan w:val="4"/>
          </w:tcPr>
          <w:p>
            <w:pPr>
              <w:spacing w:after="0"/>
              <w:rPr>
                <w:sz w:val="24"/>
                <w:szCs w:val="24"/>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31"/>
        </w:trPr>
        <w:tc>
          <w:tcPr>
            <w:tcW w:w="622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0000FF"/>
              </w:rPr>
              <w:t>Consolidated Statements of Assets and Liabilities as of September 30, 2022 and 2021</w:t>
            </w: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31"/>
        </w:trPr>
        <w:tc>
          <w:tcPr>
            <w:tcW w:w="622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0000FF"/>
              </w:rPr>
              <w:t>Consolidated Statements of Operations for the years ended September 30, 2022, 2021 and 2020</w:t>
            </w: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0"/>
        </w:trPr>
        <w:tc>
          <w:tcPr>
            <w:tcW w:w="2760" w:type="dxa"/>
            <w:vAlign w:val="bottom"/>
            <w:tcBorders>
              <w:left w:val="single" w:sz="8" w:color="0000EE"/>
            </w:tcBorders>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331"/>
        </w:trPr>
        <w:tc>
          <w:tcPr>
            <w:tcW w:w="6220" w:type="dxa"/>
            <w:vAlign w:val="bottom"/>
            <w:tcBorders>
              <w:bottom w:val="single" w:sz="8" w:color="0000EE"/>
            </w:tcBorders>
            <w:gridSpan w:val="8"/>
          </w:tcPr>
          <w:p>
            <w:pPr>
              <w:ind w:left="20"/>
              <w:spacing w:after="0"/>
              <w:rPr>
                <w:sz w:val="20"/>
                <w:szCs w:val="20"/>
                <w:color w:val="auto"/>
              </w:rPr>
            </w:pPr>
            <w:r>
              <w:rPr>
                <w:rFonts w:ascii="Times New Roman" w:cs="Times New Roman" w:eastAsia="Times New Roman" w:hAnsi="Times New Roman"/>
                <w:sz w:val="14"/>
                <w:szCs w:val="14"/>
                <w:color w:val="0000FF"/>
              </w:rPr>
              <w:t>Consolidated Statements of Changes in Net Assets for the years ended September 30, 2022, 2021 and 2020</w:t>
            </w: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331"/>
        </w:trPr>
        <w:tc>
          <w:tcPr>
            <w:tcW w:w="622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September 30, 2022, 2021 and 2020</w:t>
            </w: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331"/>
        </w:trPr>
        <w:tc>
          <w:tcPr>
            <w:tcW w:w="4400" w:type="dxa"/>
            <w:vAlign w:val="bottom"/>
            <w:tcBorders>
              <w:top w:val="single" w:sz="8" w:color="0000FF"/>
              <w:bottom w:val="single" w:sz="8" w:color="0000EE"/>
            </w:tcBorders>
            <w:gridSpan w:val="3"/>
          </w:tcPr>
          <w:p>
            <w:pPr>
              <w:ind w:left="20"/>
              <w:spacing w:after="0"/>
              <w:rPr>
                <w:sz w:val="20"/>
                <w:szCs w:val="20"/>
                <w:color w:val="auto"/>
              </w:rPr>
            </w:pPr>
            <w:r>
              <w:rPr>
                <w:rFonts w:ascii="Times New Roman" w:cs="Times New Roman" w:eastAsia="Times New Roman" w:hAnsi="Times New Roman"/>
                <w:sz w:val="14"/>
                <w:szCs w:val="14"/>
                <w:color w:val="0000FF"/>
              </w:rPr>
              <w:t>Consolidated Schedules of Investments as of September 30, 2022 and 2021</w:t>
            </w:r>
          </w:p>
        </w:tc>
        <w:tc>
          <w:tcPr>
            <w:tcW w:w="1160" w:type="dxa"/>
            <w:vAlign w:val="bottom"/>
            <w:tcBorders>
              <w:top w:val="single" w:sz="8" w:color="0000FF"/>
            </w:tcBorders>
            <w:gridSpan w:val="4"/>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331"/>
        </w:trPr>
        <w:tc>
          <w:tcPr>
            <w:tcW w:w="27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4"/>
                <w:szCs w:val="14"/>
                <w:color w:val="0000FF"/>
              </w:rPr>
              <w:t>Notes to the Consolidated Financial Statements</w:t>
            </w:r>
          </w:p>
        </w:tc>
        <w:tc>
          <w:tcPr>
            <w:tcW w:w="3460" w:type="dxa"/>
            <w:vAlign w:val="bottom"/>
            <w:gridSpan w:val="7"/>
          </w:tcPr>
          <w:p>
            <w:pPr>
              <w:spacing w:after="0"/>
              <w:rPr>
                <w:sz w:val="24"/>
                <w:szCs w:val="24"/>
                <w:color w:val="auto"/>
              </w:rPr>
            </w:pPr>
          </w:p>
        </w:tc>
        <w:tc>
          <w:tcPr>
            <w:tcW w:w="5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591"/>
        </w:trPr>
        <w:tc>
          <w:tcPr>
            <w:tcW w:w="6220" w:type="dxa"/>
            <w:vAlign w:val="bottom"/>
            <w:gridSpan w:val="8"/>
          </w:tcPr>
          <w:p>
            <w:pPr>
              <w:ind w:left="5560"/>
              <w:spacing w:after="0"/>
              <w:rPr>
                <w:sz w:val="20"/>
                <w:szCs w:val="20"/>
                <w:color w:val="auto"/>
              </w:rPr>
            </w:pPr>
            <w:r>
              <w:rPr>
                <w:rFonts w:ascii="Times New Roman" w:cs="Times New Roman" w:eastAsia="Times New Roman" w:hAnsi="Times New Roman"/>
                <w:sz w:val="14"/>
                <w:szCs w:val="14"/>
                <w:color w:val="auto"/>
              </w:rPr>
              <w:t>59</w:t>
            </w:r>
          </w:p>
        </w:tc>
        <w:tc>
          <w:tcPr>
            <w:tcW w:w="5020" w:type="dxa"/>
            <w:vAlign w:val="bottom"/>
          </w:tcPr>
          <w:p>
            <w:pPr>
              <w:spacing w:after="0"/>
              <w:rPr>
                <w:sz w:val="24"/>
                <w:szCs w:val="24"/>
                <w:color w:val="auto"/>
              </w:rPr>
            </w:pPr>
          </w:p>
        </w:tc>
      </w:tr>
      <w:tr>
        <w:trPr>
          <w:trHeight w:val="111"/>
        </w:trPr>
        <w:tc>
          <w:tcPr>
            <w:tcW w:w="27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52"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2022. Our internal control system is a process designed to provide reasonable assurance to our management and board of directors regarding the preparation and fair presentation of published financial statements.</w:t>
      </w:r>
    </w:p>
    <w:p>
      <w:pPr>
        <w:spacing w:after="0" w:line="110"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10"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4"/>
          <w:szCs w:val="14"/>
          <w:color w:val="auto"/>
        </w:rPr>
        <w:t>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spacing w:after="0" w:line="94"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9" w:lineRule="exact"/>
        <w:rPr>
          <w:sz w:val="20"/>
          <w:szCs w:val="20"/>
          <w:color w:val="auto"/>
        </w:rPr>
      </w:pPr>
    </w:p>
    <w:p>
      <w:pPr>
        <w:jc w:val="both"/>
        <w:ind w:right="40" w:firstLine="449"/>
        <w:spacing w:after="0" w:line="271" w:lineRule="auto"/>
        <w:rPr>
          <w:sz w:val="20"/>
          <w:szCs w:val="20"/>
          <w:color w:val="auto"/>
        </w:rPr>
      </w:pPr>
      <w:r>
        <w:rPr>
          <w:rFonts w:ascii="Times New Roman" w:cs="Times New Roman" w:eastAsia="Times New Roman" w:hAnsi="Times New Roman"/>
          <w:sz w:val="14"/>
          <w:szCs w:val="14"/>
          <w:color w:val="auto"/>
        </w:rPr>
        <w:t>Management assessed the effectiveness of PennantPark Investment’s internal control over financial reporting as of September 30, 2022. In making this assessment, we used the criteria set forth by the Committee of Sponsoring Organizations of the Treadway Commission in 2013 Internal Control—Integrated Framework. Based on such assessment management has determined that, as of September 30, 2022, we do not maintain effective internal control over financial reporting due to the material weakness described below.</w:t>
      </w:r>
    </w:p>
    <w:p>
      <w:pPr>
        <w:spacing w:after="0" w:line="103"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A material weakness was identified in our internal control over financial reporting relating to procedures to ensure the timely transmission of portfolio company financial information to our independent valuation services providers. Although this material weakness did not result in any material misstatement of our consolidated financial statements for the periods presented, there is a possibility they could lead to a material misstatement of account balances or disclosures. Accordingly, management has concluded that this control deficiency constitutes a material weakness.</w:t>
      </w:r>
    </w:p>
    <w:p>
      <w:pPr>
        <w:spacing w:after="0" w:line="109"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Management believes that the financial statements included in this Annual Report on Form 10-K present fairly, in all material respects, the Company’s financial position, results of its operations, changes in net assets and cash flows for the periods presented. We believe that the audited consolidated financial statements included in this Annual Report on Form 10-K are accurate. We have begun the process of, and we are focused on, further enhancing effective internal control measures to improve our internal control over financial reporting and remediate this material weakness. Our internal control remediation efforts include the following:</w:t>
      </w:r>
    </w:p>
    <w:p>
      <w:pPr>
        <w:spacing w:after="0" w:line="69" w:lineRule="exact"/>
        <w:rPr>
          <w:sz w:val="20"/>
          <w:szCs w:val="20"/>
          <w:color w:val="auto"/>
        </w:rPr>
      </w:pPr>
    </w:p>
    <w:p>
      <w:pPr>
        <w:ind w:left="1020" w:hanging="503"/>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existing controls to ensure the timely transmission of all relevant portfolio company financial information to our independent valuation service providers;</w:t>
      </w:r>
    </w:p>
    <w:p>
      <w:pPr>
        <w:spacing w:after="0" w:line="109"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Enhancing policies and procedures to demonstrate a commitment to improving our overall control environment;</w:t>
      </w:r>
    </w:p>
    <w:p>
      <w:pPr>
        <w:spacing w:after="0" w:line="21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4"/>
          <w:szCs w:val="14"/>
          <w:color w:val="auto"/>
        </w:rPr>
        <w:t>We believe our planned actions to enhance our processes and controls will address the material weakness, but these actions are subject to ongoing management evaluation, and we will need a period of execution to demonstrate remediation. We are committed to the continuous improvement of our internal control over financial reporting and will continue to diligently review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0" w:name="page61"/>
    <w:bookmarkEnd w:id="6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PennantPark Investment Corporation and its Subsidiaries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assets and liabilities of PennantPark Investment Corporation and its Subsidiaries (the Company), including the consolidated schedules of investments, as of September 30, 2022 and 2021, the related consolidated statements of operations, changes in net assets, and cash flows for each of the three years in the period ended September 30, 2022, and the related notes to the consolidated financial statements (collectively, the financial statements). In our opinion, the financial statements present fairly, in all material respects, the financial position of the Company as of September 30, 2022 and 2021, and the results of its operations, changes in net assets, and cash flows for each of the three years in the period ended September 30, 2022,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procedures included confirmation of securities owned as of September 30, 2022 and 2021, by correspondence with the custodians and brokers or by other appropriate auditing procedures where replies from brokers were not received.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Level 3 Fair Value Measurements</w:t>
      </w:r>
    </w:p>
    <w:p>
      <w:pPr>
        <w:spacing w:after="0" w:line="1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The fair value of the Company’s investments valued using Level 3 fair value measurements was approximately $1.16 billion as of September 30, 2022. The fair value of the Company’s financial instruments classified as liabilities valued using Level 3 fair value measurements was approximately $376.7 million as of September 30, 2022. As discussed in Notes 2 and 5 to the consolidated financial statements, the Company’s investment portfolio generally consists of illiquid securities, including debt and equity investments, which were acquired directly from the issuer. Such investments include first lien secured debt, second lien secured debt, subordinated debt and equity investments. Additionally, the Company has elected to apply the fair value option to certain financial instruments classified as liabilities. The inputs into the determination of fair value may require significant management judgment or estimation.</w:t>
      </w:r>
    </w:p>
    <w:p>
      <w:pPr>
        <w:spacing w:after="0" w:line="172" w:lineRule="exact"/>
        <w:rPr>
          <w:sz w:val="20"/>
          <w:szCs w:val="20"/>
          <w:color w:val="auto"/>
        </w:rPr>
      </w:pPr>
    </w:p>
    <w:p>
      <w:pPr>
        <w:jc w:val="both"/>
        <w:ind w:right="340"/>
        <w:spacing w:after="0" w:line="271" w:lineRule="auto"/>
        <w:rPr>
          <w:sz w:val="20"/>
          <w:szCs w:val="20"/>
          <w:color w:val="auto"/>
        </w:rPr>
      </w:pPr>
      <w:r>
        <w:rPr>
          <w:rFonts w:ascii="Times New Roman" w:cs="Times New Roman" w:eastAsia="Times New Roman" w:hAnsi="Times New Roman"/>
          <w:sz w:val="14"/>
          <w:szCs w:val="14"/>
          <w:color w:val="auto"/>
        </w:rPr>
        <w:t>We identified Level 3 fair value measurements as a critical audit matter due to the subjective nature of the judgments necessary for management to select valuation techniques and the use of significant unobservable inputs to estimate the fair value. Auditing the reasonableness of management’s selection of valuation technique and the related unobservable inputs required a high degree of auditor judgment and increased audit effort, including the use of a valuation specialist.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primary procedures we performed to address this critical audit matter included the following, among others:</w:t>
      </w:r>
    </w:p>
    <w:p>
      <w:pPr>
        <w:spacing w:after="0" w:line="325" w:lineRule="exact"/>
        <w:rPr>
          <w:sz w:val="20"/>
          <w:szCs w:val="20"/>
          <w:color w:val="auto"/>
        </w:rPr>
      </w:pPr>
    </w:p>
    <w:p>
      <w:pPr>
        <w:ind w:left="1020" w:hanging="503"/>
        <w:spacing w:after="0" w:line="282"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the relevant controls related to management’s valuation of Level 3 fair value measurements, including those related to valuation techniques and significant unobservable inputs and tested such controls for design and operating effectiveness.</w:t>
      </w:r>
    </w:p>
    <w:p>
      <w:pPr>
        <w:spacing w:after="0" w:line="67" w:lineRule="exact"/>
        <w:rPr>
          <w:rFonts w:ascii="Times New Roman" w:cs="Times New Roman" w:eastAsia="Times New Roman" w:hAnsi="Times New Roman"/>
          <w:sz w:val="14"/>
          <w:szCs w:val="14"/>
          <w:color w:val="auto"/>
        </w:rPr>
      </w:pPr>
    </w:p>
    <w:p>
      <w:pPr>
        <w:ind w:left="1020" w:right="240" w:hanging="503"/>
        <w:spacing w:after="0" w:line="282"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valuation specialists, we evaluated the appropriateness of the selected valuation techniques, and any changes to selected valuation techniques from prior periods, used for Level 3 fair value measurements. We also tested the related significant unobservable inputs by comparing these inputs to external sources.</w:t>
      </w:r>
    </w:p>
    <w:p>
      <w:pPr>
        <w:spacing w:after="0" w:line="53" w:lineRule="exact"/>
        <w:rPr>
          <w:rFonts w:ascii="Times New Roman" w:cs="Times New Roman" w:eastAsia="Times New Roman" w:hAnsi="Times New Roman"/>
          <w:sz w:val="14"/>
          <w:szCs w:val="14"/>
          <w:color w:val="auto"/>
        </w:rPr>
      </w:pPr>
    </w:p>
    <w:p>
      <w:pPr>
        <w:ind w:left="1020" w:right="520" w:hanging="503"/>
        <w:spacing w:after="0" w:line="282" w:lineRule="auto"/>
        <w:tabs>
          <w:tab w:leader="none" w:pos="10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management’s historical ability to estimate fair value through comparison of previous estimates to the transaction price of available transactions occurring subsequent to the previous valuation date.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17, 2022</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61" w:name="page62"/>
    <w:bookmarkEnd w:id="61"/>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69"/>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42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 (cost—$882,513 and $729,811, respectively)</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932,155</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820,500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affiliated investments (cost—$ 37,612 and $78,723, respectively)</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Controlled, affiliated investments (cost—$381,904 and $412,586, respectively)</w:t>
            </w:r>
          </w:p>
        </w:tc>
        <w:tc>
          <w:tcPr>
            <w:tcW w:w="12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259,386</w:t>
            </w:r>
          </w:p>
        </w:tc>
        <w:tc>
          <w:tcPr>
            <w:tcW w:w="2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spacing w:after="0"/>
              <w:rPr>
                <w:sz w:val="15"/>
                <w:szCs w:val="15"/>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384,629</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of investments (cost—$1,302,029 and $1,221,121, respectively)</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1,226,301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(cost—$52,844 and $20,383, respectively)</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29,494</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 receivable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4,036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80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1,318,510</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1,295,092</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payable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2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Truist Credit Facility payable, at fair value (cost—$385,920 and $316,545, respectively)</w:t>
            </w:r>
          </w:p>
        </w:tc>
        <w:tc>
          <w:tcPr>
            <w:tcW w:w="1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376,687</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(See Notes 5 and 11)</w:t>
            </w:r>
          </w:p>
        </w:tc>
        <w:tc>
          <w:tcPr>
            <w:tcW w:w="1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2024 Notes payable, net (par— zero and $86,250, respectively) (See Notes 5 and 11)</w:t>
            </w:r>
          </w:p>
        </w:tc>
        <w:tc>
          <w:tcPr>
            <w:tcW w:w="12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 payable, net (par—$150,000) (See Notes 5 and 11)</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2026-2 Notes payable, net (par—$165,000 and zero, respectively) (See Notes 5 and 11)</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161,373</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SBA debentures payable, net (par—$20,000 and $63,500, respectively) (See Notes 5 and 11)</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Base management fee payable (See Note 3)</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Incentive fee payable (See Note 3)</w:t>
            </w:r>
          </w:p>
        </w:tc>
        <w:tc>
          <w:tcPr>
            <w:tcW w:w="12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debt</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6,264</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other expenses</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120" w:type="dxa"/>
            <w:vAlign w:val="bottom"/>
            <w:shd w:val="clear" w:color="auto" w:fill="CCECFF"/>
          </w:tcPr>
          <w:p>
            <w:pPr>
              <w:spacing w:after="0"/>
              <w:rPr>
                <w:sz w:val="15"/>
                <w:szCs w:val="15"/>
                <w:color w:val="auto"/>
              </w:rPr>
            </w:pPr>
          </w:p>
        </w:tc>
        <w:tc>
          <w:tcPr>
            <w:tcW w:w="14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6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80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732,945</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634,948</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12)</w:t>
            </w: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7800" w:type="dxa"/>
            <w:vAlign w:val="bottom"/>
            <w:shd w:val="clear" w:color="auto" w:fill="CCECFF"/>
          </w:tcPr>
          <w:p>
            <w:pPr>
              <w:ind w:left="20"/>
              <w:spacing w:after="0" w:line="153" w:lineRule="exact"/>
              <w:rPr>
                <w:sz w:val="20"/>
                <w:szCs w:val="20"/>
                <w:color w:val="auto"/>
              </w:rPr>
            </w:pPr>
            <w:r>
              <w:rPr>
                <w:rFonts w:ascii="Times New Roman" w:cs="Times New Roman" w:eastAsia="Times New Roman" w:hAnsi="Times New Roman"/>
                <w:sz w:val="14"/>
                <w:szCs w:val="14"/>
                <w:color w:val="auto"/>
              </w:rPr>
              <w:t>Common stock, 65,224,500 and 67,045,105 shares issued and outstanding, respectively</w:t>
            </w:r>
          </w:p>
        </w:tc>
        <w:tc>
          <w:tcPr>
            <w:tcW w:w="120" w:type="dxa"/>
            <w:vAlign w:val="bottom"/>
            <w:shd w:val="clear" w:color="auto" w:fill="CCECFF"/>
          </w:tcPr>
          <w:p>
            <w:pPr>
              <w:spacing w:after="0"/>
              <w:rPr>
                <w:sz w:val="13"/>
                <w:szCs w:val="13"/>
                <w:color w:val="auto"/>
              </w:rPr>
            </w:pPr>
          </w:p>
        </w:tc>
        <w:tc>
          <w:tcPr>
            <w:tcW w:w="1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8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120" w:type="dxa"/>
            <w:vAlign w:val="bottom"/>
            <w:shd w:val="clear" w:color="auto" w:fill="CCECFF"/>
          </w:tcPr>
          <w:p>
            <w:pPr>
              <w:spacing w:after="0"/>
              <w:rPr>
                <w:sz w:val="14"/>
                <w:szCs w:val="14"/>
                <w:color w:val="auto"/>
              </w:rPr>
            </w:pPr>
          </w:p>
        </w:tc>
        <w:tc>
          <w:tcPr>
            <w:tcW w:w="1420" w:type="dxa"/>
            <w:vAlign w:val="bottom"/>
            <w:vMerge w:val="continue"/>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748,169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CFF"/>
          </w:tcPr>
          <w:p>
            <w:pPr>
              <w:spacing w:after="0"/>
              <w:rPr>
                <w:sz w:val="15"/>
                <w:szCs w:val="15"/>
                <w:color w:val="auto"/>
              </w:rPr>
            </w:pPr>
          </w:p>
        </w:tc>
        <w:tc>
          <w:tcPr>
            <w:tcW w:w="16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(162,669 )</w:t>
            </w:r>
          </w:p>
        </w:tc>
        <w:tc>
          <w:tcPr>
            <w:tcW w:w="120" w:type="dxa"/>
            <w:vAlign w:val="bottom"/>
            <w:shd w:val="clear" w:color="auto" w:fill="CCECFF"/>
          </w:tcPr>
          <w:p>
            <w:pPr>
              <w:spacing w:after="0"/>
              <w:rPr>
                <w:sz w:val="15"/>
                <w:szCs w:val="15"/>
                <w:color w:val="auto"/>
              </w:rPr>
            </w:pPr>
          </w:p>
        </w:tc>
        <w:tc>
          <w:tcPr>
            <w:tcW w:w="15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(126,916 )</w:t>
            </w:r>
          </w:p>
        </w:tc>
        <w:tc>
          <w:tcPr>
            <w:tcW w:w="0" w:type="dxa"/>
            <w:vAlign w:val="bottom"/>
          </w:tcPr>
          <w:p>
            <w:pPr>
              <w:spacing w:after="0"/>
              <w:rPr>
                <w:sz w:val="1"/>
                <w:szCs w:val="1"/>
                <w:color w:val="auto"/>
              </w:rPr>
            </w:pPr>
          </w:p>
        </w:tc>
      </w:tr>
      <w:tr>
        <w:trPr>
          <w:trHeight w:val="169"/>
        </w:trPr>
        <w:tc>
          <w:tcPr>
            <w:tcW w:w="7800" w:type="dxa"/>
            <w:vAlign w:val="bottom"/>
            <w:tcBorders>
              <w:top w:val="single" w:sz="8" w:color="CCECFF"/>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585,565</w:t>
            </w:r>
          </w:p>
        </w:tc>
        <w:tc>
          <w:tcPr>
            <w:tcW w:w="260" w:type="dxa"/>
            <w:vAlign w:val="bottom"/>
            <w:tcBorders>
              <w:top w:val="single" w:sz="8" w:color="CCEC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0" w:type="dxa"/>
            <w:vAlign w:val="bottom"/>
            <w:tcBorders>
              <w:bottom w:val="single" w:sz="8" w:color="CCECFF"/>
            </w:tcBorders>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1,318,510</w:t>
            </w:r>
          </w:p>
        </w:tc>
        <w:tc>
          <w:tcPr>
            <w:tcW w:w="2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1,295,092</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80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8.98</w:t>
            </w:r>
          </w:p>
        </w:tc>
        <w:tc>
          <w:tcPr>
            <w:tcW w:w="2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-3531235</wp:posOffset>
            </wp:positionV>
            <wp:extent cx="6858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-2853690</wp:posOffset>
            </wp:positionV>
            <wp:extent cx="6858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-2853690</wp:posOffset>
            </wp:positionV>
            <wp:extent cx="6858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-1182370</wp:posOffset>
            </wp:positionV>
            <wp:extent cx="68580" cy="128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-402590</wp:posOffset>
            </wp:positionV>
            <wp:extent cx="6858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-162560</wp:posOffset>
            </wp:positionV>
            <wp:extent cx="120840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8405" cy="16319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5"/>
        </w:trPr>
        <w:tc>
          <w:tcPr>
            <w:tcW w:w="8360" w:type="dxa"/>
            <w:vAlign w:val="bottom"/>
            <w:gridSpan w:val="5"/>
          </w:tcPr>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4"/>
        </w:trPr>
        <w:tc>
          <w:tcPr>
            <w:tcW w:w="7320" w:type="dxa"/>
            <w:vAlign w:val="bottom"/>
            <w:gridSpan w:val="3"/>
          </w:tcPr>
          <w:p>
            <w:pPr>
              <w:ind w:left="39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860" w:type="dxa"/>
            <w:vAlign w:val="bottom"/>
          </w:tcPr>
          <w:p>
            <w:pPr>
              <w:ind w:left="4260"/>
              <w:spacing w:after="0"/>
              <w:rPr>
                <w:sz w:val="20"/>
                <w:szCs w:val="20"/>
                <w:color w:val="auto"/>
              </w:rPr>
            </w:pPr>
            <w:r>
              <w:rPr>
                <w:rFonts w:ascii="Times New Roman" w:cs="Times New Roman" w:eastAsia="Times New Roman" w:hAnsi="Times New Roman"/>
                <w:sz w:val="14"/>
                <w:szCs w:val="14"/>
                <w:color w:val="auto"/>
              </w:rPr>
              <w:t>(In thousands, except share</w:t>
            </w:r>
          </w:p>
        </w:tc>
        <w:tc>
          <w:tcPr>
            <w:tcW w:w="14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and per share data)</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74"/>
        </w:trPr>
        <w:tc>
          <w:tcPr>
            <w:tcW w:w="5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96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460" w:type="dxa"/>
            <w:vAlign w:val="bottom"/>
            <w:gridSpan w:val="2"/>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66,995</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46,018</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77,453</w:t>
            </w:r>
          </w:p>
        </w:tc>
        <w:tc>
          <w:tcPr>
            <w:tcW w:w="100" w:type="dxa"/>
            <w:vAlign w:val="bottom"/>
            <w:shd w:val="clear" w:color="auto" w:fill="CCECFF"/>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7,233</w:t>
            </w:r>
          </w:p>
        </w:tc>
        <w:tc>
          <w:tcPr>
            <w:tcW w:w="100" w:type="dxa"/>
            <w:vAlign w:val="bottom"/>
          </w:tcPr>
          <w:p>
            <w:pPr>
              <w:spacing w:after="0"/>
              <w:rPr>
                <w:sz w:val="15"/>
                <w:szCs w:val="15"/>
                <w:color w:val="auto"/>
              </w:rPr>
            </w:pPr>
          </w:p>
        </w:tc>
      </w:tr>
      <w:tr>
        <w:trPr>
          <w:trHeight w:val="176"/>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00" w:type="dxa"/>
            <w:vAlign w:val="bottom"/>
            <w:shd w:val="clear" w:color="auto" w:fill="CCECFF"/>
          </w:tcPr>
          <w:p>
            <w:pPr>
              <w:spacing w:after="0"/>
              <w:rPr>
                <w:sz w:val="15"/>
                <w:szCs w:val="15"/>
                <w:color w:val="auto"/>
              </w:rPr>
            </w:pP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10,586</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100" w:type="dxa"/>
            <w:vAlign w:val="bottom"/>
            <w:shd w:val="clear" w:color="auto" w:fill="CCECFF"/>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Payment-in-kind</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7,329</w:t>
            </w:r>
          </w:p>
        </w:tc>
        <w:tc>
          <w:tcPr>
            <w:tcW w:w="100" w:type="dxa"/>
            <w:vAlign w:val="bottom"/>
          </w:tcPr>
          <w:p>
            <w:pPr>
              <w:spacing w:after="0"/>
              <w:rPr>
                <w:sz w:val="15"/>
                <w:szCs w:val="15"/>
                <w:color w:val="auto"/>
              </w:rPr>
            </w:pPr>
          </w:p>
        </w:tc>
      </w:tr>
      <w:tr>
        <w:trPr>
          <w:trHeight w:val="175"/>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9,075</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6,361</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58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960" w:type="dxa"/>
            <w:vAlign w:val="bottom"/>
            <w:tcBorders>
              <w:bottom w:val="single" w:sz="8" w:color="CCECFF"/>
            </w:tcBorders>
            <w:shd w:val="clear" w:color="auto" w:fill="CCECFF"/>
          </w:tcPr>
          <w:p>
            <w:pPr>
              <w:spacing w:after="0"/>
              <w:rPr>
                <w:sz w:val="14"/>
                <w:szCs w:val="14"/>
                <w:color w:val="auto"/>
              </w:rPr>
            </w:pPr>
          </w:p>
        </w:tc>
        <w:tc>
          <w:tcPr>
            <w:tcW w:w="500" w:type="dxa"/>
            <w:vAlign w:val="bottom"/>
            <w:tcBorders>
              <w:top w:val="single" w:sz="8" w:color="auto"/>
              <w:bottom w:val="single" w:sz="8" w:color="auto"/>
            </w:tcBorders>
            <w:shd w:val="clear" w:color="auto" w:fill="CCECFF"/>
          </w:tcPr>
          <w:p>
            <w:pPr>
              <w:spacing w:after="0"/>
              <w:rPr>
                <w:sz w:val="14"/>
                <w:szCs w:val="14"/>
                <w:color w:val="auto"/>
              </w:rPr>
            </w:pP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104,966</w:t>
            </w:r>
          </w:p>
        </w:tc>
        <w:tc>
          <w:tcPr>
            <w:tcW w:w="26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81,588</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100,225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19,827</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17,335</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18,636</w:t>
            </w:r>
          </w:p>
        </w:tc>
        <w:tc>
          <w:tcPr>
            <w:tcW w:w="100" w:type="dxa"/>
            <w:vAlign w:val="bottom"/>
            <w:shd w:val="clear" w:color="auto" w:fill="CCECFF"/>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4,580</w:t>
            </w:r>
          </w:p>
        </w:tc>
        <w:tc>
          <w:tcPr>
            <w:tcW w:w="100" w:type="dxa"/>
            <w:vAlign w:val="bottom"/>
          </w:tcPr>
          <w:p>
            <w:pPr>
              <w:spacing w:after="0"/>
              <w:rPr>
                <w:sz w:val="15"/>
                <w:szCs w:val="15"/>
                <w:color w:val="auto"/>
              </w:rPr>
            </w:pPr>
          </w:p>
        </w:tc>
      </w:tr>
      <w:tr>
        <w:trPr>
          <w:trHeight w:val="175"/>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and expenses on debt (See Note 11)</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28,760</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22,507</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32,168</w:t>
            </w:r>
          </w:p>
        </w:tc>
        <w:tc>
          <w:tcPr>
            <w:tcW w:w="100" w:type="dxa"/>
            <w:vAlign w:val="bottom"/>
            <w:shd w:val="clear" w:color="auto" w:fill="CCECFF"/>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w:t>
            </w:r>
          </w:p>
        </w:tc>
        <w:tc>
          <w:tcPr>
            <w:tcW w:w="100" w:type="dxa"/>
            <w:vAlign w:val="bottom"/>
          </w:tcPr>
          <w:p>
            <w:pPr>
              <w:spacing w:after="0"/>
              <w:rPr>
                <w:sz w:val="15"/>
                <w:szCs w:val="15"/>
                <w:color w:val="auto"/>
              </w:rPr>
            </w:pPr>
          </w:p>
        </w:tc>
      </w:tr>
      <w:tr>
        <w:trPr>
          <w:trHeight w:val="175"/>
        </w:trPr>
        <w:tc>
          <w:tcPr>
            <w:tcW w:w="58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960" w:type="dxa"/>
            <w:vAlign w:val="bottom"/>
            <w:tcBorders>
              <w:bottom w:val="single" w:sz="8" w:color="CCECFF"/>
            </w:tcBorders>
            <w:shd w:val="clear" w:color="auto" w:fill="CCECFF"/>
          </w:tcPr>
          <w:p>
            <w:pPr>
              <w:spacing w:after="0"/>
              <w:rPr>
                <w:sz w:val="15"/>
                <w:szCs w:val="15"/>
                <w:color w:val="auto"/>
              </w:rPr>
            </w:pPr>
          </w:p>
        </w:tc>
        <w:tc>
          <w:tcPr>
            <w:tcW w:w="500" w:type="dxa"/>
            <w:vAlign w:val="bottom"/>
            <w:tcBorders>
              <w:bottom w:val="single" w:sz="8" w:color="auto"/>
            </w:tcBorders>
            <w:shd w:val="clear" w:color="auto" w:fill="CCECFF"/>
          </w:tcPr>
          <w:p>
            <w:pPr>
              <w:spacing w:after="0"/>
              <w:rPr>
                <w:sz w:val="15"/>
                <w:szCs w:val="15"/>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2,324</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Expenses before Management Fees waiver, provision for taxes and financing costs</w:t>
            </w:r>
          </w:p>
        </w:tc>
        <w:tc>
          <w:tcPr>
            <w:tcW w:w="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55,136</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44,512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60,033</w:t>
            </w:r>
          </w:p>
        </w:tc>
        <w:tc>
          <w:tcPr>
            <w:tcW w:w="100" w:type="dxa"/>
            <w:vAlign w:val="bottom"/>
          </w:tcPr>
          <w:p>
            <w:pPr>
              <w:spacing w:after="0"/>
              <w:rPr>
                <w:sz w:val="14"/>
                <w:szCs w:val="14"/>
                <w:color w:val="auto"/>
              </w:rPr>
            </w:pPr>
          </w:p>
        </w:tc>
      </w:tr>
      <w:tr>
        <w:trPr>
          <w:trHeight w:val="169"/>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Management Fees waiver (See Note 3)</w:t>
            </w:r>
          </w:p>
        </w:tc>
        <w:tc>
          <w:tcPr>
            <w:tcW w:w="96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(1,922</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investment income</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00" w:type="dxa"/>
            <w:vAlign w:val="bottom"/>
          </w:tcPr>
          <w:p>
            <w:pPr>
              <w:spacing w:after="0"/>
              <w:rPr>
                <w:sz w:val="15"/>
                <w:szCs w:val="15"/>
                <w:color w:val="auto"/>
              </w:rPr>
            </w:pPr>
          </w:p>
        </w:tc>
      </w:tr>
      <w:tr>
        <w:trPr>
          <w:trHeight w:val="176"/>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PSLF transaction costs (Note 4)</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shd w:val="clear" w:color="auto" w:fill="CCECFF"/>
          </w:tcPr>
          <w:p>
            <w:pPr>
              <w:spacing w:after="0"/>
              <w:rPr>
                <w:sz w:val="15"/>
                <w:szCs w:val="15"/>
                <w:color w:val="auto"/>
              </w:rPr>
            </w:pPr>
          </w:p>
        </w:tc>
      </w:tr>
      <w:tr>
        <w:trPr>
          <w:trHeight w:val="176"/>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Credit facility amendment and debt issuance costs (See Notes 5 and 11)</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586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expenses</w:t>
            </w:r>
          </w:p>
        </w:tc>
        <w:tc>
          <w:tcPr>
            <w:tcW w:w="960" w:type="dxa"/>
            <w:vAlign w:val="bottom"/>
            <w:tcBorders>
              <w:bottom w:val="single" w:sz="8" w:color="CCECFF"/>
            </w:tcBorders>
            <w:shd w:val="clear" w:color="auto" w:fill="CCECFF"/>
          </w:tcPr>
          <w:p>
            <w:pPr>
              <w:spacing w:after="0"/>
              <w:rPr>
                <w:sz w:val="14"/>
                <w:szCs w:val="14"/>
                <w:color w:val="auto"/>
              </w:rPr>
            </w:pPr>
          </w:p>
        </w:tc>
        <w:tc>
          <w:tcPr>
            <w:tcW w:w="500" w:type="dxa"/>
            <w:vAlign w:val="bottom"/>
            <w:tcBorders>
              <w:top w:val="single" w:sz="8" w:color="auto"/>
              <w:bottom w:val="single" w:sz="8" w:color="auto"/>
            </w:tcBorders>
            <w:shd w:val="clear" w:color="auto" w:fill="CCECFF"/>
          </w:tcPr>
          <w:p>
            <w:pPr>
              <w:spacing w:after="0"/>
              <w:rPr>
                <w:sz w:val="14"/>
                <w:szCs w:val="14"/>
                <w:color w:val="auto"/>
              </w:rPr>
            </w:pP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61,023</w:t>
            </w:r>
          </w:p>
        </w:tc>
        <w:tc>
          <w:tcPr>
            <w:tcW w:w="260" w:type="dxa"/>
            <w:vAlign w:val="bottom"/>
            <w:tcBorders>
              <w:bottom w:val="single" w:sz="8" w:color="CCECFF"/>
            </w:tcBorders>
            <w:shd w:val="clear" w:color="auto" w:fill="CCECFF"/>
          </w:tcPr>
          <w:p>
            <w:pPr>
              <w:spacing w:after="0"/>
              <w:rPr>
                <w:sz w:val="14"/>
                <w:szCs w:val="14"/>
                <w:color w:val="auto"/>
              </w:rPr>
            </w:pP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45,112</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61,495</w:t>
            </w:r>
          </w:p>
        </w:tc>
        <w:tc>
          <w:tcPr>
            <w:tcW w:w="100" w:type="dxa"/>
            <w:vAlign w:val="bottom"/>
            <w:tcBorders>
              <w:bottom w:val="single" w:sz="8" w:color="CCECFF"/>
            </w:tcBorders>
            <w:shd w:val="clear" w:color="auto" w:fill="CCECFF"/>
          </w:tcPr>
          <w:p>
            <w:pPr>
              <w:spacing w:after="0"/>
              <w:rPr>
                <w:sz w:val="14"/>
                <w:szCs w:val="14"/>
                <w:color w:val="auto"/>
              </w:rPr>
            </w:pPr>
          </w:p>
        </w:tc>
      </w:tr>
      <w:tr>
        <w:trPr>
          <w:trHeight w:val="169"/>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9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43,943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36,476</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38,730</w:t>
            </w:r>
          </w:p>
        </w:tc>
        <w:tc>
          <w:tcPr>
            <w:tcW w:w="100" w:type="dxa"/>
            <w:vAlign w:val="bottom"/>
          </w:tcPr>
          <w:p>
            <w:pPr>
              <w:spacing w:after="0"/>
              <w:rPr>
                <w:sz w:val="14"/>
                <w:szCs w:val="14"/>
                <w:color w:val="auto"/>
              </w:rPr>
            </w:pPr>
          </w:p>
        </w:tc>
      </w:tr>
      <w:tr>
        <w:trPr>
          <w:trHeight w:val="169"/>
        </w:trPr>
        <w:tc>
          <w:tcPr>
            <w:tcW w:w="5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change in unrealized gain (loss) on investments and debt:</w:t>
            </w:r>
          </w:p>
        </w:tc>
        <w:tc>
          <w:tcPr>
            <w:tcW w:w="960" w:type="dxa"/>
            <w:vAlign w:val="bottom"/>
            <w:shd w:val="clear" w:color="auto" w:fill="CCECFF"/>
          </w:tcPr>
          <w:p>
            <w:pPr>
              <w:spacing w:after="0"/>
              <w:rPr>
                <w:sz w:val="14"/>
                <w:szCs w:val="14"/>
                <w:color w:val="auto"/>
              </w:rPr>
            </w:pPr>
          </w:p>
        </w:tc>
        <w:tc>
          <w:tcPr>
            <w:tcW w:w="5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(31,382 )</w:t>
            </w: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49,729</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(11,577 )</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(19,708 )</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extinguishment</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(2,922 )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realized gain on investments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(6,183 )</w:t>
            </w:r>
          </w:p>
        </w:tc>
        <w:tc>
          <w:tcPr>
            <w:tcW w:w="2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Deconsolidation loss (Note 4)</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(9,250 )</w:t>
            </w:r>
          </w:p>
        </w:tc>
      </w:tr>
      <w:tr>
        <w:trPr>
          <w:trHeight w:val="20"/>
        </w:trPr>
        <w:tc>
          <w:tcPr>
            <w:tcW w:w="5860" w:type="dxa"/>
            <w:vAlign w:val="bottom"/>
            <w:shd w:val="clear" w:color="auto" w:fill="CCECFF"/>
          </w:tcPr>
          <w:p>
            <w:pPr>
              <w:spacing w:after="0" w:line="20" w:lineRule="exact"/>
              <w:rPr>
                <w:sz w:val="1"/>
                <w:szCs w:val="1"/>
                <w:color w:val="auto"/>
              </w:rPr>
            </w:pPr>
          </w:p>
        </w:tc>
        <w:tc>
          <w:tcPr>
            <w:tcW w:w="960" w:type="dxa"/>
            <w:vAlign w:val="bottom"/>
            <w:shd w:val="clear" w:color="auto" w:fill="CCEC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realized (loss) gain on investments</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(20,827 )</w:t>
            </w:r>
          </w:p>
        </w:tc>
      </w:tr>
      <w:tr>
        <w:trPr>
          <w:trHeight w:val="176"/>
        </w:trPr>
        <w:tc>
          <w:tcPr>
            <w:tcW w:w="58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(depreciation) appreciation on:</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(182,863 )</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100" w:type="dxa"/>
            <w:vAlign w:val="bottom"/>
          </w:tcPr>
          <w:p>
            <w:pPr>
              <w:spacing w:after="0"/>
              <w:rPr>
                <w:sz w:val="15"/>
                <w:szCs w:val="15"/>
                <w:color w:val="auto"/>
              </w:rPr>
            </w:pPr>
          </w:p>
        </w:tc>
      </w:tr>
      <w:tr>
        <w:trPr>
          <w:trHeight w:val="175"/>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72,819</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67,808</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(53,864 )</w:t>
            </w:r>
          </w:p>
        </w:tc>
      </w:tr>
      <w:tr>
        <w:trPr>
          <w:trHeight w:val="175"/>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unrealized depreciation on investments</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(896 )</w:t>
            </w:r>
          </w:p>
        </w:tc>
        <w:tc>
          <w:tcPr>
            <w:tcW w:w="2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86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Debt (See Notes 5 and 11)</w:t>
            </w:r>
          </w:p>
        </w:tc>
        <w:tc>
          <w:tcPr>
            <w:tcW w:w="960" w:type="dxa"/>
            <w:vAlign w:val="bottom"/>
            <w:shd w:val="clear" w:color="auto" w:fill="CCECFF"/>
          </w:tcPr>
          <w:p>
            <w:pPr>
              <w:spacing w:after="0"/>
              <w:rPr>
                <w:sz w:val="15"/>
                <w:szCs w:val="15"/>
                <w:color w:val="auto"/>
              </w:rPr>
            </w:pPr>
          </w:p>
        </w:tc>
        <w:tc>
          <w:tcPr>
            <w:tcW w:w="500" w:type="dxa"/>
            <w:vAlign w:val="bottom"/>
            <w:shd w:val="clear" w:color="auto" w:fill="CCECFF"/>
          </w:tcPr>
          <w:p>
            <w:pPr>
              <w:spacing w:after="0"/>
              <w:rPr>
                <w:sz w:val="15"/>
                <w:szCs w:val="15"/>
                <w:color w:val="auto"/>
              </w:rPr>
            </w:pPr>
          </w:p>
        </w:tc>
        <w:tc>
          <w:tcPr>
            <w:tcW w:w="7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(17,818 )</w:t>
            </w: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12,304</w:t>
            </w:r>
          </w:p>
        </w:tc>
        <w:tc>
          <w:tcPr>
            <w:tcW w:w="100" w:type="dxa"/>
            <w:vAlign w:val="bottom"/>
            <w:shd w:val="clear" w:color="auto" w:fill="CCECFF"/>
          </w:tcPr>
          <w:p>
            <w:pPr>
              <w:spacing w:after="0"/>
              <w:rPr>
                <w:sz w:val="15"/>
                <w:szCs w:val="15"/>
                <w:color w:val="auto"/>
              </w:rPr>
            </w:pPr>
          </w:p>
        </w:tc>
      </w:tr>
      <w:tr>
        <w:trPr>
          <w:trHeight w:val="20"/>
        </w:trPr>
        <w:tc>
          <w:tcPr>
            <w:tcW w:w="5860" w:type="dxa"/>
            <w:vAlign w:val="bottom"/>
            <w:shd w:val="clear" w:color="auto" w:fill="CCECFF"/>
          </w:tcPr>
          <w:p>
            <w:pPr>
              <w:spacing w:after="0" w:line="20" w:lineRule="exact"/>
              <w:rPr>
                <w:sz w:val="1"/>
                <w:szCs w:val="1"/>
                <w:color w:val="auto"/>
              </w:rPr>
            </w:pPr>
          </w:p>
        </w:tc>
        <w:tc>
          <w:tcPr>
            <w:tcW w:w="960" w:type="dxa"/>
            <w:vAlign w:val="bottom"/>
            <w:shd w:val="clear" w:color="auto" w:fill="CCEC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5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 and debt</w:t>
            </w: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(103,439 )</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(33,873 )</w:t>
            </w:r>
          </w:p>
        </w:tc>
      </w:tr>
      <w:tr>
        <w:trPr>
          <w:trHeight w:val="169"/>
        </w:trPr>
        <w:tc>
          <w:tcPr>
            <w:tcW w:w="58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change in unrealized gain (loss) from investments and debt</w:t>
            </w:r>
          </w:p>
        </w:tc>
        <w:tc>
          <w:tcPr>
            <w:tcW w:w="960" w:type="dxa"/>
            <w:vAlign w:val="bottom"/>
            <w:tcBorders>
              <w:bottom w:val="single" w:sz="8" w:color="CCECFF"/>
            </w:tcBorders>
            <w:shd w:val="clear" w:color="auto" w:fill="CCECFF"/>
          </w:tcPr>
          <w:p>
            <w:pPr>
              <w:spacing w:after="0"/>
              <w:rPr>
                <w:sz w:val="14"/>
                <w:szCs w:val="14"/>
                <w:color w:val="auto"/>
              </w:rPr>
            </w:pPr>
          </w:p>
        </w:tc>
        <w:tc>
          <w:tcPr>
            <w:tcW w:w="500" w:type="dxa"/>
            <w:vAlign w:val="bottom"/>
            <w:tcBorders>
              <w:top w:val="single" w:sz="8" w:color="auto"/>
              <w:bottom w:val="single" w:sz="8" w:color="auto"/>
            </w:tcBorders>
            <w:shd w:val="clear" w:color="auto" w:fill="CCECFF"/>
          </w:tcPr>
          <w:p>
            <w:pPr>
              <w:spacing w:after="0"/>
              <w:rPr>
                <w:sz w:val="14"/>
                <w:szCs w:val="14"/>
                <w:color w:val="auto"/>
              </w:rPr>
            </w:pPr>
          </w:p>
        </w:tc>
        <w:tc>
          <w:tcPr>
            <w:tcW w:w="7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(68,683</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130,141</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(54,700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increase in net assets resulting from operations</w:t>
            </w:r>
          </w:p>
        </w:tc>
        <w:tc>
          <w:tcPr>
            <w:tcW w:w="1460" w:type="dxa"/>
            <w:vAlign w:val="bottom"/>
            <w:gridSpan w:val="2"/>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(24,740 )</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166,617</w:t>
            </w:r>
          </w:p>
        </w:tc>
        <w:tc>
          <w:tcPr>
            <w:tcW w:w="24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(15,970 )</w:t>
            </w:r>
          </w:p>
        </w:tc>
      </w:tr>
      <w:tr>
        <w:trPr>
          <w:trHeight w:val="209"/>
        </w:trPr>
        <w:tc>
          <w:tcPr>
            <w:tcW w:w="5860" w:type="dxa"/>
            <w:vAlign w:val="bottom"/>
            <w:tcBorders>
              <w:bottom w:val="single" w:sz="8" w:color="CCECFF"/>
            </w:tcBorders>
            <w:shd w:val="clear" w:color="auto" w:fill="CCECFF"/>
          </w:tcPr>
          <w:p>
            <w:pPr>
              <w:ind w:left="20"/>
              <w:spacing w:after="0" w:line="155" w:lineRule="exact"/>
              <w:rPr>
                <w:sz w:val="20"/>
                <w:szCs w:val="20"/>
                <w:color w:val="auto"/>
              </w:rPr>
            </w:pPr>
            <w:r>
              <w:rPr>
                <w:rFonts w:ascii="Times New Roman" w:cs="Times New Roman" w:eastAsia="Times New Roman" w:hAnsi="Times New Roman"/>
                <w:sz w:val="14"/>
                <w:szCs w:val="14"/>
                <w:color w:val="auto"/>
              </w:rPr>
              <w:t>Net (decrease) increase in net assets resulting from operations per common share (See Note 7)</w:t>
            </w:r>
          </w:p>
        </w:tc>
        <w:tc>
          <w:tcPr>
            <w:tcW w:w="960" w:type="dxa"/>
            <w:vAlign w:val="bottom"/>
            <w:tcBorders>
              <w:bottom w:val="single" w:sz="8" w:color="CCECFF"/>
            </w:tcBorders>
            <w:shd w:val="clear" w:color="auto" w:fill="CCECFF"/>
          </w:tcPr>
          <w:p>
            <w:pPr>
              <w:spacing w:after="0"/>
              <w:rPr>
                <w:sz w:val="18"/>
                <w:szCs w:val="18"/>
                <w:color w:val="auto"/>
              </w:rPr>
            </w:pPr>
          </w:p>
        </w:tc>
        <w:tc>
          <w:tcPr>
            <w:tcW w:w="500" w:type="dxa"/>
            <w:vAlign w:val="bottom"/>
            <w:tcBorders>
              <w:top w:val="single" w:sz="8" w:color="auto"/>
              <w:bottom w:val="single" w:sz="8" w:color="auto"/>
            </w:tcBorders>
            <w:shd w:val="clear" w:color="auto" w:fill="CCECFF"/>
          </w:tcPr>
          <w:p>
            <w:pPr>
              <w:jc w:val="right"/>
              <w:ind w:right="3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(0.37</w:t>
            </w:r>
          </w:p>
        </w:tc>
        <w:tc>
          <w:tcPr>
            <w:tcW w:w="260" w:type="dxa"/>
            <w:vAlign w:val="bottom"/>
            <w:tcBorders>
              <w:bottom w:val="single" w:sz="8" w:color="CCECFF"/>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2.49</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(0.24</w:t>
            </w:r>
          </w:p>
        </w:tc>
        <w:tc>
          <w:tcPr>
            <w:tcW w:w="100" w:type="dxa"/>
            <w:vAlign w:val="bottom"/>
            <w:tcBorders>
              <w:bottom w:val="single" w:sz="8" w:color="CCECFF"/>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4"/>
              </w:rPr>
              <w:t>)</w:t>
            </w:r>
          </w:p>
        </w:tc>
      </w:tr>
      <w:tr>
        <w:trPr>
          <w:trHeight w:val="156"/>
        </w:trPr>
        <w:tc>
          <w:tcPr>
            <w:tcW w:w="586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investment income per common share</w:t>
            </w:r>
          </w:p>
        </w:tc>
        <w:tc>
          <w:tcPr>
            <w:tcW w:w="1460" w:type="dxa"/>
            <w:vAlign w:val="bottom"/>
            <w:gridSpan w:val="2"/>
          </w:tcPr>
          <w:p>
            <w:pPr>
              <w:jc w:val="right"/>
              <w:ind w:right="3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0.66</w:t>
            </w:r>
          </w:p>
        </w:tc>
        <w:tc>
          <w:tcPr>
            <w:tcW w:w="260" w:type="dxa"/>
            <w:vAlign w:val="bottom"/>
          </w:tcPr>
          <w:p>
            <w:pPr>
              <w:spacing w:after="0"/>
              <w:rPr>
                <w:sz w:val="13"/>
                <w:szCs w:val="13"/>
                <w:color w:val="auto"/>
              </w:rPr>
            </w:pP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0.54</w:t>
            </w:r>
          </w:p>
        </w:tc>
        <w:tc>
          <w:tcPr>
            <w:tcW w:w="240" w:type="dxa"/>
            <w:vAlign w:val="bottom"/>
          </w:tcPr>
          <w:p>
            <w:pPr>
              <w:spacing w:after="0"/>
              <w:rPr>
                <w:sz w:val="13"/>
                <w:szCs w:val="13"/>
                <w:color w:val="auto"/>
              </w:rPr>
            </w:pPr>
          </w:p>
        </w:tc>
        <w:tc>
          <w:tcPr>
            <w:tcW w:w="30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0.58</w:t>
            </w:r>
          </w:p>
        </w:tc>
        <w:tc>
          <w:tcPr>
            <w:tcW w:w="100" w:type="dxa"/>
            <w:vAlign w:val="bottom"/>
          </w:tcPr>
          <w:p>
            <w:pPr>
              <w:spacing w:after="0"/>
              <w:rPr>
                <w:sz w:val="13"/>
                <w:szCs w:val="13"/>
                <w:color w:val="auto"/>
              </w:rPr>
            </w:pPr>
          </w:p>
        </w:tc>
      </w:tr>
      <w:tr>
        <w:trPr>
          <w:trHeight w:val="20"/>
        </w:trPr>
        <w:tc>
          <w:tcPr>
            <w:tcW w:w="5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-3599815</wp:posOffset>
            </wp:positionV>
            <wp:extent cx="77470"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-3599815</wp:posOffset>
            </wp:positionV>
            <wp:extent cx="6858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-2922270</wp:posOffset>
            </wp:positionV>
            <wp:extent cx="77470"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-2922270</wp:posOffset>
            </wp:positionV>
            <wp:extent cx="68580"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1289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-2228215</wp:posOffset>
            </wp:positionV>
            <wp:extent cx="7747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-2228215</wp:posOffset>
            </wp:positionV>
            <wp:extent cx="6858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-1319530</wp:posOffset>
            </wp:positionV>
            <wp:extent cx="7747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-1319530</wp:posOffset>
            </wp:positionV>
            <wp:extent cx="6858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-642620</wp:posOffset>
            </wp:positionV>
            <wp:extent cx="77470" cy="1289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-642620</wp:posOffset>
            </wp:positionV>
            <wp:extent cx="6858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128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-402590</wp:posOffset>
            </wp:positionV>
            <wp:extent cx="77470"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-402590</wp:posOffset>
            </wp:positionV>
            <wp:extent cx="68580" cy="1289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-161925</wp:posOffset>
            </wp:positionV>
            <wp:extent cx="1997075" cy="162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97075" cy="16256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3" w:name="page64"/>
    <w:bookmarkEnd w:id="63"/>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43,943</w:t>
            </w:r>
          </w:p>
        </w:tc>
        <w:tc>
          <w:tcPr>
            <w:tcW w:w="26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36,476</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38,730</w:t>
            </w:r>
          </w:p>
        </w:tc>
        <w:tc>
          <w:tcPr>
            <w:tcW w:w="100" w:type="dxa"/>
            <w:vAlign w:val="bottom"/>
          </w:tcPr>
          <w:p>
            <w:pPr>
              <w:spacing w:after="0"/>
              <w:rPr>
                <w:sz w:val="15"/>
                <w:szCs w:val="15"/>
                <w:color w:val="auto"/>
              </w:rPr>
            </w:pPr>
          </w:p>
        </w:tc>
      </w:tr>
      <w:tr>
        <w:trPr>
          <w:trHeight w:val="176"/>
        </w:trPr>
        <w:tc>
          <w:tcPr>
            <w:tcW w:w="6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 and debt</w:t>
            </w: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40,939</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30,021</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(11,577 )</w:t>
            </w:r>
          </w:p>
        </w:tc>
      </w:tr>
      <w:tr>
        <w:trPr>
          <w:trHeight w:val="175"/>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deconsolidation realized loss</w:t>
            </w:r>
          </w:p>
        </w:tc>
        <w:tc>
          <w:tcPr>
            <w:tcW w:w="30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(9,250 )</w:t>
            </w:r>
          </w:p>
        </w:tc>
      </w:tr>
      <w:tr>
        <w:trPr>
          <w:trHeight w:val="176"/>
        </w:trPr>
        <w:tc>
          <w:tcPr>
            <w:tcW w:w="6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(110,044 )</w:t>
            </w: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117,938</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(46,177 )</w:t>
            </w:r>
          </w:p>
        </w:tc>
      </w:tr>
      <w:tr>
        <w:trPr>
          <w:trHeight w:val="175"/>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taxes on net realized gain (loss) on investments</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(6,183 )</w:t>
            </w:r>
          </w:p>
        </w:tc>
        <w:tc>
          <w:tcPr>
            <w:tcW w:w="2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Provision for taxes on net change innet unrealized depreciation on investments</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(896 )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debt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(17,818 )</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12,304</w:t>
            </w:r>
          </w:p>
        </w:tc>
        <w:tc>
          <w:tcPr>
            <w:tcW w:w="100" w:type="dxa"/>
            <w:vAlign w:val="bottom"/>
          </w:tcPr>
          <w:p>
            <w:pPr>
              <w:spacing w:after="0"/>
              <w:rPr>
                <w:sz w:val="15"/>
                <w:szCs w:val="15"/>
                <w:color w:val="auto"/>
              </w:rPr>
            </w:pPr>
          </w:p>
        </w:tc>
      </w:tr>
      <w:tr>
        <w:trPr>
          <w:trHeight w:val="169"/>
        </w:trPr>
        <w:tc>
          <w:tcPr>
            <w:tcW w:w="68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(24,740</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166,617</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(15,970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820" w:type="dxa"/>
            <w:vAlign w:val="bottom"/>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Distribution of net investment income</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(36,590 )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(32,182 )</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(40,227 )</w:t>
            </w:r>
          </w:p>
        </w:tc>
      </w:tr>
      <w:tr>
        <w:trPr>
          <w:trHeight w:val="20"/>
        </w:trPr>
        <w:tc>
          <w:tcPr>
            <w:tcW w:w="68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distributions to stockholders</w:t>
            </w:r>
          </w:p>
        </w:tc>
        <w:tc>
          <w:tcPr>
            <w:tcW w:w="30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(36,590 )</w:t>
            </w:r>
          </w:p>
        </w:tc>
        <w:tc>
          <w:tcPr>
            <w:tcW w:w="280" w:type="dxa"/>
            <w:vAlign w:val="bottom"/>
          </w:tcPr>
          <w:p>
            <w:pPr>
              <w:spacing w:after="0"/>
              <w:rPr>
                <w:sz w:val="14"/>
                <w:szCs w:val="1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(32,182 )</w:t>
            </w: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(40,227 )</w:t>
            </w:r>
          </w:p>
        </w:tc>
      </w:tr>
      <w:tr>
        <w:trPr>
          <w:trHeight w:val="169"/>
        </w:trPr>
        <w:tc>
          <w:tcPr>
            <w:tcW w:w="6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transactions:</w:t>
            </w:r>
          </w:p>
        </w:tc>
        <w:tc>
          <w:tcPr>
            <w:tcW w:w="300" w:type="dxa"/>
            <w:vAlign w:val="bottom"/>
            <w:tcBorders>
              <w:top w:val="single" w:sz="8" w:color="auto"/>
            </w:tcBorders>
            <w:shd w:val="clear" w:color="auto" w:fill="CCECFF"/>
          </w:tcPr>
          <w:p>
            <w:pPr>
              <w:spacing w:after="0"/>
              <w:rPr>
                <w:sz w:val="14"/>
                <w:szCs w:val="14"/>
                <w:color w:val="auto"/>
              </w:rPr>
            </w:pPr>
          </w:p>
        </w:tc>
        <w:tc>
          <w:tcPr>
            <w:tcW w:w="98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(13,249 )</w:t>
            </w:r>
          </w:p>
        </w:tc>
        <w:tc>
          <w:tcPr>
            <w:tcW w:w="28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net assets</w:t>
            </w: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(74,579</w:t>
            </w:r>
          </w:p>
        </w:tc>
        <w:tc>
          <w:tcPr>
            <w:tcW w:w="260" w:type="dxa"/>
            <w:vAlign w:val="bottom"/>
            <w:tcBorders>
              <w:bottom w:val="single" w:sz="8" w:color="CCECFF"/>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bottom w:val="single" w:sz="8" w:color="auto"/>
            </w:tcBorders>
            <w:shd w:val="clear" w:color="auto" w:fill="CCECFF"/>
          </w:tcPr>
          <w:p>
            <w:pPr>
              <w:spacing w:after="0"/>
              <w:rPr>
                <w:sz w:val="14"/>
                <w:szCs w:val="14"/>
                <w:color w:val="auto"/>
              </w:rPr>
            </w:pP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134,435</w:t>
            </w:r>
          </w:p>
        </w:tc>
        <w:tc>
          <w:tcPr>
            <w:tcW w:w="240" w:type="dxa"/>
            <w:vAlign w:val="bottom"/>
            <w:tcBorders>
              <w:bottom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spacing w:after="0"/>
              <w:rPr>
                <w:sz w:val="14"/>
                <w:szCs w:val="14"/>
                <w:color w:val="auto"/>
              </w:rPr>
            </w:pP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(56,197</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69"/>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820" w:type="dxa"/>
            <w:vAlign w:val="bottom"/>
            <w:tcBorders>
              <w:bottom w:val="single" w:sz="8" w:color="CCECFF"/>
            </w:tcBorders>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Beginning of year</w:t>
            </w:r>
          </w:p>
        </w:tc>
        <w:tc>
          <w:tcPr>
            <w:tcW w:w="30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525,709</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581,906</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68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End of year</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585,565</w:t>
            </w:r>
          </w:p>
        </w:tc>
        <w:tc>
          <w:tcPr>
            <w:tcW w:w="260" w:type="dxa"/>
            <w:vAlign w:val="bottom"/>
          </w:tcPr>
          <w:p>
            <w:pPr>
              <w:spacing w:after="0"/>
              <w:rPr>
                <w:sz w:val="14"/>
                <w:szCs w:val="14"/>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24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525,709</w:t>
            </w:r>
          </w:p>
        </w:tc>
        <w:tc>
          <w:tcPr>
            <w:tcW w:w="100" w:type="dxa"/>
            <w:vAlign w:val="bottom"/>
          </w:tcPr>
          <w:p>
            <w:pPr>
              <w:spacing w:after="0"/>
              <w:rPr>
                <w:sz w:val="14"/>
                <w:szCs w:val="14"/>
                <w:color w:val="auto"/>
              </w:rPr>
            </w:pPr>
          </w:p>
        </w:tc>
      </w:tr>
      <w:tr>
        <w:trPr>
          <w:trHeight w:val="175"/>
        </w:trPr>
        <w:tc>
          <w:tcPr>
            <w:tcW w:w="6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share activity:</w:t>
            </w: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r>
      <w:tr>
        <w:trPr>
          <w:trHeight w:val="176"/>
        </w:trPr>
        <w:tc>
          <w:tcPr>
            <w:tcW w:w="682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Shares of common stock repurchased</w:t>
            </w:r>
          </w:p>
        </w:tc>
        <w:tc>
          <w:tcPr>
            <w:tcW w:w="300" w:type="dxa"/>
            <w:vAlign w:val="bottom"/>
          </w:tcPr>
          <w:p>
            <w:pPr>
              <w:spacing w:after="0"/>
              <w:rPr>
                <w:sz w:val="15"/>
                <w:szCs w:val="15"/>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1,820,605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-1302385</wp:posOffset>
            </wp:positionV>
            <wp:extent cx="7747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-1302385</wp:posOffset>
            </wp:positionV>
            <wp:extent cx="6858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-1070610</wp:posOffset>
            </wp:positionV>
            <wp:extent cx="7747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-1070610</wp:posOffset>
            </wp:positionV>
            <wp:extent cx="6858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-599440</wp:posOffset>
            </wp:positionV>
            <wp:extent cx="7747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-599440</wp:posOffset>
            </wp:positionV>
            <wp:extent cx="6858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-367665</wp:posOffset>
            </wp:positionV>
            <wp:extent cx="7747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-367665</wp:posOffset>
            </wp:positionV>
            <wp:extent cx="6858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4" w:name="page65"/>
    <w:bookmarkEnd w:id="64"/>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CONSOLIDATED STEATEMENTS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(24,740 )</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166,617</w:t>
            </w:r>
          </w:p>
        </w:tc>
        <w:tc>
          <w:tcPr>
            <w:tcW w:w="24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(15,970 )</w:t>
            </w:r>
          </w:p>
        </w:tc>
      </w:tr>
      <w:tr>
        <w:trPr>
          <w:trHeight w:val="153"/>
        </w:trPr>
        <w:tc>
          <w:tcPr>
            <w:tcW w:w="6820" w:type="dxa"/>
            <w:vAlign w:val="bottom"/>
            <w:shd w:val="clear" w:color="auto" w:fill="CCECFF"/>
          </w:tcPr>
          <w:p>
            <w:pPr>
              <w:ind w:left="380"/>
              <w:spacing w:after="0" w:line="153" w:lineRule="exact"/>
              <w:rPr>
                <w:sz w:val="20"/>
                <w:szCs w:val="20"/>
                <w:color w:val="auto"/>
              </w:rPr>
            </w:pPr>
            <w:r>
              <w:rPr>
                <w:rFonts w:ascii="Times New Roman" w:cs="Times New Roman" w:eastAsia="Times New Roman" w:hAnsi="Times New Roman"/>
                <w:sz w:val="14"/>
                <w:szCs w:val="14"/>
                <w:color w:val="auto"/>
              </w:rPr>
              <w:t>Adjustments to reconcile net increase (decrease) in net assets resulting from</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1"/>
        </w:trPr>
        <w:tc>
          <w:tcPr>
            <w:tcW w:w="682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operations to net cash provided by (used in) operating activities:</w:t>
            </w: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5"/>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change in net unrealized (appreciation) depreciation on investments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110,044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(117,937 )</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46,177</w:t>
            </w:r>
          </w:p>
        </w:tc>
        <w:tc>
          <w:tcPr>
            <w:tcW w:w="100" w:type="dxa"/>
            <w:vAlign w:val="bottom"/>
          </w:tcPr>
          <w:p>
            <w:pPr>
              <w:spacing w:after="0"/>
              <w:rPr>
                <w:sz w:val="15"/>
                <w:szCs w:val="15"/>
                <w:color w:val="auto"/>
              </w:rPr>
            </w:pPr>
          </w:p>
        </w:tc>
      </w:tr>
      <w:tr>
        <w:trPr>
          <w:trHeight w:val="176"/>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change in unrealized depreciation on debt</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(7,501 )</w:t>
            </w: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17,818</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(12,304 )</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(43,861 )</w:t>
            </w:r>
          </w:p>
        </w:tc>
        <w:tc>
          <w:tcPr>
            <w:tcW w:w="280" w:type="dxa"/>
            <w:vAlign w:val="bottom"/>
          </w:tcPr>
          <w:p>
            <w:pPr>
              <w:spacing w:after="0"/>
              <w:rPr>
                <w:sz w:val="15"/>
                <w:szCs w:val="15"/>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(30,021 )</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11,577</w:t>
            </w:r>
          </w:p>
        </w:tc>
        <w:tc>
          <w:tcPr>
            <w:tcW w:w="100" w:type="dxa"/>
            <w:vAlign w:val="bottom"/>
          </w:tcPr>
          <w:p>
            <w:pPr>
              <w:spacing w:after="0"/>
              <w:rPr>
                <w:sz w:val="15"/>
                <w:szCs w:val="15"/>
                <w:color w:val="auto"/>
              </w:rPr>
            </w:pP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Debt extinguishment realized loss</w:t>
            </w: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2,922</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Deconsolidation realized loss</w:t>
            </w:r>
          </w:p>
        </w:tc>
        <w:tc>
          <w:tcPr>
            <w:tcW w:w="30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9,250</w:t>
            </w:r>
          </w:p>
        </w:tc>
        <w:tc>
          <w:tcPr>
            <w:tcW w:w="100" w:type="dxa"/>
            <w:vAlign w:val="bottom"/>
          </w:tcPr>
          <w:p>
            <w:pPr>
              <w:spacing w:after="0"/>
              <w:rPr>
                <w:sz w:val="15"/>
                <w:szCs w:val="15"/>
                <w:color w:val="auto"/>
              </w:rPr>
            </w:pP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(5,505 )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(3,525 )</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(2,592 )</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(933,780 )</w:t>
            </w:r>
          </w:p>
        </w:tc>
        <w:tc>
          <w:tcPr>
            <w:tcW w:w="280" w:type="dxa"/>
            <w:vAlign w:val="bottom"/>
          </w:tcPr>
          <w:p>
            <w:pPr>
              <w:spacing w:after="0"/>
              <w:rPr>
                <w:sz w:val="15"/>
                <w:szCs w:val="15"/>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(441,365 )</w:t>
            </w:r>
          </w:p>
        </w:tc>
        <w:tc>
          <w:tcPr>
            <w:tcW w:w="3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(319,308 )</w:t>
            </w: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Payment-in-kind income</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(9,218 )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(15,210 )</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(14,549 )</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911,643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434,473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162,693</w:t>
            </w:r>
          </w:p>
        </w:tc>
        <w:tc>
          <w:tcPr>
            <w:tcW w:w="100" w:type="dxa"/>
            <w:vAlign w:val="bottom"/>
          </w:tcPr>
          <w:p>
            <w:pPr>
              <w:spacing w:after="0"/>
              <w:rPr>
                <w:sz w:val="15"/>
                <w:szCs w:val="15"/>
                <w:color w:val="auto"/>
              </w:rPr>
            </w:pPr>
          </w:p>
        </w:tc>
      </w:tr>
      <w:tr>
        <w:trPr>
          <w:trHeight w:val="176"/>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1,965</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2,452</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shd w:val="clear" w:color="auto" w:fill="CCECFF"/>
          </w:tcPr>
          <w:p>
            <w:pPr>
              <w:spacing w:after="0"/>
              <w:rPr>
                <w:sz w:val="15"/>
                <w:szCs w:val="15"/>
                <w:color w:val="auto"/>
              </w:rPr>
            </w:pPr>
          </w:p>
        </w:tc>
      </w:tr>
      <w:tr>
        <w:trPr>
          <w:trHeight w:val="175"/>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(Increase)/decrease in interest receivable</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100" w:type="dxa"/>
            <w:vAlign w:val="bottom"/>
          </w:tcPr>
          <w:p>
            <w:pPr>
              <w:spacing w:after="0"/>
              <w:rPr>
                <w:sz w:val="15"/>
                <w:szCs w:val="15"/>
                <w:color w:val="auto"/>
              </w:rPr>
            </w:pPr>
          </w:p>
        </w:tc>
      </w:tr>
      <w:tr>
        <w:trPr>
          <w:trHeight w:val="176"/>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(Increase)/decrease in receivables from investments sold</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(16,701 )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(12,793 )</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(Increase)/decrease in distribution receivable</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(726 )</w:t>
            </w:r>
          </w:p>
        </w:tc>
        <w:tc>
          <w:tcPr>
            <w:tcW w:w="280" w:type="dxa"/>
            <w:vAlign w:val="bottom"/>
          </w:tcPr>
          <w:p>
            <w:pPr>
              <w:spacing w:after="0"/>
              <w:rPr>
                <w:sz w:val="15"/>
                <w:szCs w:val="15"/>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(300 )</w:t>
            </w:r>
          </w:p>
        </w:tc>
        <w:tc>
          <w:tcPr>
            <w:tcW w:w="3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(1,394 )</w:t>
            </w:r>
          </w:p>
        </w:tc>
      </w:tr>
      <w:tr>
        <w:trPr>
          <w:trHeight w:val="176"/>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(Increase)/decrease in prepaid expenses and other assets</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(4,394 )</w:t>
            </w: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(436 )</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Increase/(decrease) in payable for investments purchased</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(8,407 )</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5,462</w:t>
            </w:r>
          </w:p>
        </w:tc>
        <w:tc>
          <w:tcPr>
            <w:tcW w:w="100" w:type="dxa"/>
            <w:vAlign w:val="bottom"/>
          </w:tcPr>
          <w:p>
            <w:pPr>
              <w:spacing w:after="0"/>
              <w:rPr>
                <w:sz w:val="15"/>
                <w:szCs w:val="15"/>
                <w:color w:val="auto"/>
              </w:rPr>
            </w:pP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Increase/(decrease) in interest payable on debt</w:t>
            </w: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2,920</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(873 )</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Increase/(decrease) in base management fee payable</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(272 )</w:t>
            </w: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Increase/(decrease) in performance-based incentive fee payable</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(575 )</w:t>
            </w: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Increase/(decrease) in deferred tax liability</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Increase/(decrease) in accrued other expenses</w:t>
            </w: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5,581</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(137 )</w:t>
            </w:r>
          </w:p>
        </w:tc>
      </w:tr>
      <w:tr>
        <w:trPr>
          <w:trHeight w:val="20"/>
        </w:trPr>
        <w:tc>
          <w:tcPr>
            <w:tcW w:w="68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68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0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(19,402 )</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7,908</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(129,598 )</w:t>
            </w:r>
          </w:p>
        </w:tc>
      </w:tr>
      <w:tr>
        <w:trPr>
          <w:trHeight w:val="169"/>
        </w:trPr>
        <w:tc>
          <w:tcPr>
            <w:tcW w:w="6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top w:val="single" w:sz="8" w:color="auto"/>
            </w:tcBorders>
            <w:shd w:val="clear" w:color="auto" w:fill="CCECFF"/>
          </w:tcPr>
          <w:p>
            <w:pPr>
              <w:spacing w:after="0"/>
              <w:rPr>
                <w:sz w:val="14"/>
                <w:szCs w:val="14"/>
                <w:color w:val="auto"/>
              </w:rPr>
            </w:pPr>
          </w:p>
        </w:tc>
        <w:tc>
          <w:tcPr>
            <w:tcW w:w="980" w:type="dxa"/>
            <w:vAlign w:val="bottom"/>
            <w:tcBorders>
              <w:top w:val="single" w:sz="8" w:color="auto"/>
            </w:tcBorders>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(13,249 )</w:t>
            </w:r>
          </w:p>
        </w:tc>
        <w:tc>
          <w:tcPr>
            <w:tcW w:w="2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(34,852 )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(32,182 )</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(44,250 )</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Borrowings under SBA debentures</w:t>
            </w:r>
          </w:p>
        </w:tc>
        <w:tc>
          <w:tcPr>
            <w:tcW w:w="30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Repayments of SBA debentures</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(43,500 )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(55,000 )</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(31,500 )</w:t>
            </w:r>
          </w:p>
        </w:tc>
      </w:tr>
      <w:tr>
        <w:trPr>
          <w:trHeight w:val="175"/>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proceeds from 2024 Notes issuance</w:t>
            </w:r>
          </w:p>
        </w:tc>
        <w:tc>
          <w:tcPr>
            <w:tcW w:w="30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10,913</w:t>
            </w:r>
          </w:p>
        </w:tc>
        <w:tc>
          <w:tcPr>
            <w:tcW w:w="100" w:type="dxa"/>
            <w:vAlign w:val="bottom"/>
          </w:tcPr>
          <w:p>
            <w:pPr>
              <w:spacing w:after="0"/>
              <w:rPr>
                <w:sz w:val="15"/>
                <w:szCs w:val="15"/>
                <w:color w:val="auto"/>
              </w:rPr>
            </w:pP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repayments of the 2024 Notes</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(86,250 )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Net proceeds from 2026 Notes issuance</w:t>
            </w:r>
          </w:p>
        </w:tc>
        <w:tc>
          <w:tcPr>
            <w:tcW w:w="30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145,465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Net proceeds from 2026-2 Notes issuance</w:t>
            </w:r>
          </w:p>
        </w:tc>
        <w:tc>
          <w:tcPr>
            <w:tcW w:w="30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160,519</w:t>
            </w:r>
          </w:p>
        </w:tc>
        <w:tc>
          <w:tcPr>
            <w:tcW w:w="26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Borrowings under BNP Credit Facility</w:t>
            </w:r>
          </w:p>
        </w:tc>
        <w:tc>
          <w:tcPr>
            <w:tcW w:w="30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00" w:type="dxa"/>
            <w:vAlign w:val="bottom"/>
          </w:tcPr>
          <w:p>
            <w:pPr>
              <w:spacing w:after="0"/>
              <w:rPr>
                <w:sz w:val="15"/>
                <w:szCs w:val="15"/>
                <w:color w:val="auto"/>
              </w:rPr>
            </w:pP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Repayments under BNP Credit Facility</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(16,000 )</w:t>
            </w:r>
          </w:p>
        </w:tc>
      </w:tr>
      <w:tr>
        <w:trPr>
          <w:trHeight w:val="175"/>
        </w:trPr>
        <w:tc>
          <w:tcPr>
            <w:tcW w:w="682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Borrowings under Truist Credit Facility</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860,841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310,312</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331,000</w:t>
            </w:r>
          </w:p>
        </w:tc>
        <w:tc>
          <w:tcPr>
            <w:tcW w:w="100" w:type="dxa"/>
            <w:vAlign w:val="bottom"/>
          </w:tcPr>
          <w:p>
            <w:pPr>
              <w:spacing w:after="0"/>
              <w:rPr>
                <w:sz w:val="15"/>
                <w:szCs w:val="15"/>
                <w:color w:val="auto"/>
              </w:rPr>
            </w:pPr>
          </w:p>
        </w:tc>
      </w:tr>
      <w:tr>
        <w:trPr>
          <w:trHeight w:val="175"/>
        </w:trPr>
        <w:tc>
          <w:tcPr>
            <w:tcW w:w="682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Repayments under Truist Credit Facility</w:t>
            </w:r>
          </w:p>
        </w:tc>
        <w:tc>
          <w:tcPr>
            <w:tcW w:w="300" w:type="dxa"/>
            <w:vAlign w:val="bottom"/>
            <w:shd w:val="clear" w:color="auto" w:fill="CCECFF"/>
          </w:tcPr>
          <w:p>
            <w:pPr>
              <w:spacing w:after="0"/>
              <w:rPr>
                <w:sz w:val="15"/>
                <w:szCs w:val="15"/>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(791,466 )</w:t>
            </w:r>
          </w:p>
        </w:tc>
        <w:tc>
          <w:tcPr>
            <w:tcW w:w="280" w:type="dxa"/>
            <w:vAlign w:val="bottom"/>
            <w:shd w:val="clear" w:color="auto" w:fill="CCECFF"/>
          </w:tcPr>
          <w:p>
            <w:pPr>
              <w:spacing w:after="0"/>
              <w:rPr>
                <w:sz w:val="15"/>
                <w:szCs w:val="15"/>
                <w:color w:val="auto"/>
              </w:rPr>
            </w:pPr>
          </w:p>
        </w:tc>
        <w:tc>
          <w:tcPr>
            <w:tcW w:w="120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(382,019 )</w:t>
            </w:r>
          </w:p>
        </w:tc>
        <w:tc>
          <w:tcPr>
            <w:tcW w:w="300" w:type="dxa"/>
            <w:vAlign w:val="bottom"/>
            <w:shd w:val="clear" w:color="auto" w:fill="CCECFF"/>
          </w:tcPr>
          <w:p>
            <w:pPr>
              <w:spacing w:after="0"/>
              <w:rPr>
                <w:sz w:val="15"/>
                <w:szCs w:val="15"/>
                <w:color w:val="auto"/>
              </w:rPr>
            </w:pPr>
          </w:p>
        </w:tc>
        <w:tc>
          <w:tcPr>
            <w:tcW w:w="11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(244,384 )</w:t>
            </w:r>
          </w:p>
        </w:tc>
      </w:tr>
      <w:tr>
        <w:trPr>
          <w:trHeight w:val="20"/>
        </w:trPr>
        <w:tc>
          <w:tcPr>
            <w:tcW w:w="682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169"/>
        </w:trPr>
        <w:tc>
          <w:tcPr>
            <w:tcW w:w="682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52,043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(13,424 )</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95,779</w:t>
            </w:r>
          </w:p>
        </w:tc>
        <w:tc>
          <w:tcPr>
            <w:tcW w:w="100" w:type="dxa"/>
            <w:vAlign w:val="bottom"/>
          </w:tcPr>
          <w:p>
            <w:pPr>
              <w:spacing w:after="0"/>
              <w:rPr>
                <w:sz w:val="14"/>
                <w:szCs w:val="14"/>
                <w:color w:val="auto"/>
              </w:rPr>
            </w:pPr>
          </w:p>
        </w:tc>
      </w:tr>
      <w:tr>
        <w:trPr>
          <w:trHeight w:val="169"/>
        </w:trPr>
        <w:tc>
          <w:tcPr>
            <w:tcW w:w="6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300" w:type="dxa"/>
            <w:vAlign w:val="bottom"/>
            <w:tcBorders>
              <w:top w:val="single" w:sz="8" w:color="auto"/>
            </w:tcBorders>
            <w:shd w:val="clear" w:color="auto" w:fill="CCECFF"/>
          </w:tcPr>
          <w:p>
            <w:pPr>
              <w:spacing w:after="0"/>
              <w:rPr>
                <w:sz w:val="14"/>
                <w:szCs w:val="14"/>
                <w:color w:val="auto"/>
              </w:rPr>
            </w:pP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32,641</w:t>
            </w:r>
          </w:p>
        </w:tc>
        <w:tc>
          <w:tcPr>
            <w:tcW w:w="26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9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(5,516</w:t>
            </w:r>
          </w:p>
        </w:tc>
        <w:tc>
          <w:tcPr>
            <w:tcW w:w="240" w:type="dxa"/>
            <w:vAlign w:val="bottom"/>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300" w:type="dxa"/>
            <w:vAlign w:val="bottom"/>
            <w:tcBorders>
              <w:top w:val="single" w:sz="8" w:color="auto"/>
            </w:tcBorders>
            <w:shd w:val="clear" w:color="auto" w:fill="CCECFF"/>
          </w:tcPr>
          <w:p>
            <w:pPr>
              <w:spacing w:after="0"/>
              <w:rPr>
                <w:sz w:val="14"/>
                <w:szCs w:val="14"/>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(33,819</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300" w:type="dxa"/>
            <w:vAlign w:val="bottom"/>
          </w:tcPr>
          <w:p>
            <w:pPr>
              <w:spacing w:after="0"/>
              <w:rPr>
                <w:sz w:val="15"/>
                <w:szCs w:val="15"/>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(332 )</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5"/>
                <w:szCs w:val="15"/>
                <w:color w:val="auto"/>
              </w:rPr>
            </w:pPr>
          </w:p>
        </w:tc>
      </w:tr>
      <w:tr>
        <w:trPr>
          <w:trHeight w:val="176"/>
        </w:trPr>
        <w:tc>
          <w:tcPr>
            <w:tcW w:w="6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30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6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25,806</w:t>
            </w:r>
          </w:p>
        </w:tc>
        <w:tc>
          <w:tcPr>
            <w:tcW w:w="240" w:type="dxa"/>
            <w:vAlign w:val="bottom"/>
            <w:tcBorders>
              <w:bottom w:val="single" w:sz="8" w:color="CCECFF"/>
            </w:tcBorders>
            <w:shd w:val="clear" w:color="auto" w:fill="CCECFF"/>
          </w:tcPr>
          <w:p>
            <w:pPr>
              <w:spacing w:after="0"/>
              <w:rPr>
                <w:sz w:val="15"/>
                <w:szCs w:val="15"/>
                <w:color w:val="auto"/>
              </w:rPr>
            </w:pPr>
          </w:p>
        </w:tc>
        <w:tc>
          <w:tcPr>
            <w:tcW w:w="30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59,516</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6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3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52,666</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20,357</w:t>
            </w:r>
          </w:p>
        </w:tc>
        <w:tc>
          <w:tcPr>
            <w:tcW w:w="24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25,806</w:t>
            </w:r>
          </w:p>
        </w:tc>
        <w:tc>
          <w:tcPr>
            <w:tcW w:w="100" w:type="dxa"/>
            <w:vAlign w:val="bottom"/>
          </w:tcPr>
          <w:p>
            <w:pPr>
              <w:spacing w:after="0"/>
              <w:rPr>
                <w:sz w:val="14"/>
                <w:szCs w:val="14"/>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8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30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76"/>
        </w:trPr>
        <w:tc>
          <w:tcPr>
            <w:tcW w:w="682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Interest paid</w:t>
            </w:r>
          </w:p>
        </w:tc>
        <w:tc>
          <w:tcPr>
            <w:tcW w:w="3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25,473</w:t>
            </w:r>
          </w:p>
        </w:tc>
        <w:tc>
          <w:tcPr>
            <w:tcW w:w="26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17,135</w:t>
            </w:r>
          </w:p>
        </w:tc>
        <w:tc>
          <w:tcPr>
            <w:tcW w:w="24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31,183</w:t>
            </w:r>
          </w:p>
        </w:tc>
        <w:tc>
          <w:tcPr>
            <w:tcW w:w="100" w:type="dxa"/>
            <w:vAlign w:val="bottom"/>
          </w:tcPr>
          <w:p>
            <w:pPr>
              <w:spacing w:after="0"/>
              <w:rPr>
                <w:sz w:val="15"/>
                <w:szCs w:val="15"/>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20" w:type="dxa"/>
            <w:vAlign w:val="bottom"/>
            <w:tcBorders>
              <w:bottom w:val="single" w:sz="8" w:color="CCECFF"/>
            </w:tcBorders>
            <w:shd w:val="clear" w:color="auto" w:fill="CCECFF"/>
          </w:tcPr>
          <w:p>
            <w:pPr>
              <w:ind w:left="200"/>
              <w:spacing w:after="0" w:line="155" w:lineRule="exact"/>
              <w:rPr>
                <w:sz w:val="20"/>
                <w:szCs w:val="20"/>
                <w:color w:val="auto"/>
              </w:rPr>
            </w:pPr>
            <w:r>
              <w:rPr>
                <w:rFonts w:ascii="Times New Roman" w:cs="Times New Roman" w:eastAsia="Times New Roman" w:hAnsi="Times New Roman"/>
                <w:sz w:val="14"/>
                <w:szCs w:val="14"/>
                <w:color w:val="auto"/>
              </w:rPr>
              <w:t>Taxes paid</w:t>
            </w:r>
          </w:p>
        </w:tc>
        <w:tc>
          <w:tcPr>
            <w:tcW w:w="30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5,455</w:t>
            </w:r>
          </w:p>
        </w:tc>
        <w:tc>
          <w:tcPr>
            <w:tcW w:w="2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984</w:t>
            </w:r>
          </w:p>
        </w:tc>
        <w:tc>
          <w:tcPr>
            <w:tcW w:w="24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1,049</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56"/>
        </w:trPr>
        <w:tc>
          <w:tcPr>
            <w:tcW w:w="6820" w:type="dxa"/>
            <w:vAlign w:val="bottom"/>
          </w:tcPr>
          <w:p>
            <w:pPr>
              <w:ind w:left="200"/>
              <w:spacing w:after="0" w:line="156" w:lineRule="exact"/>
              <w:rPr>
                <w:sz w:val="20"/>
                <w:szCs w:val="20"/>
                <w:color w:val="auto"/>
              </w:rPr>
            </w:pPr>
            <w:r>
              <w:rPr>
                <w:rFonts w:ascii="Times New Roman" w:cs="Times New Roman" w:eastAsia="Times New Roman" w:hAnsi="Times New Roman"/>
                <w:sz w:val="14"/>
                <w:szCs w:val="14"/>
                <w:color w:val="auto"/>
              </w:rPr>
              <w:t xml:space="preserve">Non-cash exchanges and conversions </w:t>
            </w:r>
            <w:r>
              <w:rPr>
                <w:rFonts w:ascii="Times New Roman" w:cs="Times New Roman" w:eastAsia="Times New Roman" w:hAnsi="Times New Roman"/>
                <w:sz w:val="18"/>
                <w:szCs w:val="18"/>
                <w:color w:val="auto"/>
                <w:vertAlign w:val="superscript"/>
              </w:rPr>
              <w:t>(1)</w:t>
            </w:r>
          </w:p>
        </w:tc>
        <w:tc>
          <w:tcPr>
            <w:tcW w:w="30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(99,833 )</w:t>
            </w:r>
          </w:p>
        </w:tc>
        <w:tc>
          <w:tcPr>
            <w:tcW w:w="28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16,516</w:t>
            </w:r>
          </w:p>
        </w:tc>
        <w:tc>
          <w:tcPr>
            <w:tcW w:w="240" w:type="dxa"/>
            <w:vAlign w:val="bottom"/>
          </w:tcPr>
          <w:p>
            <w:pPr>
              <w:spacing w:after="0"/>
              <w:rPr>
                <w:sz w:val="13"/>
                <w:szCs w:val="13"/>
                <w:color w:val="auto"/>
              </w:rPr>
            </w:pPr>
          </w:p>
        </w:tc>
        <w:tc>
          <w:tcPr>
            <w:tcW w:w="30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108,812</w:t>
            </w:r>
          </w:p>
        </w:tc>
        <w:tc>
          <w:tcPr>
            <w:tcW w:w="100" w:type="dxa"/>
            <w:vAlign w:val="bottom"/>
          </w:tcPr>
          <w:p>
            <w:pPr>
              <w:spacing w:after="0"/>
              <w:rPr>
                <w:sz w:val="13"/>
                <w:szCs w:val="13"/>
                <w:color w:val="auto"/>
              </w:rPr>
            </w:pPr>
          </w:p>
        </w:tc>
      </w:tr>
      <w:tr>
        <w:trPr>
          <w:trHeight w:val="20"/>
        </w:trPr>
        <w:tc>
          <w:tcPr>
            <w:tcW w:w="6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-2708275</wp:posOffset>
            </wp:positionV>
            <wp:extent cx="7747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-2708275</wp:posOffset>
            </wp:positionV>
            <wp:extent cx="6858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128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-1130935</wp:posOffset>
            </wp:positionV>
            <wp:extent cx="7747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-1130935</wp:posOffset>
            </wp:positionV>
            <wp:extent cx="6858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1289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-668020</wp:posOffset>
            </wp:positionV>
            <wp:extent cx="7747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-668020</wp:posOffset>
            </wp:positionV>
            <wp:extent cx="6858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-162560</wp:posOffset>
            </wp:positionV>
            <wp:extent cx="1997075"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9707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2" w:lineRule="exact"/>
        <w:rPr>
          <w:sz w:val="20"/>
          <w:szCs w:val="20"/>
          <w:color w:val="auto"/>
        </w:rPr>
      </w:pPr>
    </w:p>
    <w:p>
      <w:pPr>
        <w:jc w:val="both"/>
        <w:ind w:left="380" w:right="20" w:hanging="372"/>
        <w:spacing w:after="0" w:line="222" w:lineRule="auto"/>
        <w:tabs>
          <w:tab w:leader="none" w:pos="380" w:val="left"/>
        </w:tabs>
        <w:numPr>
          <w:ilvl w:val="0"/>
          <w:numId w:val="5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 addition to the “Non-cash exchanges and conversions” reported above, on July 31, 2020 we and Pantheon formed PSLF, an unconsolidated joint venture. Pursuant to the terms of the transaction, Pantheon invested $35.0 million to acquire a 28% stake in PSLF, of which $12.5 million was paid to the Company and is included in “Proceeds from dispositions of investments” on the Statement of Cash Flows. We contributed our formerly wholly-owned subsidiary, Funding I, to PSLF in exchange for a 72% stake in the joint venture which was valued at $96.2 million ($63.0 million of PSLF member notes and 72% of PSLF’s members’ equity). As a result of this non-cash transaction, Funding I was deconsolidated from PennantPark Investment’s financial statements, including Funding I’s portfolio of senior loans valued at $356.1 million as of July 31, 2020.</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5" w:name="page66"/>
    <w:bookmarkEnd w:id="65"/>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tbl>
      <w:tblPr>
        <w:tblLayout w:type="fixed"/>
        <w:tblInd w:w="0" w:type="dxa"/>
        <w:tblCellMar>
          <w:top w:w="0" w:type="dxa"/>
          <w:left w:w="0" w:type="dxa"/>
          <w:bottom w:w="0" w:type="dxa"/>
          <w:right w:w="0" w:type="dxa"/>
        </w:tblCellMar>
      </w:tblPr>
      <w:tr>
        <w:trPr>
          <w:trHeight w:val="114"/>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8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9"/>
                <w:szCs w:val="9"/>
                <w:color w:val="auto"/>
              </w:rPr>
            </w:pPr>
          </w:p>
        </w:tc>
        <w:tc>
          <w:tcPr>
            <w:tcW w:w="6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48"/>
        </w:trPr>
        <w:tc>
          <w:tcPr>
            <w:tcW w:w="3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2"/>
                <w:szCs w:val="12"/>
                <w:color w:val="auto"/>
              </w:rPr>
            </w:pPr>
          </w:p>
        </w:tc>
        <w:tc>
          <w:tcPr>
            <w:tcW w:w="68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500" w:type="dxa"/>
            <w:vAlign w:val="bottom"/>
            <w:tcBorders>
              <w:top w:val="single" w:sz="8" w:color="auto"/>
            </w:tcBorders>
            <w:shd w:val="clear" w:color="auto" w:fill="CCECFF"/>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Non-Controlled, Non-Affiliated Portfolio Companies—</w:t>
            </w:r>
          </w:p>
        </w:tc>
        <w:tc>
          <w:tcPr>
            <w:tcW w:w="140" w:type="dxa"/>
            <w:vAlign w:val="bottom"/>
            <w:shd w:val="clear" w:color="auto" w:fill="CCECFF"/>
          </w:tcPr>
          <w:p>
            <w:pPr>
              <w:spacing w:after="0"/>
              <w:rPr>
                <w:sz w:val="7"/>
                <w:szCs w:val="7"/>
                <w:color w:val="auto"/>
              </w:rPr>
            </w:pPr>
          </w:p>
        </w:tc>
        <w:tc>
          <w:tcPr>
            <w:tcW w:w="780" w:type="dxa"/>
            <w:vAlign w:val="bottom"/>
            <w:tcBorders>
              <w:top w:val="single" w:sz="8" w:color="auto"/>
            </w:tcBorders>
            <w:shd w:val="clear" w:color="auto" w:fill="CCECFF"/>
          </w:tcPr>
          <w:p>
            <w:pPr>
              <w:spacing w:after="0"/>
              <w:rPr>
                <w:sz w:val="7"/>
                <w:szCs w:val="7"/>
                <w:color w:val="auto"/>
              </w:rPr>
            </w:pPr>
          </w:p>
        </w:tc>
        <w:tc>
          <w:tcPr>
            <w:tcW w:w="140" w:type="dxa"/>
            <w:vAlign w:val="bottom"/>
            <w:shd w:val="clear" w:color="auto" w:fill="CCECFF"/>
          </w:tcPr>
          <w:p>
            <w:pPr>
              <w:spacing w:after="0"/>
              <w:rPr>
                <w:sz w:val="7"/>
                <w:szCs w:val="7"/>
                <w:color w:val="auto"/>
              </w:rPr>
            </w:pPr>
          </w:p>
        </w:tc>
        <w:tc>
          <w:tcPr>
            <w:tcW w:w="1820" w:type="dxa"/>
            <w:vAlign w:val="bottom"/>
            <w:tcBorders>
              <w:top w:val="single" w:sz="8" w:color="auto"/>
            </w:tcBorders>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700" w:type="dxa"/>
            <w:vAlign w:val="bottom"/>
            <w:tcBorders>
              <w:top w:val="single" w:sz="8" w:color="auto"/>
            </w:tcBorders>
            <w:shd w:val="clear" w:color="auto" w:fill="CCECFF"/>
          </w:tcPr>
          <w:p>
            <w:pPr>
              <w:spacing w:after="0"/>
              <w:rPr>
                <w:sz w:val="7"/>
                <w:szCs w:val="7"/>
                <w:color w:val="auto"/>
              </w:rPr>
            </w:pPr>
          </w:p>
        </w:tc>
        <w:tc>
          <w:tcPr>
            <w:tcW w:w="240" w:type="dxa"/>
            <w:vAlign w:val="bottom"/>
            <w:shd w:val="clear" w:color="auto" w:fill="CCECFF"/>
          </w:tcPr>
          <w:p>
            <w:pPr>
              <w:spacing w:after="0"/>
              <w:rPr>
                <w:sz w:val="7"/>
                <w:szCs w:val="7"/>
                <w:color w:val="auto"/>
              </w:rPr>
            </w:pPr>
          </w:p>
        </w:tc>
        <w:tc>
          <w:tcPr>
            <w:tcW w:w="88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68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60" w:type="dxa"/>
            <w:vAlign w:val="bottom"/>
            <w:tcBorders>
              <w:top w:val="single" w:sz="8" w:color="auto"/>
            </w:tcBorders>
            <w:shd w:val="clear" w:color="auto" w:fill="CCECFF"/>
          </w:tcPr>
          <w:p>
            <w:pPr>
              <w:spacing w:after="0"/>
              <w:rPr>
                <w:sz w:val="7"/>
                <w:szCs w:val="7"/>
                <w:color w:val="auto"/>
              </w:rPr>
            </w:pPr>
          </w:p>
        </w:tc>
        <w:tc>
          <w:tcPr>
            <w:tcW w:w="56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60" w:type="dxa"/>
            <w:vAlign w:val="bottom"/>
            <w:tcBorders>
              <w:top w:val="single" w:sz="8" w:color="auto"/>
            </w:tcBorders>
            <w:shd w:val="clear" w:color="auto" w:fill="CCECFF"/>
          </w:tcPr>
          <w:p>
            <w:pPr>
              <w:spacing w:after="0"/>
              <w:rPr>
                <w:sz w:val="7"/>
                <w:szCs w:val="7"/>
                <w:color w:val="auto"/>
              </w:rPr>
            </w:pPr>
          </w:p>
        </w:tc>
        <w:tc>
          <w:tcPr>
            <w:tcW w:w="700" w:type="dxa"/>
            <w:vAlign w:val="bottom"/>
            <w:tcBorders>
              <w:top w:val="single" w:sz="8" w:color="auto"/>
            </w:tcBorders>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159.2% of Net Assets </w:t>
            </w:r>
            <w:r>
              <w:rPr>
                <w:rFonts w:ascii="Times New Roman" w:cs="Times New Roman" w:eastAsia="Times New Roman" w:hAnsi="Times New Roman"/>
                <w:sz w:val="14"/>
                <w:szCs w:val="14"/>
                <w:b w:val="1"/>
                <w:bCs w:val="1"/>
                <w:color w:val="auto"/>
                <w:vertAlign w:val="superscript"/>
              </w:rPr>
              <w:t>(1), (2)</w:t>
            </w:r>
          </w:p>
        </w:tc>
        <w:tc>
          <w:tcPr>
            <w:tcW w:w="14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8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7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Debt—100.5% of Net Assets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05/06/2026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38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11.67 %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07/24/2025</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12/21/2023</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7.79 %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3,329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3,310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Anteriad, LLC (f/k/a MeritDirect,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05/23/2024</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8.15 %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82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vMerge w:val="continue"/>
            <w:shd w:val="clear" w:color="auto" w:fill="CCECFF"/>
          </w:tcPr>
          <w:p>
            <w:pPr>
              <w:spacing w:after="0"/>
              <w:rPr>
                <w:sz w:val="12"/>
                <w:szCs w:val="12"/>
                <w:color w:val="auto"/>
              </w:rPr>
            </w:pP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07/21/2027</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7.60 %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0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82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9.08 %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1,893</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1,873</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6.72 %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82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vMerge w:val="continue"/>
            <w:shd w:val="clear" w:color="auto" w:fill="CCECFF"/>
          </w:tcPr>
          <w:p>
            <w:pPr>
              <w:spacing w:after="0"/>
              <w:rPr>
                <w:sz w:val="12"/>
                <w:szCs w:val="12"/>
                <w:color w:val="auto"/>
              </w:rPr>
            </w:pP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07/31/2025</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7.59 %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04/21/2023</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P+475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12/29/2026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Arcfield Acquisition Corp.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03/07/2028</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2,263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Berwick Industrial Park</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04/28/2023</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11.00 %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3,953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07/01/2029</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7.56 %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8.69 %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Blackhawk Industrial Distribution, Inc.</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4,043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(51 )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 (Revolver)</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8.69 %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Blackhawk Industrial Distribution,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09/17/2024</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(77 )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12/02/2022</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7.39 %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05/13/2028</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39,401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38,644</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 - (Revolver)</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05/13/2028</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9.55 %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Cartessa Aesthetics, LLC -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05/13/2028</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9.30 %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6,720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6,630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08/20/2026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02/09/2026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7.48 %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Compex Legal Services, Inc.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02/07/2025</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8.92 %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02/07/2025</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01/13/2023</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07/13/2027</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(46 )</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Crane 1 Services, Inc.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8.40 %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2,606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0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82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Services, Inc. (Revolver)</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8"/>
              </w:rPr>
              <w:t>Personal, Food and Miscellaneous</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vMerge w:val="continue"/>
          </w:tcPr>
          <w:p>
            <w:pPr>
              <w:spacing w:after="0"/>
              <w:rPr>
                <w:sz w:val="12"/>
                <w:szCs w:val="12"/>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08/16/2027</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06/30/2023</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10.67 %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8,755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Personal and Non-Durable Consumer</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08/31/2027</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9.17 %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12,742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Dr. Squatch, LLC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82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7"/>
              </w:rPr>
              <w:t>Personal and Non-Durable Consumer</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vMerge w:val="continue"/>
            <w:shd w:val="clear" w:color="auto" w:fill="CCECFF"/>
          </w:tcPr>
          <w:p>
            <w:pPr>
              <w:spacing w:after="0"/>
              <w:rPr>
                <w:sz w:val="12"/>
                <w:szCs w:val="12"/>
                <w:color w:val="auto"/>
              </w:rPr>
            </w:pP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08/27/2026</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Personal and Non-Durable Consumer</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 Squatch, LLC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08/31/2027</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8.95 %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500" w:type="dxa"/>
            <w:vAlign w:val="bottom"/>
            <w:vMerge w:val="restart"/>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9"/>
                <w:szCs w:val="9"/>
                <w:color w:val="auto"/>
              </w:rPr>
            </w:pPr>
          </w:p>
        </w:tc>
        <w:tc>
          <w:tcPr>
            <w:tcW w:w="78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82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7"/>
              </w:rPr>
              <w:t>Personal and Non-Durable Consumer</w:t>
            </w:r>
          </w:p>
        </w:tc>
        <w:tc>
          <w:tcPr>
            <w:tcW w:w="12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8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60" w:type="dxa"/>
            <w:vAlign w:val="bottom"/>
            <w:shd w:val="clear" w:color="auto" w:fill="CCECFF"/>
          </w:tcPr>
          <w:p>
            <w:pPr>
              <w:spacing w:after="0"/>
              <w:rPr>
                <w:sz w:val="9"/>
                <w:szCs w:val="9"/>
                <w:color w:val="auto"/>
              </w:rPr>
            </w:pPr>
          </w:p>
        </w:tc>
        <w:tc>
          <w:tcPr>
            <w:tcW w:w="7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vMerge w:val="continue"/>
            <w:shd w:val="clear" w:color="auto" w:fill="CCECFF"/>
          </w:tcPr>
          <w:p>
            <w:pPr>
              <w:spacing w:after="0"/>
              <w:rPr>
                <w:sz w:val="12"/>
                <w:szCs w:val="12"/>
                <w:color w:val="auto"/>
              </w:rPr>
            </w:pP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08/31/2027</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Products</w:t>
            </w: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1,551</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11/03/2025</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05/01/2028</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10.62 %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19,156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19,019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12/23/2025</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7.93 %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12/23/2025</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03/15/2027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24,532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Intermediate II,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03/15/2024</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(111 )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Exigo Intermediate II, LLC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03/15/2027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Exigo Intermediate II,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03/15/2027</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06/17/2028</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7.00 %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Gantech Acquisition Corp.</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9.37 %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16,809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16,548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16,305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Gantech Acquisition Corp.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9.37 %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1,858</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08/10/2023</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Graffiti Buyer, Inc. (Revolver)</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08/10/2027</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9.16 %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08/10/2027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12/31/2022</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12/31/2026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7.82 %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12/31/2026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11/23/2028</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10.17 %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Holdco Sands Intermediate, LLC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11/23/2027</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3,941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(79 )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12/17/2026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HV Watterson Holdings,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12/17/2026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2,219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(61 )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HV Watterson Holdings, LLC - (Revolver)</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12/17/2026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9.63 %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HV Watterson Holdings, LLC - (Revolver)</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12/17/2026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6.00 %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10,188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10,077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3,049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12/10/2024</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3,387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05/11/2028</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7.55 %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12/30/2026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10.70 %</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3,576</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IDC Infusion Services, Inc. (Revolver)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12/30/2026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(187 )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09/22/2027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w:t>
            </w:r>
            <w:r>
              <w:rPr>
                <w:rFonts w:ascii="Times New Roman" w:cs="Times New Roman" w:eastAsia="Times New Roman" w:hAnsi="Times New Roman"/>
                <w:sz w:val="14"/>
                <w:szCs w:val="14"/>
                <w:color w:val="auto"/>
                <w:vertAlign w:val="superscript"/>
              </w:rPr>
              <w:t>(7)</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11/15/2027</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Imagine Acquisitionco,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11/15/2027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(42 )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12/07/2023</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10.18 %</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L+715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20,506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20,239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6" w:name="page67"/>
    <w:bookmarkEnd w:id="66"/>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00" w:type="dxa"/>
            <w:vAlign w:val="bottom"/>
          </w:tcPr>
          <w:p>
            <w:pPr>
              <w:spacing w:after="0"/>
              <w:rPr>
                <w:sz w:val="11"/>
                <w:szCs w:val="11"/>
                <w:color w:val="auto"/>
              </w:rPr>
            </w:pPr>
          </w:p>
        </w:tc>
        <w:tc>
          <w:tcPr>
            <w:tcW w:w="70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3"/>
              </w:rPr>
              <w:t xml:space="preserve">Fair Value </w:t>
            </w:r>
            <w:r>
              <w:rPr>
                <w:rFonts w:ascii="Times New Roman" w:cs="Times New Roman" w:eastAsia="Times New Roman" w:hAnsi="Times New Roman"/>
                <w:sz w:val="14"/>
                <w:szCs w:val="14"/>
                <w:b w:val="1"/>
                <w:bCs w:val="1"/>
                <w:color w:val="auto"/>
                <w:w w:val="93"/>
                <w:vertAlign w:val="superscript"/>
              </w:rPr>
              <w:t>(3)</w:t>
            </w:r>
          </w:p>
        </w:tc>
        <w:tc>
          <w:tcPr>
            <w:tcW w:w="0" w:type="dxa"/>
            <w:vAlign w:val="bottom"/>
          </w:tcPr>
          <w:p>
            <w:pPr>
              <w:spacing w:after="0"/>
              <w:rPr>
                <w:sz w:val="1"/>
                <w:szCs w:val="1"/>
                <w:color w:val="auto"/>
              </w:rPr>
            </w:pPr>
          </w:p>
        </w:tc>
      </w:tr>
      <w:tr>
        <w:trPr>
          <w:trHeight w:val="156"/>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00" w:type="dxa"/>
            <w:vAlign w:val="bottom"/>
          </w:tcPr>
          <w:p>
            <w:pPr>
              <w:spacing w:after="0"/>
              <w:rPr>
                <w:sz w:val="13"/>
                <w:szCs w:val="13"/>
                <w:color w:val="auto"/>
              </w:rPr>
            </w:pPr>
          </w:p>
        </w:tc>
        <w:tc>
          <w:tcPr>
            <w:tcW w:w="70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50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color w:val="auto"/>
              </w:rPr>
              <w:t xml:space="preserve">Infolinks Media Buyco, LLC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0"/>
                <w:szCs w:val="10"/>
                <w:color w:val="auto"/>
              </w:rPr>
            </w:pPr>
          </w:p>
        </w:tc>
        <w:tc>
          <w:tcPr>
            <w:tcW w:w="800" w:type="dxa"/>
            <w:vAlign w:val="bottom"/>
            <w:tcBorders>
              <w:top w:val="single" w:sz="8" w:color="auto"/>
            </w:tcBorders>
          </w:tcPr>
          <w:p>
            <w:pPr>
              <w:ind w:left="160"/>
              <w:spacing w:after="0" w:line="122" w:lineRule="exact"/>
              <w:rPr>
                <w:sz w:val="20"/>
                <w:szCs w:val="20"/>
                <w:color w:val="auto"/>
              </w:rPr>
            </w:pPr>
            <w:r>
              <w:rPr>
                <w:rFonts w:ascii="Times New Roman" w:cs="Times New Roman" w:eastAsia="Times New Roman" w:hAnsi="Times New Roman"/>
                <w:sz w:val="11"/>
                <w:szCs w:val="11"/>
                <w:color w:val="auto"/>
              </w:rPr>
              <w:t>11/01/2023</w:t>
            </w:r>
          </w:p>
        </w:tc>
        <w:tc>
          <w:tcPr>
            <w:tcW w:w="140" w:type="dxa"/>
            <w:vAlign w:val="bottom"/>
          </w:tcPr>
          <w:p>
            <w:pPr>
              <w:spacing w:after="0"/>
              <w:rPr>
                <w:sz w:val="10"/>
                <w:szCs w:val="10"/>
                <w:color w:val="auto"/>
              </w:rPr>
            </w:pPr>
          </w:p>
        </w:tc>
        <w:tc>
          <w:tcPr>
            <w:tcW w:w="182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0"/>
                <w:szCs w:val="10"/>
                <w:color w:val="auto"/>
              </w:rPr>
            </w:pPr>
          </w:p>
        </w:tc>
        <w:tc>
          <w:tcPr>
            <w:tcW w:w="7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7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2,372</w:t>
            </w:r>
          </w:p>
        </w:tc>
        <w:tc>
          <w:tcPr>
            <w:tcW w:w="220" w:type="dxa"/>
            <w:vAlign w:val="bottom"/>
          </w:tcPr>
          <w:p>
            <w:pPr>
              <w:spacing w:after="0"/>
              <w:rPr>
                <w:sz w:val="10"/>
                <w:szCs w:val="10"/>
                <w:color w:val="auto"/>
              </w:rPr>
            </w:pPr>
          </w:p>
        </w:tc>
        <w:tc>
          <w:tcPr>
            <w:tcW w:w="160" w:type="dxa"/>
            <w:vAlign w:val="bottom"/>
            <w:tcBorders>
              <w:top w:val="single" w:sz="8" w:color="auto"/>
            </w:tcBorders>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08/27/2025</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7.83 %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ITI Holdings, Inc.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03/03/2028</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8.67 %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8,927</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8,784</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5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ITI Holdings, Inc. (Revolver)</w:t>
            </w:r>
          </w:p>
        </w:tc>
        <w:tc>
          <w:tcPr>
            <w:tcW w:w="920" w:type="dxa"/>
            <w:vAlign w:val="bottom"/>
            <w:gridSpan w:val="2"/>
          </w:tcPr>
          <w:p>
            <w:pPr>
              <w:ind w:left="280"/>
              <w:spacing w:after="0" w:line="103" w:lineRule="exact"/>
              <w:rPr>
                <w:sz w:val="20"/>
                <w:szCs w:val="20"/>
                <w:color w:val="auto"/>
              </w:rPr>
            </w:pPr>
            <w:r>
              <w:rPr>
                <w:rFonts w:ascii="Times New Roman" w:cs="Times New Roman" w:eastAsia="Times New Roman" w:hAnsi="Times New Roman"/>
                <w:sz w:val="11"/>
                <w:szCs w:val="11"/>
                <w:color w:val="auto"/>
              </w:rPr>
              <w:t>03/03/2028</w:t>
            </w:r>
          </w:p>
        </w:tc>
        <w:tc>
          <w:tcPr>
            <w:tcW w:w="140" w:type="dxa"/>
            <w:vAlign w:val="bottom"/>
          </w:tcPr>
          <w:p>
            <w:pPr>
              <w:spacing w:after="0"/>
              <w:rPr>
                <w:sz w:val="8"/>
                <w:szCs w:val="8"/>
                <w:color w:val="auto"/>
              </w:rPr>
            </w:pPr>
          </w:p>
        </w:tc>
        <w:tc>
          <w:tcPr>
            <w:tcW w:w="18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8.25 %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298</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298</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292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ITI Holdings,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03/03/2028</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K2 Pure Solutions NoCal, L.P.</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12/20/2023</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11.12 %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L+800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11,678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11,629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11,678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12/20/2023</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11/10/2027</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24,341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23,807</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23,855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 (Revolver)</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11/10/2026</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4,854</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Lash OpCo, LLC</w:t>
            </w:r>
          </w:p>
        </w:tc>
        <w:tc>
          <w:tcPr>
            <w:tcW w:w="920" w:type="dxa"/>
            <w:vAlign w:val="bottom"/>
            <w:gridSpan w:val="2"/>
          </w:tcPr>
          <w:p>
            <w:pPr>
              <w:ind w:left="280"/>
              <w:spacing w:after="0" w:line="122" w:lineRule="exact"/>
              <w:rPr>
                <w:sz w:val="20"/>
                <w:szCs w:val="20"/>
                <w:color w:val="auto"/>
              </w:rPr>
            </w:pPr>
            <w:r>
              <w:rPr>
                <w:rFonts w:ascii="Times New Roman" w:cs="Times New Roman" w:eastAsia="Times New Roman" w:hAnsi="Times New Roman"/>
                <w:sz w:val="11"/>
                <w:szCs w:val="11"/>
                <w:color w:val="auto"/>
              </w:rPr>
              <w:t>02/18/2027</w:t>
            </w:r>
          </w:p>
        </w:tc>
        <w:tc>
          <w:tcPr>
            <w:tcW w:w="140" w:type="dxa"/>
            <w:vAlign w:val="bottom"/>
          </w:tcPr>
          <w:p>
            <w:pPr>
              <w:spacing w:after="0"/>
              <w:rPr>
                <w:sz w:val="10"/>
                <w:szCs w:val="10"/>
                <w:color w:val="auto"/>
              </w:rPr>
            </w:pPr>
          </w:p>
        </w:tc>
        <w:tc>
          <w:tcPr>
            <w:tcW w:w="1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11.78 %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2,828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2,774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Lash OpCo, LLC (Revolver)</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08/16/2026</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9.38 %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568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568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08/16/2026</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95"/>
        </w:trPr>
        <w:tc>
          <w:tcPr>
            <w:tcW w:w="3500" w:type="dxa"/>
            <w:vAlign w:val="bottom"/>
            <w:shd w:val="clear" w:color="auto" w:fill="CCECFF"/>
          </w:tcPr>
          <w:p>
            <w:pPr>
              <w:spacing w:after="0"/>
              <w:rPr>
                <w:sz w:val="8"/>
                <w:szCs w:val="8"/>
                <w:color w:val="auto"/>
              </w:rPr>
            </w:pPr>
          </w:p>
        </w:tc>
        <w:tc>
          <w:tcPr>
            <w:tcW w:w="120" w:type="dxa"/>
            <w:vAlign w:val="bottom"/>
            <w:shd w:val="clear" w:color="auto" w:fill="CCECFF"/>
          </w:tcPr>
          <w:p>
            <w:pPr>
              <w:spacing w:after="0"/>
              <w:rPr>
                <w:sz w:val="8"/>
                <w:szCs w:val="8"/>
                <w:color w:val="auto"/>
              </w:rPr>
            </w:pPr>
          </w:p>
        </w:tc>
        <w:tc>
          <w:tcPr>
            <w:tcW w:w="800" w:type="dxa"/>
            <w:vAlign w:val="bottom"/>
            <w:shd w:val="clear" w:color="auto" w:fill="CCECFF"/>
          </w:tcPr>
          <w:p>
            <w:pPr>
              <w:spacing w:after="0"/>
              <w:rPr>
                <w:sz w:val="8"/>
                <w:szCs w:val="8"/>
                <w:color w:val="auto"/>
              </w:rPr>
            </w:pPr>
          </w:p>
        </w:tc>
        <w:tc>
          <w:tcPr>
            <w:tcW w:w="140" w:type="dxa"/>
            <w:vAlign w:val="bottom"/>
            <w:shd w:val="clear" w:color="auto" w:fill="CCECFF"/>
          </w:tcPr>
          <w:p>
            <w:pPr>
              <w:spacing w:after="0"/>
              <w:rPr>
                <w:sz w:val="8"/>
                <w:szCs w:val="8"/>
                <w:color w:val="auto"/>
              </w:rPr>
            </w:pPr>
          </w:p>
        </w:tc>
        <w:tc>
          <w:tcPr>
            <w:tcW w:w="1820" w:type="dxa"/>
            <w:vAlign w:val="bottom"/>
            <w:shd w:val="clear" w:color="auto" w:fill="CCECFF"/>
          </w:tcPr>
          <w:p>
            <w:pPr>
              <w:jc w:val="center"/>
              <w:spacing w:after="0" w:line="95" w:lineRule="exact"/>
              <w:rPr>
                <w:sz w:val="20"/>
                <w:szCs w:val="20"/>
                <w:color w:val="auto"/>
              </w:rPr>
            </w:pPr>
            <w:r>
              <w:rPr>
                <w:rFonts w:ascii="Times New Roman" w:cs="Times New Roman" w:eastAsia="Times New Roman" w:hAnsi="Times New Roman"/>
                <w:sz w:val="10"/>
                <w:szCs w:val="10"/>
                <w:color w:val="auto"/>
              </w:rPr>
              <w:t>Leisure, Amusement, Motion Pictures,</w:t>
            </w:r>
          </w:p>
        </w:tc>
        <w:tc>
          <w:tcPr>
            <w:tcW w:w="120" w:type="dxa"/>
            <w:vAlign w:val="bottom"/>
            <w:shd w:val="clear" w:color="auto" w:fill="CCECFF"/>
          </w:tcPr>
          <w:p>
            <w:pPr>
              <w:spacing w:after="0"/>
              <w:rPr>
                <w:sz w:val="8"/>
                <w:szCs w:val="8"/>
                <w:color w:val="auto"/>
              </w:rPr>
            </w:pPr>
          </w:p>
        </w:tc>
        <w:tc>
          <w:tcPr>
            <w:tcW w:w="720" w:type="dxa"/>
            <w:vAlign w:val="bottom"/>
            <w:shd w:val="clear" w:color="auto" w:fill="CCECFF"/>
          </w:tcPr>
          <w:p>
            <w:pPr>
              <w:spacing w:after="0"/>
              <w:rPr>
                <w:sz w:val="8"/>
                <w:szCs w:val="8"/>
                <w:color w:val="auto"/>
              </w:rPr>
            </w:pPr>
          </w:p>
        </w:tc>
        <w:tc>
          <w:tcPr>
            <w:tcW w:w="240" w:type="dxa"/>
            <w:vAlign w:val="bottom"/>
            <w:shd w:val="clear" w:color="auto" w:fill="CCECFF"/>
          </w:tcPr>
          <w:p>
            <w:pPr>
              <w:spacing w:after="0"/>
              <w:rPr>
                <w:sz w:val="8"/>
                <w:szCs w:val="8"/>
                <w:color w:val="auto"/>
              </w:rPr>
            </w:pPr>
          </w:p>
        </w:tc>
        <w:tc>
          <w:tcPr>
            <w:tcW w:w="860" w:type="dxa"/>
            <w:vAlign w:val="bottom"/>
            <w:shd w:val="clear" w:color="auto" w:fill="CCECFF"/>
          </w:tcPr>
          <w:p>
            <w:pPr>
              <w:spacing w:after="0"/>
              <w:rPr>
                <w:sz w:val="8"/>
                <w:szCs w:val="8"/>
                <w:color w:val="auto"/>
              </w:rPr>
            </w:pPr>
          </w:p>
        </w:tc>
        <w:tc>
          <w:tcPr>
            <w:tcW w:w="20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160" w:type="dxa"/>
            <w:vAlign w:val="bottom"/>
            <w:shd w:val="clear" w:color="auto" w:fill="CCECFF"/>
          </w:tcPr>
          <w:p>
            <w:pPr>
              <w:spacing w:after="0"/>
              <w:rPr>
                <w:sz w:val="8"/>
                <w:szCs w:val="8"/>
                <w:color w:val="auto"/>
              </w:rPr>
            </w:pPr>
          </w:p>
        </w:tc>
        <w:tc>
          <w:tcPr>
            <w:tcW w:w="560" w:type="dxa"/>
            <w:vAlign w:val="bottom"/>
            <w:shd w:val="clear" w:color="auto" w:fill="CCECFF"/>
          </w:tcPr>
          <w:p>
            <w:pPr>
              <w:spacing w:after="0"/>
              <w:rPr>
                <w:sz w:val="8"/>
                <w:szCs w:val="8"/>
                <w:color w:val="auto"/>
              </w:rPr>
            </w:pPr>
          </w:p>
        </w:tc>
        <w:tc>
          <w:tcPr>
            <w:tcW w:w="220" w:type="dxa"/>
            <w:vAlign w:val="bottom"/>
            <w:shd w:val="clear" w:color="auto" w:fill="CCECFF"/>
          </w:tcPr>
          <w:p>
            <w:pPr>
              <w:spacing w:after="0"/>
              <w:rPr>
                <w:sz w:val="8"/>
                <w:szCs w:val="8"/>
                <w:color w:val="auto"/>
              </w:rPr>
            </w:pPr>
          </w:p>
        </w:tc>
        <w:tc>
          <w:tcPr>
            <w:tcW w:w="60" w:type="dxa"/>
            <w:vAlign w:val="bottom"/>
            <w:shd w:val="clear" w:color="auto" w:fill="CCECFF"/>
          </w:tcPr>
          <w:p>
            <w:pPr>
              <w:spacing w:after="0"/>
              <w:rPr>
                <w:sz w:val="8"/>
                <w:szCs w:val="8"/>
                <w:color w:val="auto"/>
              </w:rPr>
            </w:pPr>
          </w:p>
        </w:tc>
        <w:tc>
          <w:tcPr>
            <w:tcW w:w="700" w:type="dxa"/>
            <w:vAlign w:val="bottom"/>
            <w:shd w:val="clear" w:color="auto" w:fill="CCECFF"/>
          </w:tcPr>
          <w:p>
            <w:pPr>
              <w:spacing w:after="0"/>
              <w:rPr>
                <w:sz w:val="8"/>
                <w:szCs w:val="8"/>
                <w:color w:val="auto"/>
              </w:rPr>
            </w:pPr>
          </w:p>
        </w:tc>
        <w:tc>
          <w:tcPr>
            <w:tcW w:w="100" w:type="dxa"/>
            <w:vAlign w:val="bottom"/>
            <w:shd w:val="clear" w:color="auto" w:fill="CCECFF"/>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10/31/2024</w:t>
            </w:r>
          </w:p>
        </w:tc>
        <w:tc>
          <w:tcPr>
            <w:tcW w:w="140" w:type="dxa"/>
            <w:vAlign w:val="bottom"/>
            <w:shd w:val="clear" w:color="auto" w:fill="CCECFF"/>
          </w:tcPr>
          <w:p>
            <w:pPr>
              <w:spacing w:after="0"/>
              <w:rPr>
                <w:sz w:val="14"/>
                <w:szCs w:val="14"/>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Entertainment</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9.95 %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2,061</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2,036</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(PIK 5.50%)</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Ledge Lounger, Inc.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11/09/2026</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9.92 %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9,177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9,021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9,040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Ledge Lounger,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11/09/2026</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(29 )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02/03/2026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5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Lightspeed Buyer Inc. (Revolver)</w:t>
            </w:r>
          </w:p>
        </w:tc>
        <w:tc>
          <w:tcPr>
            <w:tcW w:w="920" w:type="dxa"/>
            <w:vAlign w:val="bottom"/>
            <w:gridSpan w:val="2"/>
          </w:tcPr>
          <w:p>
            <w:pPr>
              <w:ind w:left="280"/>
              <w:spacing w:after="0" w:line="103" w:lineRule="exact"/>
              <w:rPr>
                <w:sz w:val="20"/>
                <w:szCs w:val="20"/>
                <w:color w:val="auto"/>
              </w:rPr>
            </w:pPr>
            <w:r>
              <w:rPr>
                <w:rFonts w:ascii="Times New Roman" w:cs="Times New Roman" w:eastAsia="Times New Roman" w:hAnsi="Times New Roman"/>
                <w:sz w:val="11"/>
                <w:szCs w:val="11"/>
                <w:color w:val="auto"/>
              </w:rPr>
              <w:t>02/03/2026</w:t>
            </w:r>
          </w:p>
        </w:tc>
        <w:tc>
          <w:tcPr>
            <w:tcW w:w="140" w:type="dxa"/>
            <w:vAlign w:val="bottom"/>
          </w:tcPr>
          <w:p>
            <w:pPr>
              <w:spacing w:after="0"/>
              <w:rPr>
                <w:sz w:val="8"/>
                <w:szCs w:val="8"/>
                <w:color w:val="auto"/>
              </w:rPr>
            </w:pPr>
          </w:p>
        </w:tc>
        <w:tc>
          <w:tcPr>
            <w:tcW w:w="18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8.87 %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505</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505</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489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02/03/2026</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Limerick Town Cener,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09/27/2023</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Real Estate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12.50 %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LSF9 Atlantis Holdings, LLC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03/31/2029</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Retail</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9.37 %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SOFR+725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5,772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5,685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Mars Acquisition Holdings Corp. (Revolver)</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05/14/2026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04/16/2027</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MDI Buyer, Inc.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07/25/2028</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8.98 %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14,400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14,117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14,112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MDI Buyer, Inc. Term Loan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07/25/2028</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5,196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(52 )</w:t>
            </w: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MDI Buyer,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07/25/2028</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Meadowlark Acquirer, LLC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12/10/2027</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9.17 %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1,320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1,307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Term Loan I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12/10/2027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Meadowlark Acquirer, LLC Term Loan II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12/10/2027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Meadowlark Acquirer,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12/10/2027</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1,685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09/28/2027</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8.67 %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703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697</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09/28/2027</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1,175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(56 )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Municipal Emergency Services, Inc. (Revolver)</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09/28/2027</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282</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282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09/28/2027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1,598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(93 )</w:t>
            </w: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08/19/2026</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Neptune Flood Incorporated</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10/14/2026</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Financial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7.10 %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4,379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4,352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07/09/2026</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05/07/2027</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6,889</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ORL Acquisition, Inc.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09/03/2027</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8.92 %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4,454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4,378</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09/03/2027</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05/18/2026</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9.81 %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15,189</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15,083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5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Ox Two, LLC (Revolver)</w:t>
            </w:r>
          </w:p>
        </w:tc>
        <w:tc>
          <w:tcPr>
            <w:tcW w:w="920" w:type="dxa"/>
            <w:vAlign w:val="bottom"/>
            <w:gridSpan w:val="2"/>
          </w:tcPr>
          <w:p>
            <w:pPr>
              <w:ind w:left="280"/>
              <w:spacing w:after="0" w:line="103" w:lineRule="exact"/>
              <w:rPr>
                <w:sz w:val="20"/>
                <w:szCs w:val="20"/>
                <w:color w:val="auto"/>
              </w:rPr>
            </w:pPr>
            <w:r>
              <w:rPr>
                <w:rFonts w:ascii="Times New Roman" w:cs="Times New Roman" w:eastAsia="Times New Roman" w:hAnsi="Times New Roman"/>
                <w:sz w:val="11"/>
                <w:szCs w:val="11"/>
                <w:color w:val="auto"/>
              </w:rPr>
              <w:t>05/18/2026</w:t>
            </w:r>
          </w:p>
        </w:tc>
        <w:tc>
          <w:tcPr>
            <w:tcW w:w="140" w:type="dxa"/>
            <w:vAlign w:val="bottom"/>
          </w:tcPr>
          <w:p>
            <w:pPr>
              <w:spacing w:after="0"/>
              <w:rPr>
                <w:sz w:val="8"/>
                <w:szCs w:val="8"/>
                <w:color w:val="auto"/>
              </w:rPr>
            </w:pPr>
          </w:p>
        </w:tc>
        <w:tc>
          <w:tcPr>
            <w:tcW w:w="18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9.81 %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1,774</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1,774</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1,739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05/18/2026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0" w:type="dxa"/>
            <w:vAlign w:val="bottom"/>
          </w:tcPr>
          <w:p>
            <w:pPr>
              <w:spacing w:after="0"/>
              <w:rPr>
                <w:sz w:val="1"/>
                <w:szCs w:val="1"/>
                <w:color w:val="auto"/>
              </w:rPr>
            </w:pPr>
          </w:p>
        </w:tc>
      </w:tr>
      <w:tr>
        <w:trPr>
          <w:trHeight w:val="167"/>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PL Acquisitionco,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11/09/2027</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3,236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(81 )</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PRA Events, Inc.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08/07/2025</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14.17 %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24,907</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21,694</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 xml:space="preserve">PRA Events, Inc. (Revolver)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(PIK 10.5%)</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vMerge w:val="continue"/>
          </w:tcPr>
          <w:p>
            <w:pPr>
              <w:spacing w:after="0"/>
              <w:rPr>
                <w:sz w:val="11"/>
                <w:szCs w:val="11"/>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08/07/2025</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Pragmatic Institute, LLC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07/06/2028</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9.30 %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35,340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34,826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34,987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Pragmatic Institute, LLC Term Loan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07/06/2028</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7,193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Pragmatic Institute, LL (Revolver)</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07/06/2028</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9.30 %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959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959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Pragmatic Institute, LL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07/06/2028</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11/19/2026</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Quantic Electronics, LLC (Revolver)</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11/19/2026</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9.51 %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11/19/2026</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Questex, LLC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09/09/2024</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2"/>
              </w:rPr>
              <w:t>Media</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7.45 %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21,600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21,436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21,168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09/09/2024</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3,590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(72 )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Radius Aerospace, Inc. (Revolver)</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03/31/2025</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8.28 %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891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891</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03/31/2025</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1,336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35"/>
        </w:trPr>
        <w:tc>
          <w:tcPr>
            <w:tcW w:w="35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12/18/2025</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12/18/2025</w:t>
            </w:r>
          </w:p>
        </w:tc>
        <w:tc>
          <w:tcPr>
            <w:tcW w:w="1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02/28/2028</w:t>
            </w:r>
          </w:p>
        </w:tc>
        <w:tc>
          <w:tcPr>
            <w:tcW w:w="14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9.13 %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5,885</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5,701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5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Recteq, LLC (Revolver)</w:t>
            </w:r>
          </w:p>
        </w:tc>
        <w:tc>
          <w:tcPr>
            <w:tcW w:w="920" w:type="dxa"/>
            <w:vAlign w:val="bottom"/>
            <w:gridSpan w:val="2"/>
          </w:tcPr>
          <w:p>
            <w:pPr>
              <w:ind w:left="280"/>
              <w:spacing w:after="0" w:line="103" w:lineRule="exact"/>
              <w:rPr>
                <w:sz w:val="20"/>
                <w:szCs w:val="20"/>
                <w:color w:val="auto"/>
              </w:rPr>
            </w:pPr>
            <w:r>
              <w:rPr>
                <w:rFonts w:ascii="Times New Roman" w:cs="Times New Roman" w:eastAsia="Times New Roman" w:hAnsi="Times New Roman"/>
                <w:sz w:val="11"/>
                <w:szCs w:val="11"/>
                <w:color w:val="auto"/>
              </w:rPr>
              <w:t>01/29/2026</w:t>
            </w:r>
          </w:p>
        </w:tc>
        <w:tc>
          <w:tcPr>
            <w:tcW w:w="140" w:type="dxa"/>
            <w:vAlign w:val="bottom"/>
          </w:tcPr>
          <w:p>
            <w:pPr>
              <w:spacing w:after="0"/>
              <w:rPr>
                <w:sz w:val="8"/>
                <w:szCs w:val="8"/>
                <w:color w:val="auto"/>
              </w:rPr>
            </w:pPr>
          </w:p>
        </w:tc>
        <w:tc>
          <w:tcPr>
            <w:tcW w:w="18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080" w:type="dxa"/>
            <w:vAlign w:val="bottom"/>
            <w:gridSpan w:val="3"/>
          </w:tcPr>
          <w:p>
            <w:pPr>
              <w:jc w:val="right"/>
              <w:ind w:right="140"/>
              <w:spacing w:after="0" w:line="103" w:lineRule="exact"/>
              <w:rPr>
                <w:sz w:val="20"/>
                <w:szCs w:val="20"/>
                <w:color w:val="auto"/>
              </w:rPr>
            </w:pPr>
            <w:r>
              <w:rPr>
                <w:rFonts w:ascii="Times New Roman" w:cs="Times New Roman" w:eastAsia="Times New Roman" w:hAnsi="Times New Roman"/>
                <w:sz w:val="11"/>
                <w:szCs w:val="11"/>
                <w:color w:val="auto"/>
              </w:rPr>
              <w:t>9.92 %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L+600</w:t>
            </w:r>
          </w:p>
        </w:tc>
        <w:tc>
          <w:tcPr>
            <w:tcW w:w="90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313</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313</w:t>
            </w: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01/29/2026</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Research Now Group, Inc. and Dynata, LLC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12/20/2024</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8.84 %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126</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06/20/2025</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Riverside Assessments, LLC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03/10/2025</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Education</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8.97 %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12,906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12,705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12,648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01/03/2025</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Sargent &amp; Greenleaf Inc. (Revolver)</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12/20/2024</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Electronics</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8.28 %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593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593</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587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12/20/2024</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07/14/2025</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11.11 %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4,689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4,636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920" w:type="dxa"/>
            <w:vAlign w:val="bottom"/>
            <w:gridSpan w:val="2"/>
            <w:shd w:val="clear" w:color="auto" w:fill="CCECFF"/>
          </w:tcPr>
          <w:p>
            <w:pPr>
              <w:ind w:left="280"/>
              <w:spacing w:after="0"/>
              <w:rPr>
                <w:sz w:val="20"/>
                <w:szCs w:val="20"/>
                <w:color w:val="auto"/>
              </w:rPr>
            </w:pPr>
            <w:r>
              <w:rPr>
                <w:rFonts w:ascii="Times New Roman" w:cs="Times New Roman" w:eastAsia="Times New Roman" w:hAnsi="Times New Roman"/>
                <w:sz w:val="11"/>
                <w:szCs w:val="11"/>
                <w:color w:val="auto"/>
              </w:rPr>
              <w:t>07/14/2025</w:t>
            </w:r>
          </w:p>
        </w:tc>
        <w:tc>
          <w:tcPr>
            <w:tcW w:w="14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9.09 %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color w:val="auto"/>
              </w:rPr>
              <w:t>(PIK 0.5%)</w:t>
            </w: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vMerge w:val="continue"/>
          </w:tcPr>
          <w:p>
            <w:pPr>
              <w:spacing w:after="0"/>
              <w:rPr>
                <w:sz w:val="11"/>
                <w:szCs w:val="11"/>
                <w:color w:val="auto"/>
              </w:rPr>
            </w:pP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07/14/2025</w:t>
            </w:r>
          </w:p>
        </w:tc>
        <w:tc>
          <w:tcPr>
            <w:tcW w:w="14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5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Seaway Buyer, LLC</w:t>
            </w:r>
          </w:p>
        </w:tc>
        <w:tc>
          <w:tcPr>
            <w:tcW w:w="920" w:type="dxa"/>
            <w:vAlign w:val="bottom"/>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06/13/2029</w:t>
            </w:r>
          </w:p>
        </w:tc>
        <w:tc>
          <w:tcPr>
            <w:tcW w:w="14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0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9.70 %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4,730</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Seaway Buyer, LLC (Revolver)</w:t>
            </w:r>
            <w:r>
              <w:rPr>
                <w:rFonts w:ascii="Times New Roman" w:cs="Times New Roman" w:eastAsia="Times New Roman" w:hAnsi="Times New Roman"/>
                <w:sz w:val="14"/>
                <w:szCs w:val="14"/>
                <w:color w:val="auto"/>
                <w:vertAlign w:val="superscript"/>
              </w:rPr>
              <w:t>(7)</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06/13/2029</w:t>
            </w:r>
          </w:p>
        </w:tc>
        <w:tc>
          <w:tcPr>
            <w:tcW w:w="14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40"/>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Shiftkey, LLC</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06/21/2027</w:t>
            </w:r>
          </w:p>
        </w:tc>
        <w:tc>
          <w:tcPr>
            <w:tcW w:w="14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9.56 %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17,955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17,784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-6594475</wp:posOffset>
            </wp:positionV>
            <wp:extent cx="7132320" cy="946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-6243320</wp:posOffset>
            </wp:positionV>
            <wp:extent cx="7132320"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-6071870</wp:posOffset>
            </wp:positionV>
            <wp:extent cx="713232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-5728970</wp:posOffset>
            </wp:positionV>
            <wp:extent cx="713232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-5308600</wp:posOffset>
            </wp:positionV>
            <wp:extent cx="713232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-4965700</wp:posOffset>
            </wp:positionV>
            <wp:extent cx="7132320" cy="857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-4794250</wp:posOffset>
            </wp:positionV>
            <wp:extent cx="7132320"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-4622800</wp:posOffset>
            </wp:positionV>
            <wp:extent cx="7132320" cy="85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-4451350</wp:posOffset>
            </wp:positionV>
            <wp:extent cx="713232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-4279900</wp:posOffset>
            </wp:positionV>
            <wp:extent cx="7132320" cy="85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-4108450</wp:posOffset>
            </wp:positionV>
            <wp:extent cx="7132320"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-3937000</wp:posOffset>
            </wp:positionV>
            <wp:extent cx="7132320" cy="857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-3594100</wp:posOffset>
            </wp:positionV>
            <wp:extent cx="7132320"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-3422650</wp:posOffset>
            </wp:positionV>
            <wp:extent cx="713232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-3251200</wp:posOffset>
            </wp:positionV>
            <wp:extent cx="7132320" cy="857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-2908300</wp:posOffset>
            </wp:positionV>
            <wp:extent cx="7132320" cy="857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-2565400</wp:posOffset>
            </wp:positionV>
            <wp:extent cx="7132320"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-2393950</wp:posOffset>
            </wp:positionV>
            <wp:extent cx="7132320" cy="857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-2222500</wp:posOffset>
            </wp:positionV>
            <wp:extent cx="7132320"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-2051050</wp:posOffset>
            </wp:positionV>
            <wp:extent cx="7132320" cy="857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-1879600</wp:posOffset>
            </wp:positionV>
            <wp:extent cx="713232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-1708150</wp:posOffset>
            </wp:positionV>
            <wp:extent cx="7132320" cy="857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-1536700</wp:posOffset>
            </wp:positionV>
            <wp:extent cx="7132320"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-1193800</wp:posOffset>
            </wp:positionV>
            <wp:extent cx="7132320" cy="85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-1022350</wp:posOffset>
            </wp:positionV>
            <wp:extent cx="7132320"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-850900</wp:posOffset>
            </wp:positionV>
            <wp:extent cx="713232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57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7" w:name="page68"/>
    <w:bookmarkEnd w:id="67"/>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w w:val="98"/>
              </w:rPr>
              <w:t>Maturity /</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11"/>
                <w:szCs w:val="11"/>
                <w:color w:val="auto"/>
              </w:rPr>
            </w:pPr>
          </w:p>
        </w:tc>
        <w:tc>
          <w:tcPr>
            <w:tcW w:w="74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62"/>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w w:val="94"/>
              </w:rPr>
              <w:t>Expiration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80" w:type="dxa"/>
            <w:vAlign w:val="bottom"/>
            <w:gridSpan w:val="2"/>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Sigma Defense Systems, LLC</w:t>
            </w:r>
          </w:p>
        </w:tc>
        <w:tc>
          <w:tcPr>
            <w:tcW w:w="12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Borders>
              <w:top w:val="single" w:sz="8" w:color="auto"/>
            </w:tcBorders>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12.17</w:t>
            </w:r>
          </w:p>
        </w:tc>
        <w:tc>
          <w:tcPr>
            <w:tcW w:w="22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86"/>
              </w:rPr>
              <w:t>%</w:t>
            </w:r>
          </w:p>
        </w:tc>
        <w:tc>
          <w:tcPr>
            <w:tcW w:w="8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L+850</w:t>
            </w:r>
          </w:p>
        </w:tc>
        <w:tc>
          <w:tcPr>
            <w:tcW w:w="22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31,680</w:t>
            </w:r>
          </w:p>
        </w:tc>
        <w:tc>
          <w:tcPr>
            <w:tcW w:w="220" w:type="dxa"/>
            <w:vAlign w:val="bottom"/>
            <w:shd w:val="clear" w:color="auto" w:fill="CCECFF"/>
          </w:tcPr>
          <w:p>
            <w:pPr>
              <w:spacing w:after="0"/>
              <w:rPr>
                <w:sz w:val="11"/>
                <w:szCs w:val="11"/>
                <w:color w:val="auto"/>
              </w:rPr>
            </w:pPr>
          </w:p>
        </w:tc>
        <w:tc>
          <w:tcPr>
            <w:tcW w:w="16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31,004</w:t>
            </w:r>
          </w:p>
        </w:tc>
        <w:tc>
          <w:tcPr>
            <w:tcW w:w="20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Sigma Defense Systems, LLC (Revolver)</w:t>
            </w:r>
          </w:p>
        </w:tc>
        <w:tc>
          <w:tcPr>
            <w:tcW w:w="760" w:type="dxa"/>
            <w:vAlign w:val="bottom"/>
            <w:gridSpan w:val="2"/>
          </w:tcPr>
          <w:p>
            <w:pPr>
              <w:ind w:left="260"/>
              <w:spacing w:after="0" w:line="103" w:lineRule="exact"/>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100" w:type="dxa"/>
            <w:vAlign w:val="bottom"/>
            <w:gridSpan w:val="3"/>
          </w:tcPr>
          <w:p>
            <w:pPr>
              <w:jc w:val="right"/>
              <w:ind w:right="66"/>
              <w:spacing w:after="0" w:line="103" w:lineRule="exact"/>
              <w:rPr>
                <w:sz w:val="20"/>
                <w:szCs w:val="20"/>
                <w:color w:val="auto"/>
              </w:rPr>
            </w:pPr>
            <w:r>
              <w:rPr>
                <w:rFonts w:ascii="Times New Roman" w:cs="Times New Roman" w:eastAsia="Times New Roman" w:hAnsi="Times New Roman"/>
                <w:sz w:val="11"/>
                <w:szCs w:val="11"/>
                <w:color w:val="auto"/>
              </w:rPr>
              <w:t>12.17 %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L+850</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1,131</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1,131</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1,108</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12/18/2025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1,845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(37 )</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(40 )</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Spear Education, LLC</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02/26/2025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9.42 %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11,947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Spendmend Holdings LLC</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03/01/2028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8.63 %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9,705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9,581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9,433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Spendmend Holdings LLC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03/01/2023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2,784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(57 )</w:t>
            </w: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Spendmend Holdings LLC - Funded Revolver</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03/01/2028</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8.63 %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Spendmend Holdings LLC - Unfunded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03/01/2028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26"/>
        </w:trPr>
        <w:tc>
          <w:tcPr>
            <w:tcW w:w="3400" w:type="dxa"/>
            <w:vAlign w:val="bottom"/>
          </w:tcPr>
          <w:p>
            <w:pPr>
              <w:ind w:left="20"/>
              <w:spacing w:after="0" w:line="127" w:lineRule="exact"/>
              <w:rPr>
                <w:sz w:val="20"/>
                <w:szCs w:val="20"/>
                <w:color w:val="auto"/>
              </w:rPr>
            </w:pPr>
            <w:r>
              <w:rPr>
                <w:rFonts w:ascii="Times New Roman" w:cs="Times New Roman" w:eastAsia="Times New Roman" w:hAnsi="Times New Roman"/>
                <w:sz w:val="11"/>
                <w:szCs w:val="11"/>
                <w:color w:val="auto"/>
              </w:rPr>
              <w:t xml:space="preserve">System Planning and Analysis, Inc. - (Revolver) </w:t>
            </w:r>
            <w:r>
              <w:rPr>
                <w:rFonts w:ascii="Times New Roman" w:cs="Times New Roman" w:eastAsia="Times New Roman" w:hAnsi="Times New Roman"/>
                <w:sz w:val="14"/>
                <w:szCs w:val="14"/>
                <w:color w:val="auto"/>
                <w:vertAlign w:val="superscript"/>
              </w:rPr>
              <w:t>(7)</w:t>
            </w:r>
            <w:r>
              <w:rPr>
                <w:rFonts w:ascii="Times New Roman" w:cs="Times New Roman" w:eastAsia="Times New Roman" w:hAnsi="Times New Roman"/>
                <w:sz w:val="11"/>
                <w:szCs w:val="11"/>
                <w:color w:val="auto"/>
              </w:rPr>
              <w:t xml:space="preserve"> (f/k/a Management</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Consulting &amp; Research, LLC)</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08/16/2027</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2"/>
                <w:szCs w:val="12"/>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Bluebird Group LLC</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07/27/2026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10.67 %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4,884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4,796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4,933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07/27/2026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Vertex Companies, LLC</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08/30/2027</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8.18 %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1,754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1,737</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08/30/2027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Vertex Companies, LLC (Revolver)</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08/30/2027</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8.26 %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08/30/2027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TVC Enterprises, LLC</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03/26/2026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Transportation</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8.87 %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12,864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12,626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12,543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03/26/2026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(34 )</w:t>
            </w: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TWS Acquisition Corporation</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Education</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8.76 %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1,143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1,143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04/01/2026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(26 )</w:t>
            </w: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Unique Indoor Comfort, LLC</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05/24/2027</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8.95 %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L+525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27,233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26,904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26,634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Unique Indoor Comfort, LLC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05/24/2027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tcPr>
          <w:p>
            <w:pPr>
              <w:spacing w:after="0"/>
              <w:rPr>
                <w:sz w:val="11"/>
                <w:szCs w:val="11"/>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16,140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(194 )</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Unique Indoor Comfort, LLC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05/24/2027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(66 )</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03/31/2027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12.42 %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25,368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24,881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Wildcat Buyerco, Inc.</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02/27/2026</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Electronics</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9.09 %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3,831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3,771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02/27/2026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4"/>
                <w:szCs w:val="14"/>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(41 )</w:t>
            </w:r>
          </w:p>
        </w:tc>
        <w:tc>
          <w:tcPr>
            <w:tcW w:w="0" w:type="dxa"/>
            <w:vAlign w:val="bottom"/>
          </w:tcPr>
          <w:p>
            <w:pPr>
              <w:spacing w:after="0"/>
              <w:rPr>
                <w:sz w:val="1"/>
                <w:szCs w:val="1"/>
                <w:color w:val="auto"/>
              </w:rPr>
            </w:pPr>
          </w:p>
        </w:tc>
      </w:tr>
      <w:tr>
        <w:trPr>
          <w:trHeight w:val="135"/>
        </w:trPr>
        <w:tc>
          <w:tcPr>
            <w:tcW w:w="3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760" w:type="dxa"/>
            <w:vAlign w:val="bottom"/>
            <w:tcBorders>
              <w:bottom w:val="single" w:sz="8" w:color="CCECFF"/>
            </w:tcBorders>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w w:val="95"/>
              </w:rPr>
              <w:t>03/01/2024</w:t>
            </w: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100" w:type="dxa"/>
            <w:vAlign w:val="bottom"/>
            <w:tcBorders>
              <w:bottom w:val="single" w:sz="8" w:color="CCECFF"/>
            </w:tcBorders>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10.13 %</w:t>
            </w:r>
          </w:p>
        </w:tc>
        <w:tc>
          <w:tcPr>
            <w:tcW w:w="84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96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2,627</w:t>
            </w: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2,608</w:t>
            </w:r>
          </w:p>
        </w:tc>
        <w:tc>
          <w:tcPr>
            <w:tcW w:w="20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2,562</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599,263</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588,267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Debt—22.2% of Net Assets</w:t>
            </w: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05/07/2029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11.19 %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16,551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Best Practice Associates LLC</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w w:val="95"/>
              </w:rPr>
              <w:t>06/29/2027</w:t>
            </w: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12.67 %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17,825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17,506</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17,290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Purchaser Corporation</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07/28/2030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12.16 %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Other Media</w:t>
            </w:r>
          </w:p>
        </w:tc>
        <w:tc>
          <w:tcPr>
            <w:tcW w:w="110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12.92 %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20,288</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08/19/2029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11.17 %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7,432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w w:val="95"/>
              </w:rPr>
              <w:t>07/06/2026</w:t>
            </w: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10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11.37 %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32,164</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31,769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09/29/2024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12.17 %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16,387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w w:val="95"/>
              </w:rPr>
              <w:t>02/04/2027</w:t>
            </w: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10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12.68 %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08/17/2026</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9.87 %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14,932</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14,475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6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133,160</w:t>
            </w:r>
          </w:p>
        </w:tc>
        <w:tc>
          <w:tcPr>
            <w:tcW w:w="20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129,936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Notes—9.1% of Net Assets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Express Wash Acquisition Company, LLC</w:t>
            </w: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w w:val="95"/>
              </w:rPr>
              <w:t>01/15/2029</w:t>
            </w: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100" w:type="dxa"/>
            <w:vAlign w:val="bottom"/>
            <w:gridSpan w:val="3"/>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15.31 %</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L+1,150</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20,278</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20,359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Flock Financial, LLC</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5"/>
              </w:rPr>
              <w:t>05/26/2027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100" w:type="dxa"/>
            <w:vAlign w:val="bottom"/>
            <w:gridSpan w:val="3"/>
          </w:tcPr>
          <w:p>
            <w:pPr>
              <w:jc w:val="right"/>
              <w:ind w:right="66"/>
              <w:spacing w:after="0"/>
              <w:rPr>
                <w:sz w:val="20"/>
                <w:szCs w:val="20"/>
                <w:color w:val="auto"/>
              </w:rPr>
            </w:pPr>
            <w:r>
              <w:rPr>
                <w:rFonts w:ascii="Times New Roman" w:cs="Times New Roman" w:eastAsia="Times New Roman" w:hAnsi="Times New Roman"/>
                <w:sz w:val="11"/>
                <w:szCs w:val="11"/>
                <w:color w:val="auto"/>
              </w:rPr>
              <w:t>12.50 %</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34,000</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33,190</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53,468</w:t>
            </w: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53,254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40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Equity/Partnership Interests—1.3% of Net Assets </w:t>
            </w:r>
            <w:r>
              <w:rPr>
                <w:rFonts w:ascii="Times New Roman" w:cs="Times New Roman" w:eastAsia="Times New Roman" w:hAnsi="Times New Roman"/>
                <w:sz w:val="11"/>
                <w:szCs w:val="11"/>
                <w:b w:val="1"/>
                <w:bCs w:val="1"/>
                <w:color w:val="auto"/>
                <w:vertAlign w:val="superscript"/>
              </w:rPr>
              <w:t>(6)</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AH Newco Equityholdings, LLC</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Imagine Topco, LP</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100" w:type="dxa"/>
            <w:vAlign w:val="bottom"/>
            <w:gridSpan w:val="3"/>
          </w:tcPr>
          <w:p>
            <w:pPr>
              <w:jc w:val="right"/>
              <w:ind w:right="66"/>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743,826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Mars Intermediate Holdings II,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2"/>
                <w:szCs w:val="12"/>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575</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4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18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100" w:type="dxa"/>
            <w:vAlign w:val="bottom"/>
            <w:gridSpan w:val="3"/>
          </w:tcPr>
          <w:p>
            <w:pPr>
              <w:jc w:val="right"/>
              <w:ind w:right="66"/>
              <w:spacing w:after="0" w:line="103" w:lineRule="exact"/>
              <w:rPr>
                <w:sz w:val="20"/>
                <w:szCs w:val="20"/>
                <w:color w:val="auto"/>
              </w:rPr>
            </w:pPr>
            <w:r>
              <w:rPr>
                <w:rFonts w:ascii="Times New Roman" w:cs="Times New Roman" w:eastAsia="Times New Roman" w:hAnsi="Times New Roman"/>
                <w:sz w:val="11"/>
                <w:szCs w:val="11"/>
                <w:color w:val="auto"/>
              </w:rPr>
              <w:t>12.00 %</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1,527</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1,527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1,932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0" w:type="dxa"/>
            <w:vAlign w:val="bottom"/>
            <w:tcBorders>
              <w:bottom w:val="single" w:sz="8" w:color="CCECFF"/>
            </w:tcBorders>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2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260" w:type="dxa"/>
            <w:vAlign w:val="bottom"/>
            <w:tcBorders>
              <w:bottom w:val="single" w:sz="8" w:color="CCECFF"/>
            </w:tcBorders>
            <w:shd w:val="clear" w:color="auto" w:fill="CCECFF"/>
          </w:tcPr>
          <w:p>
            <w:pPr>
              <w:spacing w:after="0"/>
              <w:rPr>
                <w:sz w:val="12"/>
                <w:szCs w:val="12"/>
                <w:color w:val="auto"/>
              </w:rPr>
            </w:pPr>
          </w:p>
        </w:tc>
        <w:tc>
          <w:tcPr>
            <w:tcW w:w="18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7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5,026</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vertAlign w:val="subscript"/>
              </w:rPr>
              <w:t>(6)</w:t>
            </w:r>
            <w:r>
              <w:rPr>
                <w:rFonts w:ascii="Times New Roman" w:cs="Times New Roman" w:eastAsia="Times New Roman" w:hAnsi="Times New Roman"/>
                <w:sz w:val="11"/>
                <w:szCs w:val="11"/>
                <w:b w:val="1"/>
                <w:bCs w:val="1"/>
                <w:color w:val="auto"/>
                <w:w w:val="97"/>
              </w:rPr>
              <w:t>Common Equity/Partnership Interests/Warrants—26.2% of Net Assets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Affinion Group Holdings, Inc. (Warrants)</w:t>
            </w:r>
          </w:p>
        </w:tc>
        <w:tc>
          <w:tcPr>
            <w:tcW w:w="760" w:type="dxa"/>
            <w:vAlign w:val="bottom"/>
            <w:gridSpan w:val="2"/>
          </w:tcPr>
          <w:p>
            <w:pPr>
              <w:ind w:left="260"/>
              <w:spacing w:after="0" w:line="117" w:lineRule="exact"/>
              <w:rPr>
                <w:sz w:val="20"/>
                <w:szCs w:val="20"/>
                <w:color w:val="auto"/>
              </w:rPr>
            </w:pPr>
            <w:r>
              <w:rPr>
                <w:rFonts w:ascii="Times New Roman" w:cs="Times New Roman" w:eastAsia="Times New Roman" w:hAnsi="Times New Roman"/>
                <w:sz w:val="11"/>
                <w:szCs w:val="11"/>
                <w:color w:val="auto"/>
                <w:w w:val="95"/>
              </w:rPr>
              <w:t>04/10/2024</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0"/>
                <w:szCs w:val="10"/>
                <w:color w:val="auto"/>
              </w:rPr>
            </w:pPr>
          </w:p>
        </w:tc>
        <w:tc>
          <w:tcPr>
            <w:tcW w:w="980" w:type="dxa"/>
            <w:vAlign w:val="bottom"/>
            <w:gridSpan w:val="2"/>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77,190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2,126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AMCSI Crash Co-Invest, LP</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0"/>
                <w:szCs w:val="10"/>
                <w:color w:val="auto"/>
              </w:rPr>
            </w:pPr>
          </w:p>
        </w:tc>
        <w:tc>
          <w:tcPr>
            <w:tcW w:w="980" w:type="dxa"/>
            <w:vAlign w:val="bottom"/>
            <w:gridSpan w:val="2"/>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2,419,200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2,419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2,470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AMCSI Crash Co-Invest, LP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580,800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Anteriad Holdings, LP (f/k/a MeritDirect Holdings,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1,135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Athletico Holdings, LLC</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0"/>
                <w:szCs w:val="10"/>
                <w:color w:val="auto"/>
              </w:rPr>
            </w:pPr>
          </w:p>
        </w:tc>
        <w:tc>
          <w:tcPr>
            <w:tcW w:w="980" w:type="dxa"/>
            <w:vAlign w:val="bottom"/>
            <w:gridSpan w:val="2"/>
          </w:tcPr>
          <w:p>
            <w:pPr>
              <w:jc w:val="right"/>
              <w:ind w:right="186"/>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9,357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10,000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9,516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Atlas Investment Aggregator,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3"/>
                <w:szCs w:val="13"/>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Burgess Point Holdings, LP</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2"/>
                <w:szCs w:val="12"/>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3,562,500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3,563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3,716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4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180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8"/>
                <w:szCs w:val="8"/>
                <w:color w:val="auto"/>
              </w:rPr>
            </w:pPr>
          </w:p>
        </w:tc>
        <w:tc>
          <w:tcPr>
            <w:tcW w:w="980" w:type="dxa"/>
            <w:vAlign w:val="bottom"/>
            <w:gridSpan w:val="2"/>
          </w:tcPr>
          <w:p>
            <w:pPr>
              <w:jc w:val="right"/>
              <w:ind w:right="186"/>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1,243</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1,651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0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2"/>
                <w:szCs w:val="12"/>
                <w:color w:val="auto"/>
              </w:rPr>
            </w:pPr>
          </w:p>
        </w:tc>
        <w:tc>
          <w:tcPr>
            <w:tcW w:w="980" w:type="dxa"/>
            <w:vAlign w:val="bottom"/>
            <w:gridSpan w:val="2"/>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2"/>
                <w:szCs w:val="12"/>
                <w:color w:val="auto"/>
              </w:rPr>
            </w:pPr>
          </w:p>
        </w:tc>
        <w:tc>
          <w:tcPr>
            <w:tcW w:w="980" w:type="dxa"/>
            <w:vAlign w:val="bottom"/>
            <w:gridSpan w:val="2"/>
            <w:shd w:val="clear" w:color="auto" w:fill="CCECFF"/>
          </w:tcPr>
          <w:p>
            <w:pPr>
              <w:jc w:val="right"/>
              <w:ind w:right="18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26,360</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4,011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-6543675</wp:posOffset>
            </wp:positionV>
            <wp:extent cx="7132320" cy="857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-6372225</wp:posOffset>
            </wp:positionV>
            <wp:extent cx="7132320" cy="857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-6200775</wp:posOffset>
            </wp:positionV>
            <wp:extent cx="713232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-6029325</wp:posOffset>
            </wp:positionV>
            <wp:extent cx="7132320" cy="857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-5857875</wp:posOffset>
            </wp:positionV>
            <wp:extent cx="7132320" cy="1631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-5608955</wp:posOffset>
            </wp:positionV>
            <wp:extent cx="713232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-5437505</wp:posOffset>
            </wp:positionV>
            <wp:extent cx="7132320"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-5266055</wp:posOffset>
            </wp:positionV>
            <wp:extent cx="7132320" cy="857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-5094605</wp:posOffset>
            </wp:positionV>
            <wp:extent cx="7132320" cy="85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-4923155</wp:posOffset>
            </wp:positionV>
            <wp:extent cx="7132320" cy="857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-4751705</wp:posOffset>
            </wp:positionV>
            <wp:extent cx="7132320" cy="857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-4580255</wp:posOffset>
            </wp:positionV>
            <wp:extent cx="7132320" cy="857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-4408805</wp:posOffset>
            </wp:positionV>
            <wp:extent cx="7132320" cy="857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-4151630</wp:posOffset>
            </wp:positionV>
            <wp:extent cx="68580" cy="1028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-4151630</wp:posOffset>
            </wp:positionV>
            <wp:extent cx="68580" cy="1028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-3097530</wp:posOffset>
            </wp:positionV>
            <wp:extent cx="68580" cy="939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-3097530</wp:posOffset>
            </wp:positionV>
            <wp:extent cx="68580" cy="939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-2823210</wp:posOffset>
            </wp:positionV>
            <wp:extent cx="7132320" cy="265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-2471420</wp:posOffset>
            </wp:positionV>
            <wp:extent cx="713232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-2299970</wp:posOffset>
            </wp:positionV>
            <wp:extent cx="7132320" cy="857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-1957070</wp:posOffset>
            </wp:positionV>
            <wp:extent cx="7132320" cy="857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-1699895</wp:posOffset>
            </wp:positionV>
            <wp:extent cx="7132320" cy="2400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-1374140</wp:posOffset>
            </wp:positionV>
            <wp:extent cx="7132320" cy="857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-1202690</wp:posOffset>
            </wp:positionV>
            <wp:extent cx="7132320" cy="857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-1031240</wp:posOffset>
            </wp:positionV>
            <wp:extent cx="7132320" cy="85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-859790</wp:posOffset>
            </wp:positionV>
            <wp:extent cx="7132320" cy="857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-688340</wp:posOffset>
            </wp:positionV>
            <wp:extent cx="7132320" cy="857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8" w:name="page69"/>
    <w:bookmarkEnd w:id="68"/>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8"/>
              </w:rPr>
              <w:t>Current</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62"/>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Industry</w:t>
            </w:r>
          </w:p>
        </w:tc>
        <w:tc>
          <w:tcPr>
            <w:tcW w:w="120" w:type="dxa"/>
            <w:vAlign w:val="bottom"/>
          </w:tcPr>
          <w:p>
            <w:pPr>
              <w:spacing w:after="0"/>
              <w:rPr>
                <w:sz w:val="14"/>
                <w:szCs w:val="14"/>
                <w:color w:val="auto"/>
              </w:rPr>
            </w:pPr>
          </w:p>
        </w:tc>
        <w:tc>
          <w:tcPr>
            <w:tcW w:w="580" w:type="dxa"/>
            <w:vAlign w:val="bottom"/>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Coupon</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20" w:type="dxa"/>
            <w:vAlign w:val="bottom"/>
          </w:tcPr>
          <w:p>
            <w:pPr>
              <w:spacing w:after="0"/>
              <w:rPr>
                <w:sz w:val="14"/>
                <w:szCs w:val="14"/>
                <w:color w:val="auto"/>
              </w:rPr>
            </w:pPr>
          </w:p>
        </w:tc>
        <w:tc>
          <w:tcPr>
            <w:tcW w:w="6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420" w:type="dxa"/>
            <w:vAlign w:val="bottom"/>
            <w:tcBorders>
              <w:top w:val="single" w:sz="8" w:color="auto"/>
            </w:tcBorders>
            <w:shd w:val="clear" w:color="auto" w:fill="CCECFF"/>
          </w:tcPr>
          <w:p>
            <w:pPr>
              <w:spacing w:after="0"/>
              <w:rPr>
                <w:sz w:val="7"/>
                <w:szCs w:val="7"/>
                <w:color w:val="auto"/>
              </w:rPr>
            </w:pPr>
          </w:p>
        </w:tc>
        <w:tc>
          <w:tcPr>
            <w:tcW w:w="120" w:type="dxa"/>
            <w:vAlign w:val="bottom"/>
            <w:shd w:val="clear" w:color="auto" w:fill="CCECFF"/>
          </w:tcPr>
          <w:p>
            <w:pPr>
              <w:spacing w:after="0"/>
              <w:rPr>
                <w:sz w:val="7"/>
                <w:szCs w:val="7"/>
                <w:color w:val="auto"/>
              </w:rPr>
            </w:pPr>
          </w:p>
        </w:tc>
        <w:tc>
          <w:tcPr>
            <w:tcW w:w="780" w:type="dxa"/>
            <w:vAlign w:val="bottom"/>
            <w:tcBorders>
              <w:top w:val="single" w:sz="8" w:color="auto"/>
            </w:tcBorders>
            <w:shd w:val="clear" w:color="auto" w:fill="CCECFF"/>
          </w:tcPr>
          <w:p>
            <w:pPr>
              <w:ind w:left="660"/>
              <w:spacing w:after="0" w:line="88"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shd w:val="clear" w:color="auto" w:fill="CCECFF"/>
          </w:tcPr>
          <w:p>
            <w:pPr>
              <w:spacing w:after="0"/>
              <w:rPr>
                <w:sz w:val="7"/>
                <w:szCs w:val="7"/>
                <w:color w:val="auto"/>
              </w:rPr>
            </w:pPr>
          </w:p>
        </w:tc>
        <w:tc>
          <w:tcPr>
            <w:tcW w:w="1820" w:type="dxa"/>
            <w:vAlign w:val="bottom"/>
            <w:tcBorders>
              <w:top w:val="single" w:sz="8" w:color="auto"/>
            </w:tcBorders>
            <w:shd w:val="clear" w:color="auto" w:fill="CCECFF"/>
          </w:tcPr>
          <w:p>
            <w:pPr>
              <w:jc w:val="center"/>
              <w:spacing w:after="0" w:line="88" w:lineRule="exact"/>
              <w:rPr>
                <w:sz w:val="20"/>
                <w:szCs w:val="20"/>
                <w:color w:val="auto"/>
              </w:rPr>
            </w:pPr>
            <w:r>
              <w:rPr>
                <w:rFonts w:ascii="Times New Roman" w:cs="Times New Roman" w:eastAsia="Times New Roman" w:hAnsi="Times New Roman"/>
                <w:sz w:val="10"/>
                <w:szCs w:val="10"/>
                <w:color w:val="auto"/>
              </w:rPr>
              <w:t>Personal, Food and Miscellaneous</w:t>
            </w:r>
          </w:p>
        </w:tc>
        <w:tc>
          <w:tcPr>
            <w:tcW w:w="120" w:type="dxa"/>
            <w:vAlign w:val="bottom"/>
            <w:shd w:val="clear" w:color="auto" w:fill="CCECFF"/>
          </w:tcPr>
          <w:p>
            <w:pPr>
              <w:spacing w:after="0"/>
              <w:rPr>
                <w:sz w:val="7"/>
                <w:szCs w:val="7"/>
                <w:color w:val="auto"/>
              </w:rPr>
            </w:pPr>
          </w:p>
        </w:tc>
        <w:tc>
          <w:tcPr>
            <w:tcW w:w="580" w:type="dxa"/>
            <w:vAlign w:val="bottom"/>
            <w:tcBorders>
              <w:top w:val="single" w:sz="8" w:color="auto"/>
            </w:tcBorders>
            <w:shd w:val="clear" w:color="auto" w:fill="CCECFF"/>
          </w:tcPr>
          <w:p>
            <w:pPr>
              <w:spacing w:after="0"/>
              <w:rPr>
                <w:sz w:val="7"/>
                <w:szCs w:val="7"/>
                <w:color w:val="auto"/>
              </w:rPr>
            </w:pPr>
          </w:p>
        </w:tc>
        <w:tc>
          <w:tcPr>
            <w:tcW w:w="160" w:type="dxa"/>
            <w:vAlign w:val="bottom"/>
            <w:tcBorders>
              <w:top w:val="single" w:sz="8" w:color="auto"/>
            </w:tcBorders>
            <w:shd w:val="clear" w:color="auto" w:fill="CCECFF"/>
          </w:tcPr>
          <w:p>
            <w:pPr>
              <w:ind w:left="40"/>
              <w:spacing w:after="0" w:line="88" w:lineRule="exact"/>
              <w:rPr>
                <w:sz w:val="20"/>
                <w:szCs w:val="20"/>
                <w:color w:val="auto"/>
              </w:rPr>
            </w:pPr>
            <w:r>
              <w:rPr>
                <w:rFonts w:ascii="Times New Roman" w:cs="Times New Roman" w:eastAsia="Times New Roman" w:hAnsi="Times New Roman"/>
                <w:sz w:val="10"/>
                <w:szCs w:val="10"/>
                <w:color w:val="auto"/>
                <w:w w:val="99"/>
              </w:rPr>
              <w:t>—</w:t>
            </w:r>
          </w:p>
        </w:tc>
        <w:tc>
          <w:tcPr>
            <w:tcW w:w="220" w:type="dxa"/>
            <w:vAlign w:val="bottom"/>
            <w:shd w:val="clear" w:color="auto" w:fill="CCECFF"/>
          </w:tcPr>
          <w:p>
            <w:pPr>
              <w:spacing w:after="0"/>
              <w:rPr>
                <w:sz w:val="7"/>
                <w:szCs w:val="7"/>
                <w:color w:val="auto"/>
              </w:rPr>
            </w:pPr>
          </w:p>
        </w:tc>
        <w:tc>
          <w:tcPr>
            <w:tcW w:w="86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660" w:type="dxa"/>
            <w:vAlign w:val="bottom"/>
            <w:tcBorders>
              <w:top w:val="single" w:sz="8" w:color="auto"/>
            </w:tcBorders>
            <w:shd w:val="clear" w:color="auto" w:fill="CCECFF"/>
          </w:tcPr>
          <w:p>
            <w:pPr>
              <w:spacing w:after="0"/>
              <w:rPr>
                <w:sz w:val="7"/>
                <w:szCs w:val="7"/>
                <w:color w:val="auto"/>
              </w:rPr>
            </w:pPr>
          </w:p>
        </w:tc>
        <w:tc>
          <w:tcPr>
            <w:tcW w:w="220" w:type="dxa"/>
            <w:vAlign w:val="bottom"/>
            <w:shd w:val="clear" w:color="auto" w:fill="CCECFF"/>
          </w:tcPr>
          <w:p>
            <w:pPr>
              <w:spacing w:after="0"/>
              <w:rPr>
                <w:sz w:val="7"/>
                <w:szCs w:val="7"/>
                <w:color w:val="auto"/>
              </w:rPr>
            </w:pPr>
          </w:p>
        </w:tc>
        <w:tc>
          <w:tcPr>
            <w:tcW w:w="160" w:type="dxa"/>
            <w:vAlign w:val="bottom"/>
            <w:tcBorders>
              <w:top w:val="single" w:sz="8" w:color="auto"/>
            </w:tcBorders>
            <w:shd w:val="clear" w:color="auto" w:fill="CCECFF"/>
          </w:tcPr>
          <w:p>
            <w:pPr>
              <w:spacing w:after="0"/>
              <w:rPr>
                <w:sz w:val="7"/>
                <w:szCs w:val="7"/>
                <w:color w:val="auto"/>
              </w:rPr>
            </w:pPr>
          </w:p>
        </w:tc>
        <w:tc>
          <w:tcPr>
            <w:tcW w:w="580" w:type="dxa"/>
            <w:vAlign w:val="bottom"/>
            <w:tcBorders>
              <w:top w:val="single" w:sz="8" w:color="auto"/>
            </w:tcBorders>
            <w:shd w:val="clear" w:color="auto" w:fill="CCECFF"/>
          </w:tcPr>
          <w:p>
            <w:pPr>
              <w:spacing w:after="0"/>
              <w:rPr>
                <w:sz w:val="7"/>
                <w:szCs w:val="7"/>
                <w:color w:val="auto"/>
              </w:rPr>
            </w:pPr>
          </w:p>
        </w:tc>
        <w:tc>
          <w:tcPr>
            <w:tcW w:w="200" w:type="dxa"/>
            <w:vAlign w:val="bottom"/>
            <w:shd w:val="clear" w:color="auto" w:fill="CCECFF"/>
          </w:tcPr>
          <w:p>
            <w:pPr>
              <w:spacing w:after="0"/>
              <w:rPr>
                <w:sz w:val="7"/>
                <w:szCs w:val="7"/>
                <w:color w:val="auto"/>
              </w:rPr>
            </w:pPr>
          </w:p>
        </w:tc>
        <w:tc>
          <w:tcPr>
            <w:tcW w:w="80" w:type="dxa"/>
            <w:vAlign w:val="bottom"/>
            <w:tcBorders>
              <w:top w:val="single" w:sz="8" w:color="auto"/>
            </w:tcBorders>
            <w:shd w:val="clear" w:color="auto" w:fill="CCECFF"/>
          </w:tcPr>
          <w:p>
            <w:pPr>
              <w:spacing w:after="0"/>
              <w:rPr>
                <w:sz w:val="7"/>
                <w:szCs w:val="7"/>
                <w:color w:val="auto"/>
              </w:rPr>
            </w:pPr>
          </w:p>
        </w:tc>
        <w:tc>
          <w:tcPr>
            <w:tcW w:w="680" w:type="dxa"/>
            <w:vAlign w:val="bottom"/>
            <w:tcBorders>
              <w:top w:val="single" w:sz="8" w:color="auto"/>
            </w:tcBorders>
            <w:shd w:val="clear" w:color="auto" w:fill="CCECFF"/>
          </w:tcPr>
          <w:p>
            <w:pPr>
              <w:spacing w:after="0"/>
              <w:rPr>
                <w:sz w:val="7"/>
                <w:szCs w:val="7"/>
                <w:color w:val="auto"/>
              </w:rPr>
            </w:pPr>
          </w:p>
        </w:tc>
        <w:tc>
          <w:tcPr>
            <w:tcW w:w="100" w:type="dxa"/>
            <w:vAlign w:val="bottom"/>
            <w:shd w:val="clear" w:color="auto" w:fill="CCEC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Crane 1 Acquisition Parent Holdings, L.P.</w:t>
            </w:r>
          </w:p>
        </w:tc>
        <w:tc>
          <w:tcPr>
            <w:tcW w:w="12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2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3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4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Delta InvestCo LP</w:t>
            </w:r>
          </w:p>
        </w:tc>
        <w:tc>
          <w:tcPr>
            <w:tcW w:w="120" w:type="dxa"/>
            <w:vAlign w:val="bottom"/>
          </w:tcPr>
          <w:p>
            <w:pPr>
              <w:spacing w:after="0"/>
              <w:rPr>
                <w:sz w:val="8"/>
                <w:szCs w:val="8"/>
                <w:color w:val="auto"/>
              </w:rPr>
            </w:pPr>
          </w:p>
        </w:tc>
        <w:tc>
          <w:tcPr>
            <w:tcW w:w="780" w:type="dxa"/>
            <w:vAlign w:val="bottom"/>
          </w:tcPr>
          <w:p>
            <w:pPr>
              <w:ind w:left="66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18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ind w:left="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8"/>
                <w:szCs w:val="8"/>
                <w:color w:val="auto"/>
              </w:rPr>
            </w:pPr>
          </w:p>
        </w:tc>
        <w:tc>
          <w:tcPr>
            <w:tcW w:w="860" w:type="dxa"/>
            <w:vAlign w:val="bottom"/>
          </w:tcPr>
          <w:p>
            <w:pPr>
              <w:ind w:left="7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698,889</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684</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1,425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w:t>
            </w:r>
            <w:r>
              <w:rPr>
                <w:rFonts w:ascii="Times New Roman" w:cs="Times New Roman" w:eastAsia="Times New Roman" w:hAnsi="Times New Roman"/>
                <w:sz w:val="14"/>
                <w:szCs w:val="14"/>
                <w:color w:val="auto"/>
                <w:vertAlign w:val="superscript"/>
              </w:rPr>
              <w:t>(7)</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442,155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(Sigma Defense Systems, LLC) </w:t>
            </w:r>
            <w:r>
              <w:rPr>
                <w:rFonts w:ascii="Times New Roman" w:cs="Times New Roman" w:eastAsia="Times New Roman" w:hAnsi="Times New Roman"/>
                <w:sz w:val="14"/>
                <w:szCs w:val="14"/>
                <w:color w:val="auto"/>
                <w:vertAlign w:val="superscript"/>
              </w:rPr>
              <w:t>(7), (9)</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Financial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Exigo,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1,458,333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Express Wash Topco, LLC</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658,000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3,290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14,186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FedHC InvestCo II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Transportation</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2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2,434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675,325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783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Icon Partners V C, L.P.</w:t>
            </w:r>
          </w:p>
        </w:tc>
        <w:tc>
          <w:tcPr>
            <w:tcW w:w="120" w:type="dxa"/>
            <w:vAlign w:val="bottom"/>
          </w:tcPr>
          <w:p>
            <w:pPr>
              <w:spacing w:after="0"/>
              <w:rPr>
                <w:sz w:val="8"/>
                <w:szCs w:val="8"/>
                <w:color w:val="auto"/>
              </w:rPr>
            </w:pPr>
          </w:p>
        </w:tc>
        <w:tc>
          <w:tcPr>
            <w:tcW w:w="780" w:type="dxa"/>
            <w:vAlign w:val="bottom"/>
          </w:tcPr>
          <w:p>
            <w:pPr>
              <w:ind w:left="66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18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ind w:left="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8"/>
                <w:szCs w:val="8"/>
                <w:color w:val="auto"/>
              </w:rPr>
            </w:pPr>
          </w:p>
        </w:tc>
        <w:tc>
          <w:tcPr>
            <w:tcW w:w="860" w:type="dxa"/>
            <w:vAlign w:val="bottom"/>
          </w:tcPr>
          <w:p>
            <w:pPr>
              <w:ind w:left="7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1,111,111</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1,111</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1,194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Icon Partners V C,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3"/>
                <w:szCs w:val="13"/>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388,889</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Topco, LP</w:t>
            </w:r>
          </w:p>
        </w:tc>
        <w:tc>
          <w:tcPr>
            <w:tcW w:w="120" w:type="dxa"/>
            <w:vAlign w:val="bottom"/>
          </w:tcPr>
          <w:p>
            <w:pPr>
              <w:spacing w:after="0"/>
              <w:rPr>
                <w:sz w:val="12"/>
                <w:szCs w:val="12"/>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743,826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Infogroup Parent Holdings, Inc.</w:t>
            </w: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Other Media</w:t>
            </w: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(Data Axle, Inc.)</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Ironclad Holdco, LLC</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Environmental Services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4,566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450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592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ITC Infusion Co-invest, LP</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113,839</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1,138</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ITC Rumba, LLC</w:t>
            </w:r>
          </w:p>
        </w:tc>
        <w:tc>
          <w:tcPr>
            <w:tcW w:w="120" w:type="dxa"/>
            <w:vAlign w:val="bottom"/>
          </w:tcPr>
          <w:p>
            <w:pPr>
              <w:spacing w:after="0"/>
              <w:rPr>
                <w:sz w:val="8"/>
                <w:szCs w:val="8"/>
                <w:color w:val="auto"/>
              </w:rPr>
            </w:pPr>
          </w:p>
        </w:tc>
        <w:tc>
          <w:tcPr>
            <w:tcW w:w="780" w:type="dxa"/>
            <w:vAlign w:val="bottom"/>
          </w:tcPr>
          <w:p>
            <w:pPr>
              <w:ind w:left="66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18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ind w:left="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8"/>
                <w:szCs w:val="8"/>
                <w:color w:val="auto"/>
              </w:rPr>
            </w:pPr>
          </w:p>
        </w:tc>
        <w:tc>
          <w:tcPr>
            <w:tcW w:w="860" w:type="dxa"/>
            <w:vAlign w:val="bottom"/>
          </w:tcPr>
          <w:p>
            <w:pPr>
              <w:ind w:left="7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375,675</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42,031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(Cano Health,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Home and Office Furnishings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2,688</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783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4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Kentucky Racing Holdco, LLC (Warrants)</w:t>
            </w:r>
          </w:p>
        </w:tc>
        <w:tc>
          <w:tcPr>
            <w:tcW w:w="120" w:type="dxa"/>
            <w:vAlign w:val="bottom"/>
          </w:tcPr>
          <w:p>
            <w:pPr>
              <w:spacing w:after="0"/>
              <w:rPr>
                <w:sz w:val="12"/>
                <w:szCs w:val="12"/>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Kinetic Purchaser, LLC</w:t>
            </w: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1,308,814</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1,309</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ind w:left="660"/>
              <w:spacing w:after="0" w:line="95" w:lineRule="exact"/>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tcPr>
          <w:p>
            <w:pPr>
              <w:spacing w:after="0"/>
              <w:rPr>
                <w:sz w:val="8"/>
                <w:szCs w:val="8"/>
                <w:color w:val="auto"/>
              </w:rPr>
            </w:pPr>
          </w:p>
        </w:tc>
        <w:tc>
          <w:tcPr>
            <w:tcW w:w="1820" w:type="dxa"/>
            <w:vAlign w:val="bottom"/>
          </w:tcPr>
          <w:p>
            <w:pPr>
              <w:jc w:val="center"/>
              <w:spacing w:after="0" w:line="95" w:lineRule="exact"/>
              <w:rPr>
                <w:sz w:val="20"/>
                <w:szCs w:val="20"/>
                <w:color w:val="auto"/>
              </w:rPr>
            </w:pPr>
            <w:r>
              <w:rPr>
                <w:rFonts w:ascii="Times New Roman" w:cs="Times New Roman" w:eastAsia="Times New Roman" w:hAnsi="Times New Roman"/>
                <w:sz w:val="10"/>
                <w:szCs w:val="10"/>
                <w:color w:val="auto"/>
              </w:rPr>
              <w:t>Personal, Food and Miscellaneous</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KL Stockton Co-Invest LP</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10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Environmental Services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273,143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273</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Mars Intermidiate Holdings II,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MDI Aggregator, LP</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1,925,990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1,930</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Meadowlark Title,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815,385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3,920,145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3,984</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4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NEPRT Parent Holdings, LLC</w:t>
            </w:r>
          </w:p>
        </w:tc>
        <w:tc>
          <w:tcPr>
            <w:tcW w:w="120" w:type="dxa"/>
            <w:vAlign w:val="bottom"/>
          </w:tcPr>
          <w:p>
            <w:pPr>
              <w:spacing w:after="0"/>
              <w:rPr>
                <w:sz w:val="8"/>
                <w:szCs w:val="8"/>
                <w:color w:val="auto"/>
              </w:rPr>
            </w:pPr>
          </w:p>
        </w:tc>
        <w:tc>
          <w:tcPr>
            <w:tcW w:w="780" w:type="dxa"/>
            <w:vAlign w:val="bottom"/>
          </w:tcPr>
          <w:p>
            <w:pPr>
              <w:ind w:left="66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182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ind w:left="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8"/>
                <w:szCs w:val="8"/>
                <w:color w:val="auto"/>
              </w:rPr>
            </w:pPr>
          </w:p>
        </w:tc>
        <w:tc>
          <w:tcPr>
            <w:tcW w:w="860" w:type="dxa"/>
            <w:vAlign w:val="bottom"/>
          </w:tcPr>
          <w:p>
            <w:pPr>
              <w:ind w:left="7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1,299</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1,261</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(Recteq,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North Haven Saints Equity Holdings, LP</w:t>
            </w:r>
          </w:p>
        </w:tc>
        <w:tc>
          <w:tcPr>
            <w:tcW w:w="120" w:type="dxa"/>
            <w:vAlign w:val="bottom"/>
          </w:tcPr>
          <w:p>
            <w:pPr>
              <w:spacing w:after="0"/>
              <w:rPr>
                <w:sz w:val="12"/>
                <w:szCs w:val="12"/>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2"/>
                <w:szCs w:val="12"/>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351,553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shd w:val="clear" w:color="auto" w:fill="CCECFF"/>
          </w:tcPr>
          <w:p>
            <w:pPr>
              <w:spacing w:after="0"/>
              <w:rPr>
                <w:sz w:val="12"/>
                <w:szCs w:val="12"/>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2"/>
                <w:szCs w:val="12"/>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2"/>
                <w:szCs w:val="12"/>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3,261</w:t>
            </w: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20" w:type="dxa"/>
            <w:vAlign w:val="bottom"/>
          </w:tcPr>
          <w:p>
            <w:pPr>
              <w:ind w:left="100"/>
              <w:spacing w:after="0" w:line="122" w:lineRule="exact"/>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98,286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979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1,651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100"/>
              <w:spacing w:after="0" w:line="153" w:lineRule="exact"/>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OHCP V BC COI, L.P.</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Distribution</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446,250</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446</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OHCP V BC COI,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Distribution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303,750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(44 )</w:t>
            </w: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ORL Holdco, Inc.</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PennantPark-TSO Senior Loan Fund II, LP</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Financial Services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15,038,871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15,039</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15,571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4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Pink Lily Holdco,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3"/>
                <w:szCs w:val="13"/>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3"/>
                <w:szCs w:val="13"/>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Pragmatic Institute, LLC</w:t>
            </w:r>
          </w:p>
        </w:tc>
        <w:tc>
          <w:tcPr>
            <w:tcW w:w="120" w:type="dxa"/>
            <w:vAlign w:val="bottom"/>
          </w:tcPr>
          <w:p>
            <w:pPr>
              <w:spacing w:after="0"/>
              <w:rPr>
                <w:sz w:val="10"/>
                <w:szCs w:val="10"/>
                <w:color w:val="auto"/>
              </w:rPr>
            </w:pPr>
          </w:p>
        </w:tc>
        <w:tc>
          <w:tcPr>
            <w:tcW w:w="780" w:type="dxa"/>
            <w:vAlign w:val="bottom"/>
          </w:tcPr>
          <w:p>
            <w:pPr>
              <w:ind w:left="66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1,918,047</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1,918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4"/>
                <w:szCs w:val="14"/>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4"/>
                <w:szCs w:val="14"/>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RFMG Parent, LP</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(Rancho Health MSO, Inc.)</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SBI Holdings Investments LLC</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36,585</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Topco, LP</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SP L2 Holdings, LLC</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881,966</w:t>
            </w: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w:t>
            </w: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Electronics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1"/>
                <w:szCs w:val="11"/>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7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4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StellPen Holdings, LLC</w:t>
            </w:r>
          </w:p>
        </w:tc>
        <w:tc>
          <w:tcPr>
            <w:tcW w:w="120" w:type="dxa"/>
            <w:vAlign w:val="bottom"/>
          </w:tcPr>
          <w:p>
            <w:pPr>
              <w:spacing w:after="0"/>
              <w:rPr>
                <w:sz w:val="10"/>
                <w:szCs w:val="10"/>
                <w:color w:val="auto"/>
              </w:rPr>
            </w:pPr>
          </w:p>
        </w:tc>
        <w:tc>
          <w:tcPr>
            <w:tcW w:w="780" w:type="dxa"/>
            <w:vAlign w:val="bottom"/>
          </w:tcPr>
          <w:p>
            <w:pPr>
              <w:ind w:left="66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2"/>
              </w:rPr>
              <w:t>Media</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60" w:type="dxa"/>
            <w:vAlign w:val="bottom"/>
          </w:tcPr>
          <w:p>
            <w:pPr>
              <w:ind w:left="7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153,846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154</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420" w:type="dxa"/>
            <w:vAlign w:val="bottom"/>
          </w:tcPr>
          <w:p>
            <w:pPr>
              <w:ind w:left="100"/>
              <w:spacing w:after="0" w:line="117" w:lineRule="exact"/>
              <w:rPr>
                <w:sz w:val="20"/>
                <w:szCs w:val="20"/>
                <w:color w:val="auto"/>
              </w:rPr>
            </w:pPr>
            <w:r>
              <w:rPr>
                <w:rFonts w:ascii="Times New Roman" w:cs="Times New Roman" w:eastAsia="Times New Roman" w:hAnsi="Times New Roman"/>
                <w:sz w:val="11"/>
                <w:szCs w:val="11"/>
                <w:color w:val="auto"/>
              </w:rPr>
              <w:t>(CF512, Inc.)</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16"/>
                <w:szCs w:val="16"/>
                <w:color w:val="auto"/>
              </w:rPr>
            </w:pPr>
          </w:p>
        </w:tc>
        <w:tc>
          <w:tcPr>
            <w:tcW w:w="780" w:type="dxa"/>
            <w:vAlign w:val="bottom"/>
          </w:tcPr>
          <w:p>
            <w:pPr>
              <w:ind w:left="66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6"/>
                <w:szCs w:val="16"/>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1"/>
                <w:szCs w:val="11"/>
                <w:color w:val="auto"/>
                <w:w w:val="9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-6435725</wp:posOffset>
            </wp:positionV>
            <wp:extent cx="7132320" cy="857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-6264275</wp:posOffset>
            </wp:positionV>
            <wp:extent cx="7132320" cy="857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-6092825</wp:posOffset>
            </wp:positionV>
            <wp:extent cx="7132320" cy="857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-5921375</wp:posOffset>
            </wp:positionV>
            <wp:extent cx="7132320" cy="857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-5749925</wp:posOffset>
            </wp:positionV>
            <wp:extent cx="7132320" cy="85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-5235575</wp:posOffset>
            </wp:positionV>
            <wp:extent cx="7132320" cy="857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-5064125</wp:posOffset>
            </wp:positionV>
            <wp:extent cx="7132320" cy="857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-4892675</wp:posOffset>
            </wp:positionV>
            <wp:extent cx="7132320" cy="857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-4549775</wp:posOffset>
            </wp:positionV>
            <wp:extent cx="7132320" cy="857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-4206875</wp:posOffset>
            </wp:positionV>
            <wp:extent cx="7132320" cy="857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-3863975</wp:posOffset>
            </wp:positionV>
            <wp:extent cx="7132320" cy="857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-3692525</wp:posOffset>
            </wp:positionV>
            <wp:extent cx="7132320" cy="857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-3272155</wp:posOffset>
            </wp:positionV>
            <wp:extent cx="7132320" cy="857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-3100705</wp:posOffset>
            </wp:positionV>
            <wp:extent cx="7132320" cy="857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-2929255</wp:posOffset>
            </wp:positionV>
            <wp:extent cx="7132320" cy="857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-2586355</wp:posOffset>
            </wp:positionV>
            <wp:extent cx="7132320" cy="857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-2243455</wp:posOffset>
            </wp:positionV>
            <wp:extent cx="7132320" cy="857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-2072005</wp:posOffset>
            </wp:positionV>
            <wp:extent cx="7132320" cy="857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-1900555</wp:posOffset>
            </wp:positionV>
            <wp:extent cx="7132320" cy="857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-1729105</wp:posOffset>
            </wp:positionV>
            <wp:extent cx="7132320" cy="857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-1557655</wp:posOffset>
            </wp:positionV>
            <wp:extent cx="7132320" cy="857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-1386205</wp:posOffset>
            </wp:positionV>
            <wp:extent cx="7132320" cy="857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57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69" w:name="page70"/>
    <w:bookmarkEnd w:id="69"/>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(3)</w:t>
            </w:r>
          </w:p>
        </w:tc>
        <w:tc>
          <w:tcPr>
            <w:tcW w:w="0" w:type="dxa"/>
            <w:vAlign w:val="bottom"/>
          </w:tcPr>
          <w:p>
            <w:pPr>
              <w:spacing w:after="0"/>
              <w:rPr>
                <w:sz w:val="1"/>
                <w:szCs w:val="1"/>
                <w:color w:val="auto"/>
              </w:rPr>
            </w:pPr>
          </w:p>
        </w:tc>
      </w:tr>
      <w:tr>
        <w:trPr>
          <w:trHeight w:val="156"/>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36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Tower Arch Infolinks Media, LP </w:t>
            </w:r>
            <w:r>
              <w:rPr>
                <w:rFonts w:ascii="Times New Roman" w:cs="Times New Roman" w:eastAsia="Times New Roman" w:hAnsi="Times New Roman"/>
                <w:sz w:val="11"/>
                <w:szCs w:val="11"/>
                <w:color w:val="auto"/>
                <w:vertAlign w:val="superscript"/>
              </w:rPr>
              <w:t>(9)</w:t>
            </w:r>
          </w:p>
        </w:tc>
        <w:tc>
          <w:tcPr>
            <w:tcW w:w="1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8"/>
                <w:szCs w:val="8"/>
                <w:color w:val="auto"/>
              </w:rPr>
            </w:pPr>
          </w:p>
        </w:tc>
        <w:tc>
          <w:tcPr>
            <w:tcW w:w="180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8"/>
                <w:szCs w:val="8"/>
                <w:color w:val="auto"/>
              </w:rPr>
            </w:pPr>
          </w:p>
        </w:tc>
        <w:tc>
          <w:tcPr>
            <w:tcW w:w="74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8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531,293</w:t>
            </w:r>
          </w:p>
        </w:tc>
        <w:tc>
          <w:tcPr>
            <w:tcW w:w="220" w:type="dxa"/>
            <w:vAlign w:val="bottom"/>
          </w:tcPr>
          <w:p>
            <w:pPr>
              <w:spacing w:after="0"/>
              <w:rPr>
                <w:sz w:val="8"/>
                <w:szCs w:val="8"/>
                <w:color w:val="auto"/>
              </w:rPr>
            </w:pPr>
          </w:p>
        </w:tc>
        <w:tc>
          <w:tcPr>
            <w:tcW w:w="180" w:type="dxa"/>
            <w:vAlign w:val="bottom"/>
            <w:tcBorders>
              <w:top w:val="single" w:sz="8" w:color="auto"/>
            </w:tcBorders>
          </w:tcPr>
          <w:p>
            <w:pPr>
              <w:jc w:val="right"/>
              <w:ind w:right="46"/>
              <w:spacing w:after="0" w:line="103"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511</w:t>
            </w:r>
          </w:p>
        </w:tc>
        <w:tc>
          <w:tcPr>
            <w:tcW w:w="220" w:type="dxa"/>
            <w:vAlign w:val="bottom"/>
          </w:tcPr>
          <w:p>
            <w:pPr>
              <w:spacing w:after="0"/>
              <w:rPr>
                <w:sz w:val="8"/>
                <w:szCs w:val="8"/>
                <w:color w:val="auto"/>
              </w:rPr>
            </w:pPr>
          </w:p>
        </w:tc>
        <w:tc>
          <w:tcPr>
            <w:tcW w:w="8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896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Tower Arch Infolinks Media, LP </w:t>
            </w:r>
            <w:r>
              <w:rPr>
                <w:rFonts w:ascii="Times New Roman" w:cs="Times New Roman" w:eastAsia="Times New Roman" w:hAnsi="Times New Roman"/>
                <w:sz w:val="14"/>
                <w:szCs w:val="14"/>
                <w:color w:val="auto"/>
                <w:vertAlign w:val="superscript"/>
              </w:rPr>
              <w:t>(7), (9)</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364,151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608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3"/>
        </w:trPr>
        <w:tc>
          <w:tcPr>
            <w:tcW w:w="336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color w:val="auto"/>
              </w:rPr>
              <w:t>(The Vertex Companies, LLC)</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14"/>
                <w:szCs w:val="14"/>
                <w:color w:val="auto"/>
                <w:vertAlign w:val="superscript"/>
              </w:rPr>
              <w:t>(5), (11)</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60,057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UniVista Insurance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WCP Ivyrehab QP CF Feeder, LP</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0"/>
                <w:szCs w:val="10"/>
                <w:color w:val="auto"/>
              </w:rPr>
            </w:pPr>
          </w:p>
        </w:tc>
        <w:tc>
          <w:tcPr>
            <w:tcW w:w="9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3,762,257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3,762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WCP Ivyrehab QP CF Feeder, LP - Unfunded </w:t>
            </w:r>
            <w:r>
              <w:rPr>
                <w:rFonts w:ascii="Times New Roman" w:cs="Times New Roman" w:eastAsia="Times New Roman" w:hAnsi="Times New Roman"/>
                <w:sz w:val="14"/>
                <w:szCs w:val="14"/>
                <w:color w:val="auto"/>
                <w:vertAlign w:val="superscript"/>
              </w:rPr>
              <w:t>(7)</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237,743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Parent, LP</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231</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(Wildcat Buyerco, Inc.)</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91,596</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153,373</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36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Total Investments in Non-Controlled, Non-Affiliated Portfolio</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882,513</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932,155</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414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Investments in Non-Controlled, Affiliated Portfolio Companies—5.9% of Net Assets </w:t>
            </w:r>
            <w:r>
              <w:rPr>
                <w:rFonts w:ascii="Times New Roman" w:cs="Times New Roman" w:eastAsia="Times New Roman" w:hAnsi="Times New Roman"/>
                <w:sz w:val="11"/>
                <w:szCs w:val="11"/>
                <w:b w:val="1"/>
                <w:bCs w:val="1"/>
                <w:color w:val="auto"/>
                <w:vertAlign w:val="superscript"/>
              </w:rPr>
              <w:t>(1), (2)</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Preferred Equity/Partnership Interests—5.6% of Net Assets</w:t>
            </w:r>
            <w:r>
              <w:rPr>
                <w:rFonts w:ascii="Times New Roman" w:cs="Times New Roman" w:eastAsia="Times New Roman" w:hAnsi="Times New Roman"/>
                <w:sz w:val="14"/>
                <w:szCs w:val="14"/>
                <w:b w:val="1"/>
                <w:bCs w:val="1"/>
                <w:color w:val="auto"/>
                <w:vertAlign w:val="superscript"/>
              </w:rPr>
              <w:t>(6)</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5,887,236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32,791</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32,791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60" w:type="dxa"/>
            <w:vAlign w:val="bottom"/>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w w:val="96"/>
              </w:rPr>
              <w:t xml:space="preserve">Common Equity/Partnership Interests/Warrants—0.3% of Net Assets </w:t>
            </w:r>
            <w:r>
              <w:rPr>
                <w:rFonts w:ascii="Times New Roman" w:cs="Times New Roman" w:eastAsia="Times New Roman" w:hAnsi="Times New Roman"/>
                <w:sz w:val="14"/>
                <w:szCs w:val="14"/>
                <w:b w:val="1"/>
                <w:bCs w:val="1"/>
                <w:color w:val="auto"/>
                <w:w w:val="96"/>
                <w:vertAlign w:val="superscript"/>
              </w:rPr>
              <w:t>(6)</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Cascade Environmental Holdings, LLC</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7,444,347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JF Intermediate, LLC</w:t>
            </w:r>
          </w:p>
        </w:tc>
        <w:tc>
          <w:tcPr>
            <w:tcW w:w="14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bottom w:val="single" w:sz="8" w:color="CCECFF"/>
            </w:tcBorders>
            <w:shd w:val="clear" w:color="auto" w:fill="CCECFF"/>
          </w:tcPr>
          <w:p>
            <w:pPr>
              <w:spacing w:after="0"/>
              <w:rPr>
                <w:sz w:val="12"/>
                <w:szCs w:val="12"/>
                <w:color w:val="auto"/>
              </w:rPr>
            </w:pPr>
          </w:p>
        </w:tc>
        <w:tc>
          <w:tcPr>
            <w:tcW w:w="18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6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19,687</w:t>
            </w:r>
          </w:p>
        </w:tc>
        <w:tc>
          <w:tcPr>
            <w:tcW w:w="22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22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4,821</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37,612</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34,760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360" w:type="dxa"/>
            <w:vAlign w:val="bottom"/>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Investments in Controlled, Affiliated Portfolio Companies—44.3% of</w:t>
            </w: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3360" w:type="dxa"/>
            <w:vAlign w:val="bottom"/>
          </w:tcPr>
          <w:p>
            <w:pPr>
              <w:ind w:left="20"/>
              <w:spacing w:after="0" w:line="147" w:lineRule="exact"/>
              <w:rPr>
                <w:sz w:val="20"/>
                <w:szCs w:val="20"/>
                <w:color w:val="auto"/>
              </w:rPr>
            </w:pPr>
            <w:r>
              <w:rPr>
                <w:rFonts w:ascii="Times New Roman" w:cs="Times New Roman" w:eastAsia="Times New Roman" w:hAnsi="Times New Roman"/>
                <w:sz w:val="11"/>
                <w:szCs w:val="11"/>
                <w:b w:val="1"/>
                <w:bCs w:val="1"/>
                <w:color w:val="auto"/>
              </w:rPr>
              <w:t xml:space="preserve">Net Assets </w:t>
            </w:r>
            <w:r>
              <w:rPr>
                <w:rFonts w:ascii="Times New Roman" w:cs="Times New Roman" w:eastAsia="Times New Roman" w:hAnsi="Times New Roman"/>
                <w:sz w:val="14"/>
                <w:szCs w:val="14"/>
                <w:b w:val="1"/>
                <w:bCs w:val="1"/>
                <w:color w:val="auto"/>
                <w:vertAlign w:val="superscript"/>
              </w:rPr>
              <w:t>(1), (2)</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60" w:type="dxa"/>
            <w:vAlign w:val="bottom"/>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First Lien Secured Debt—7.3% of Net Assets</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9"/>
              </w:rPr>
              <w:t>03/13/2024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8.67 %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38,250</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42,698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52,792</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42,698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Debt—0% of Net Assets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Mailsouth Inc.</w:t>
            </w:r>
          </w:p>
        </w:tc>
        <w:tc>
          <w:tcPr>
            <w:tcW w:w="780" w:type="dxa"/>
            <w:vAlign w:val="bottom"/>
            <w:tcBorders>
              <w:bottom w:val="single" w:sz="8" w:color="CCECFF"/>
            </w:tcBorders>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w w:val="99"/>
              </w:rPr>
              <w:t>04/23/2025</w:t>
            </w: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Borders>
              <w:bottom w:val="single" w:sz="8" w:color="CCECFF"/>
            </w:tcBorders>
            <w:shd w:val="clear" w:color="auto" w:fill="CCECFF"/>
          </w:tcPr>
          <w:p>
            <w:pPr>
              <w:spacing w:after="0"/>
              <w:rPr>
                <w:sz w:val="11"/>
                <w:szCs w:val="11"/>
                <w:color w:val="auto"/>
              </w:rPr>
            </w:pPr>
          </w:p>
        </w:tc>
        <w:tc>
          <w:tcPr>
            <w:tcW w:w="96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12,846</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12,383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7"/>
        </w:trPr>
        <w:tc>
          <w:tcPr>
            <w:tcW w:w="3360" w:type="dxa"/>
            <w:vAlign w:val="bottom"/>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Subordinated Debt—15.0% of Net Assets</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w w:val="99"/>
              </w:rPr>
              <w:t>07/31/2027</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10.79 %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88,011</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88,011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36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Equity—22.0% of Net Assets </w:t>
            </w:r>
            <w:r>
              <w:rPr>
                <w:rFonts w:ascii="Times New Roman" w:cs="Times New Roman" w:eastAsia="Times New Roman" w:hAnsi="Times New Roman"/>
                <w:sz w:val="11"/>
                <w:szCs w:val="11"/>
                <w:b w:val="1"/>
                <w:bCs w:val="1"/>
                <w:color w:val="auto"/>
                <w:vertAlign w:val="superscript"/>
              </w:rPr>
              <w:t>(6)</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MSpark, LLC</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1"/>
                <w:szCs w:val="11"/>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Pr>
          <w:p>
            <w:pPr>
              <w:spacing w:after="0"/>
              <w:rPr>
                <w:sz w:val="11"/>
                <w:szCs w:val="1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51,151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16,516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36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PennantPark Senior Loan Fund, LLC</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0"/>
                <w:szCs w:val="10"/>
                <w:color w:val="auto"/>
              </w:rPr>
            </w:pPr>
          </w:p>
        </w:tc>
        <w:tc>
          <w:tcPr>
            <w:tcW w:w="18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0"/>
                <w:szCs w:val="10"/>
                <w:color w:val="auto"/>
              </w:rPr>
            </w:pPr>
          </w:p>
        </w:tc>
        <w:tc>
          <w:tcPr>
            <w:tcW w:w="96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49,298,789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49,362</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51,098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RAM Energy Holdings LLC </w:t>
            </w:r>
            <w:r>
              <w:rPr>
                <w:rFonts w:ascii="Times New Roman" w:cs="Times New Roman" w:eastAsia="Times New Roman" w:hAnsi="Times New Roman"/>
                <w:sz w:val="14"/>
                <w:szCs w:val="14"/>
                <w:color w:val="auto"/>
                <w:vertAlign w:val="superscript"/>
              </w:rPr>
              <w:t>(9)</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12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74,282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228,718</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128,677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381,904</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259,386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Investments—209.4% of Net Assets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1,302,029</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1,226,301</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Equivalents—9.0% of Net Assets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18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39,122</w:t>
            </w:r>
          </w:p>
        </w:tc>
        <w:tc>
          <w:tcPr>
            <w:tcW w:w="2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39,122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13,722</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18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52,844</w:t>
            </w:r>
          </w:p>
        </w:tc>
        <w:tc>
          <w:tcPr>
            <w:tcW w:w="22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52,666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Equivalents—218.4% of Net Assets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gridSpan w:val="2"/>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1,354,873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1,278,967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360" w:type="dxa"/>
            <w:vAlign w:val="bottom"/>
            <w:shd w:val="clear" w:color="auto" w:fill="CCECFF"/>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Assets—(118.4%) of Net Assets</w:t>
            </w:r>
          </w:p>
        </w:tc>
        <w:tc>
          <w:tcPr>
            <w:tcW w:w="140" w:type="dxa"/>
            <w:vAlign w:val="bottom"/>
            <w:shd w:val="clear" w:color="auto" w:fill="CCECFF"/>
          </w:tcPr>
          <w:p>
            <w:pPr>
              <w:spacing w:after="0"/>
              <w:rPr>
                <w:sz w:val="10"/>
                <w:szCs w:val="10"/>
                <w:color w:val="auto"/>
              </w:rPr>
            </w:pP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18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7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(693,402</w:t>
            </w:r>
          </w:p>
        </w:tc>
        <w:tc>
          <w:tcPr>
            <w:tcW w:w="100" w:type="dxa"/>
            <w:vAlign w:val="bottom"/>
            <w:shd w:val="clear" w:color="auto" w:fill="CCEC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585,565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-4636770</wp:posOffset>
            </wp:positionV>
            <wp:extent cx="7132320" cy="4114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-3968115</wp:posOffset>
            </wp:positionV>
            <wp:extent cx="7132320" cy="857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713232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-3359785</wp:posOffset>
            </wp:positionV>
            <wp:extent cx="7132320" cy="2571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7132320" cy="2743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-2571115</wp:posOffset>
            </wp:positionV>
            <wp:extent cx="68580" cy="1028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1028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-2382520</wp:posOffset>
            </wp:positionV>
            <wp:extent cx="7132320" cy="2571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-1945640</wp:posOffset>
            </wp:positionV>
            <wp:extent cx="68580" cy="946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946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-1765300</wp:posOffset>
            </wp:positionV>
            <wp:extent cx="713232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-1482090</wp:posOffset>
            </wp:positionV>
            <wp:extent cx="7132320" cy="2660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-1130935</wp:posOffset>
            </wp:positionV>
            <wp:extent cx="7132320" cy="857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-864870</wp:posOffset>
            </wp:positionV>
            <wp:extent cx="68580" cy="1028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028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-676275</wp:posOffset>
            </wp:positionV>
            <wp:extent cx="68580" cy="939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939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9398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-316865</wp:posOffset>
            </wp:positionV>
            <wp:extent cx="68580" cy="1200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20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ind w:left="380" w:right="220" w:hanging="372"/>
        <w:spacing w:after="0" w:line="255" w:lineRule="auto"/>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3"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24" w:lineRule="exact"/>
        <w:rPr>
          <w:rFonts w:ascii="Times New Roman" w:cs="Times New Roman" w:eastAsia="Times New Roman" w:hAnsi="Times New Roman"/>
          <w:sz w:val="12"/>
          <w:szCs w:val="12"/>
          <w:color w:val="auto"/>
        </w:rPr>
      </w:pPr>
    </w:p>
    <w:p>
      <w:pPr>
        <w:ind w:left="380" w:right="60" w:hanging="3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 or Secured Overnight Financing Rate, or "SOFR",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SOFR loans are typically indexed to a 30-day, 90-day or 180-day SOFR rates (1M L, 3M L, or 6M L, respectively)at the borrower’s option. All securities are subject to a LIBOR, SOFR or Prime rate floor where a spread is provided, unless noted. The spread provided includes PIK interest and other fee rates, if any.</w:t>
      </w:r>
    </w:p>
    <w:p>
      <w:pPr>
        <w:spacing w:after="0" w:line="2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24" w:lineRule="exact"/>
        <w:rPr>
          <w:rFonts w:ascii="Times New Roman" w:cs="Times New Roman" w:eastAsia="Times New Roman" w:hAnsi="Times New Roman"/>
          <w:sz w:val="12"/>
          <w:szCs w:val="12"/>
          <w:color w:val="auto"/>
        </w:rPr>
      </w:pPr>
    </w:p>
    <w:p>
      <w:pPr>
        <w:ind w:left="380" w:right="20" w:hanging="372"/>
        <w:spacing w:after="0" w:line="255" w:lineRule="auto"/>
        <w:tabs>
          <w:tab w:leader="none" w:pos="38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2022, qualifying assets represent 88% of the Company’s total assets and non-qualifying assets represent 12% of the Company’s total assets.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0" w:name="page71"/>
    <w:bookmarkEnd w:id="70"/>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00" w:type="dxa"/>
            <w:vAlign w:val="bottom"/>
          </w:tcPr>
          <w:p>
            <w:pPr>
              <w:spacing w:after="0"/>
              <w:rPr>
                <w:sz w:val="11"/>
                <w:szCs w:val="11"/>
                <w:color w:val="auto"/>
              </w:rPr>
            </w:pPr>
          </w:p>
        </w:tc>
        <w:tc>
          <w:tcPr>
            <w:tcW w:w="7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(3)</w:t>
            </w:r>
          </w:p>
        </w:tc>
        <w:tc>
          <w:tcPr>
            <w:tcW w:w="0" w:type="dxa"/>
            <w:vAlign w:val="bottom"/>
          </w:tcPr>
          <w:p>
            <w:pPr>
              <w:spacing w:after="0"/>
              <w:rPr>
                <w:sz w:val="1"/>
                <w:szCs w:val="1"/>
                <w:color w:val="auto"/>
              </w:rPr>
            </w:pPr>
          </w:p>
        </w:tc>
      </w:tr>
      <w:tr>
        <w:trPr>
          <w:trHeight w:val="156"/>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00" w:type="dxa"/>
            <w:vAlign w:val="bottom"/>
          </w:tcPr>
          <w:p>
            <w:pPr>
              <w:spacing w:after="0"/>
              <w:rPr>
                <w:sz w:val="13"/>
                <w:szCs w:val="13"/>
                <w:color w:val="auto"/>
              </w:rPr>
            </w:pPr>
          </w:p>
        </w:tc>
        <w:tc>
          <w:tcPr>
            <w:tcW w:w="72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90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Non-Controlled, Non-Affiliated Portfolio Companies—124.3% </w:t>
            </w:r>
            <w:r>
              <w:rPr>
                <w:rFonts w:ascii="Times New Roman" w:cs="Times New Roman" w:eastAsia="Times New Roman" w:hAnsi="Times New Roman"/>
                <w:sz w:val="13"/>
                <w:szCs w:val="13"/>
                <w:b w:val="1"/>
                <w:bCs w:val="1"/>
                <w:color w:val="auto"/>
                <w:vertAlign w:val="superscript"/>
              </w:rPr>
              <w:t>(1), (2)</w:t>
            </w:r>
          </w:p>
        </w:tc>
        <w:tc>
          <w:tcPr>
            <w:tcW w:w="2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Debt—77.5%</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08/11/2025</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9.50 %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7,433</w:t>
            </w:r>
          </w:p>
        </w:tc>
        <w:tc>
          <w:tcPr>
            <w:tcW w:w="3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6,815</w:t>
            </w:r>
          </w:p>
        </w:tc>
        <w:tc>
          <w:tcPr>
            <w:tcW w:w="440" w:type="dxa"/>
            <w:vAlign w:val="bottom"/>
            <w:gridSpan w:val="2"/>
            <w:shd w:val="clear" w:color="auto" w:fill="CCEC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Ad.net Acquisition, LLC (Revolver)</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05/06/2026</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76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76</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Ad.net Acquisition,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05/06/2026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Technologies, LLC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07/24/2025</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07/24/2025</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American Insulated Glass,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12/21/2023</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15,795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15,639</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15,637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Any Hour Services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07/21/2027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(38 )</w:t>
            </w: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Any Hour Services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07/21/2027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07/31/2025</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6.25 %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1,317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Apex Service Partners, LLC Term Loan C</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07/31/2025</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L+525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5,592</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5,509</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5,536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Apex Service Partners, LLC Term Loan 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01/31/2022</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6,658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Apex Service Partners, LLC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07/29/2024</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239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239</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Apex Service Partners,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07/29/2024</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Applied Technical Services,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06/29/2022</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(55 )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Applied Technical Services,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12/29/2026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44"/>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02/13/2023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6,128</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12/02/2022</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9.75 %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2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25,333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CF512, Inc.</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08/20/2026</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10,000</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9,802</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9,800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CF512,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08/20/2026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2,727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CF512, Inc.(Revolver)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08/20/2026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Compex Legal Services, Inc.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02/09/2026</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6.75 %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3,514</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Compex Legal Services, Inc. (Revolver)</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02/07/2025</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459</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459</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02/07/2025</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07/13/2027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11,766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11,760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01/13/2023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Connatix Buyer, Inc.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07/13/2027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Connatix Buyer,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07/13/2027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Crane 1 Services,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08/16/2027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1,847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1,820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Crane 1 Services,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08/16/2023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Crane 1 Services,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08/16/2027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Crash Champions,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08/05/2025</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Auto Sector</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4,751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4,704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4,656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Crash Champions,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05/14/2022</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6,749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(67 )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DermaRite Industries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03/03/2022</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8.00 %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8,041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Dr. Squatch, LLC</w:t>
            </w:r>
          </w:p>
        </w:tc>
        <w:tc>
          <w:tcPr>
            <w:tcW w:w="9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08/27/2026</w:t>
            </w: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13,515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13,247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13,244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 Squatch, LLC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08/27/2026</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1,706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1,706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1,671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 Squatch,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08/27/2026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DRS Holdings III,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11/03/2025</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9,975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9,882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9,905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11/03/2025</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ECL Entertainment,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03/31/2028</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Hotels, Motels, Inns and Gaming</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8,747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8,664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8,944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ECM Industries,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12/23/2025</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06/17/2028</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5.50 %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3,487</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Gantech Acquisition Corp.</w:t>
            </w:r>
          </w:p>
        </w:tc>
        <w:tc>
          <w:tcPr>
            <w:tcW w:w="9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05/14/2026</w:t>
            </w: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19,900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19,522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19,502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Gantech Acquisition Corp.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05/14/2026</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Gantech Acquisition Corp.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05/14/2026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1,493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(30 )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Graffiti Buyer,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08/10/2027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1,994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1,955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1,964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08/10/2023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Graffiti Buyer,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08/10/2027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769</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Hancock Roofing and Construction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12/31/2022</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Roofing and Construction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12/31/2026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12/10/2024</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5.50 %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2,541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HW Holdco, LLC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12/10/2024</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5.50 %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1,219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1,219</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12/10/2024</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2,168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IG Investments Holdings,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09/22/2028</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L+600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4,518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4,428</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IG Investments Holdings,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09/22/2027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IMIA Holdings,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04/09/2027</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13,589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13,341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13,317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IMIA Holdings,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04/09/2027</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(33 )</w:t>
            </w: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Integrity Marketing Acquisition, LLC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08/27/2025</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Insurance</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6.49 %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17,220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17,116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17,134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07/09/2023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4,278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12/22/2021</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6.50 %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2,611</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0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K2 Pure Solutions NoCal, L.P.</w:t>
            </w:r>
          </w:p>
        </w:tc>
        <w:tc>
          <w:tcPr>
            <w:tcW w:w="90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1"/>
                <w:szCs w:val="11"/>
                <w:color w:val="auto"/>
              </w:rPr>
              <w:t>12/20/2023</w:t>
            </w: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11,800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11,712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11,486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K2 Pure Solutions NoCal, L.P. (Revolver)</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12/20/2023</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872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872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849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12/20/2023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(28 )</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02/18/2027</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8.00 %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30,000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29,335</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0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Lash OpCo, LLC (Revolver)</w:t>
            </w:r>
          </w:p>
        </w:tc>
        <w:tc>
          <w:tcPr>
            <w:tcW w:w="900" w:type="dxa"/>
            <w:vAlign w:val="bottom"/>
            <w:gridSpan w:val="2"/>
          </w:tcPr>
          <w:p>
            <w:pPr>
              <w:ind w:left="200"/>
              <w:spacing w:after="0" w:line="103" w:lineRule="exact"/>
              <w:rPr>
                <w:sz w:val="20"/>
                <w:szCs w:val="20"/>
                <w:color w:val="auto"/>
              </w:rPr>
            </w:pPr>
            <w:r>
              <w:rPr>
                <w:rFonts w:ascii="Times New Roman" w:cs="Times New Roman" w:eastAsia="Times New Roman" w:hAnsi="Times New Roman"/>
                <w:sz w:val="11"/>
                <w:szCs w:val="11"/>
                <w:color w:val="auto"/>
              </w:rPr>
              <w:t>08/16/2026</w:t>
            </w: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08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1M L+700</w:t>
            </w:r>
          </w:p>
        </w:tc>
        <w:tc>
          <w:tcPr>
            <w:tcW w:w="92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291</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291</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285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0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Lash OpCo, LLC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08/19/2026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1,528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(31 )</w:t>
            </w:r>
          </w:p>
        </w:tc>
        <w:tc>
          <w:tcPr>
            <w:tcW w:w="0" w:type="dxa"/>
            <w:vAlign w:val="bottom"/>
          </w:tcPr>
          <w:p>
            <w:pPr>
              <w:spacing w:after="0"/>
              <w:rPr>
                <w:sz w:val="1"/>
                <w:szCs w:val="1"/>
                <w:color w:val="auto"/>
              </w:rPr>
            </w:pPr>
          </w:p>
        </w:tc>
      </w:tr>
      <w:tr>
        <w:trPr>
          <w:trHeight w:val="135"/>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10/31/2024</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8.50 %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L+750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5.00%)</w:t>
            </w: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0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Lightspeed Buyer Inc.</w:t>
            </w:r>
          </w:p>
        </w:tc>
        <w:tc>
          <w:tcPr>
            <w:tcW w:w="900" w:type="dxa"/>
            <w:vAlign w:val="bottom"/>
            <w:gridSpan w:val="2"/>
          </w:tcPr>
          <w:p>
            <w:pPr>
              <w:ind w:left="200"/>
              <w:spacing w:after="0" w:line="117" w:lineRule="exact"/>
              <w:rPr>
                <w:sz w:val="20"/>
                <w:szCs w:val="20"/>
                <w:color w:val="auto"/>
              </w:rPr>
            </w:pPr>
            <w:r>
              <w:rPr>
                <w:rFonts w:ascii="Times New Roman" w:cs="Times New Roman" w:eastAsia="Times New Roman" w:hAnsi="Times New Roman"/>
                <w:sz w:val="11"/>
                <w:szCs w:val="11"/>
                <w:color w:val="auto"/>
              </w:rPr>
              <w:t>02/03/2026</w:t>
            </w: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2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4,994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4,922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4,994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Lightspeed Buyer Inc. (Revolver) </w:t>
            </w:r>
            <w:r>
              <w:rPr>
                <w:rFonts w:ascii="Times New Roman" w:cs="Times New Roman" w:eastAsia="Times New Roman" w:hAnsi="Times New Roman"/>
                <w:sz w:val="14"/>
                <w:szCs w:val="14"/>
                <w:color w:val="auto"/>
                <w:vertAlign w:val="superscript"/>
              </w:rPr>
              <w:t>(7)</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02/03/2026</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90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1"/>
                <w:szCs w:val="11"/>
                <w:color w:val="auto"/>
              </w:rPr>
              <w:t>04/13/2023</w:t>
            </w: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7.25 %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2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04/13/2023</w:t>
            </w: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-6269355</wp:posOffset>
            </wp:positionV>
            <wp:extent cx="7132320" cy="946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-5917565</wp:posOffset>
            </wp:positionV>
            <wp:extent cx="7132320" cy="85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-5746115</wp:posOffset>
            </wp:positionV>
            <wp:extent cx="7132320" cy="857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-5574665</wp:posOffset>
            </wp:positionV>
            <wp:extent cx="7132320" cy="857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-5231765</wp:posOffset>
            </wp:positionV>
            <wp:extent cx="7132320" cy="857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-5060315</wp:posOffset>
            </wp:positionV>
            <wp:extent cx="7132320" cy="857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-4888865</wp:posOffset>
            </wp:positionV>
            <wp:extent cx="7132320" cy="857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-4545965</wp:posOffset>
            </wp:positionV>
            <wp:extent cx="7132320" cy="857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-4203065</wp:posOffset>
            </wp:positionV>
            <wp:extent cx="7132320" cy="857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-4031615</wp:posOffset>
            </wp:positionV>
            <wp:extent cx="7132320" cy="857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-3860165</wp:posOffset>
            </wp:positionV>
            <wp:extent cx="7132320" cy="85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-3688715</wp:posOffset>
            </wp:positionV>
            <wp:extent cx="7132320" cy="857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-3517265</wp:posOffset>
            </wp:positionV>
            <wp:extent cx="7132320" cy="857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-3174365</wp:posOffset>
            </wp:positionV>
            <wp:extent cx="7132320"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-3002915</wp:posOffset>
            </wp:positionV>
            <wp:extent cx="7132320"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-2831465</wp:posOffset>
            </wp:positionV>
            <wp:extent cx="7132320"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-2488565</wp:posOffset>
            </wp:positionV>
            <wp:extent cx="7132320" cy="857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-2317115</wp:posOffset>
            </wp:positionV>
            <wp:extent cx="7132320" cy="857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-2145665</wp:posOffset>
            </wp:positionV>
            <wp:extent cx="7132320" cy="857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-1974215</wp:posOffset>
            </wp:positionV>
            <wp:extent cx="7132320" cy="857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-1802765</wp:posOffset>
            </wp:positionV>
            <wp:extent cx="7132320" cy="857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-1631315</wp:posOffset>
            </wp:positionV>
            <wp:extent cx="7132320" cy="857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-1459865</wp:posOffset>
            </wp:positionV>
            <wp:extent cx="7132320" cy="857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-1288415</wp:posOffset>
            </wp:positionV>
            <wp:extent cx="7132320" cy="857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-945515</wp:posOffset>
            </wp:positionV>
            <wp:extent cx="7132320" cy="857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-602615</wp:posOffset>
            </wp:positionV>
            <wp:extent cx="7132320" cy="857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57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572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1" w:name="page72"/>
    <w:bookmarkEnd w:id="71"/>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1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220" w:type="dxa"/>
            <w:vAlign w:val="bottom"/>
          </w:tcPr>
          <w:p>
            <w:pPr>
              <w:spacing w:after="0"/>
              <w:rPr>
                <w:sz w:val="11"/>
                <w:szCs w:val="11"/>
                <w:color w:val="auto"/>
              </w:rPr>
            </w:pPr>
          </w:p>
        </w:tc>
        <w:tc>
          <w:tcPr>
            <w:tcW w:w="7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gridSpan w:val="3"/>
            <w:vMerge w:val="restart"/>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56"/>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20" w:type="dxa"/>
            <w:vAlign w:val="bottom"/>
          </w:tcPr>
          <w:p>
            <w:pPr>
              <w:spacing w:after="0"/>
              <w:rPr>
                <w:sz w:val="13"/>
                <w:szCs w:val="13"/>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302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Mars Acquisition Holdings Corp. (Revolver)</w:t>
            </w:r>
            <w:r>
              <w:rPr>
                <w:rFonts w:ascii="Times New Roman" w:cs="Times New Roman" w:eastAsia="Times New Roman" w:hAnsi="Times New Roman"/>
                <w:sz w:val="11"/>
                <w:szCs w:val="11"/>
                <w:color w:val="auto"/>
                <w:vertAlign w:val="superscript"/>
              </w:rPr>
              <w:t>(7)</w:t>
            </w:r>
          </w:p>
        </w:tc>
        <w:tc>
          <w:tcPr>
            <w:tcW w:w="140" w:type="dxa"/>
            <w:vAlign w:val="bottom"/>
          </w:tcPr>
          <w:p>
            <w:pPr>
              <w:spacing w:after="0"/>
              <w:rPr>
                <w:sz w:val="8"/>
                <w:szCs w:val="8"/>
                <w:color w:val="auto"/>
              </w:rPr>
            </w:pPr>
          </w:p>
        </w:tc>
        <w:tc>
          <w:tcPr>
            <w:tcW w:w="64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5/14/2026</w:t>
            </w:r>
          </w:p>
        </w:tc>
        <w:tc>
          <w:tcPr>
            <w:tcW w:w="140" w:type="dxa"/>
            <w:vAlign w:val="bottom"/>
          </w:tcPr>
          <w:p>
            <w:pPr>
              <w:spacing w:after="0"/>
              <w:rPr>
                <w:sz w:val="8"/>
                <w:szCs w:val="8"/>
                <w:color w:val="auto"/>
              </w:rPr>
            </w:pPr>
          </w:p>
        </w:tc>
        <w:tc>
          <w:tcPr>
            <w:tcW w:w="2580" w:type="dxa"/>
            <w:vAlign w:val="bottom"/>
            <w:tcBorders>
              <w:top w:val="single" w:sz="8" w:color="auto"/>
            </w:tcBorders>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8"/>
                <w:szCs w:val="8"/>
                <w:color w:val="auto"/>
              </w:rPr>
            </w:pPr>
          </w:p>
        </w:tc>
        <w:tc>
          <w:tcPr>
            <w:tcW w:w="7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86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72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806</w:t>
            </w:r>
          </w:p>
        </w:tc>
        <w:tc>
          <w:tcPr>
            <w:tcW w:w="220" w:type="dxa"/>
            <w:vAlign w:val="bottom"/>
          </w:tcPr>
          <w:p>
            <w:pPr>
              <w:spacing w:after="0"/>
              <w:rPr>
                <w:sz w:val="8"/>
                <w:szCs w:val="8"/>
                <w:color w:val="auto"/>
              </w:rPr>
            </w:pPr>
          </w:p>
        </w:tc>
        <w:tc>
          <w:tcPr>
            <w:tcW w:w="140" w:type="dxa"/>
            <w:vAlign w:val="bottom"/>
            <w:tcBorders>
              <w:top w:val="single" w:sz="8" w:color="auto"/>
            </w:tcBorders>
          </w:tcPr>
          <w:p>
            <w:pPr>
              <w:jc w:val="right"/>
              <w:ind w:right="2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180" w:type="dxa"/>
            <w:vAlign w:val="bottom"/>
            <w:tcBorders>
              <w:top w:val="single" w:sz="8" w:color="auto"/>
            </w:tcBorders>
          </w:tcPr>
          <w:p>
            <w:pPr>
              <w:jc w:val="right"/>
              <w:ind w:right="66"/>
              <w:spacing w:after="0" w:line="103"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tcPr>
          <w:p>
            <w:pPr>
              <w:jc w:val="right"/>
              <w:spacing w:after="0" w:line="103"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MBS Holdings,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04/16/2027</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MeritDirect,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05/23/2024</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2,759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2,736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2,732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05/23/2024</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(25 )</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09/28/2027</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6,953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6,814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6,814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Municipal Emergency Services,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09/28/2027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Municipal Emergency Services,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09/28/2027</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1,880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NBH Group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08/19/2026</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7,561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7,413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7,410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NBH Group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08/19/2026</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OIS Management Services,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07/09/2026</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5.75 %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L+475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3,893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3,843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3,834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OIS Management Services,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07/09/2023</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67"/>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OIS Management Services,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07/09/2026</w:t>
            </w:r>
          </w:p>
        </w:tc>
        <w:tc>
          <w:tcPr>
            <w:tcW w:w="14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One Stop Mailing,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05/07/2027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Cargo Transport</w:t>
            </w:r>
          </w:p>
        </w:tc>
        <w:tc>
          <w:tcPr>
            <w:tcW w:w="10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7.25 %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14,920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14,631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ORL Acquisition, Inc.</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09/03/2027</w:t>
            </w:r>
          </w:p>
        </w:tc>
        <w:tc>
          <w:tcPr>
            <w:tcW w:w="140" w:type="dxa"/>
            <w:vAlign w:val="bottom"/>
          </w:tcPr>
          <w:p>
            <w:pPr>
              <w:spacing w:after="0"/>
              <w:rPr>
                <w:sz w:val="8"/>
                <w:szCs w:val="8"/>
                <w:color w:val="auto"/>
              </w:rPr>
            </w:pPr>
          </w:p>
        </w:tc>
        <w:tc>
          <w:tcPr>
            <w:tcW w:w="25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5,041</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4,941</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4,940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ORL Acquisition,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09/03/2027</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Ox Two,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05/18/2026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15,671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Ox Two, LLC (Revolver)</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05/18/2026</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Building Materials</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645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645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05/18/2026</w:t>
            </w:r>
          </w:p>
        </w:tc>
        <w:tc>
          <w:tcPr>
            <w:tcW w:w="14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(35 )</w:t>
            </w:r>
          </w:p>
        </w:tc>
        <w:tc>
          <w:tcPr>
            <w:tcW w:w="0" w:type="dxa"/>
            <w:vAlign w:val="bottom"/>
          </w:tcPr>
          <w:p>
            <w:pPr>
              <w:spacing w:after="0"/>
              <w:rPr>
                <w:sz w:val="1"/>
                <w:szCs w:val="1"/>
                <w:color w:val="auto"/>
              </w:rPr>
            </w:pPr>
          </w:p>
        </w:tc>
      </w:tr>
      <w:tr>
        <w:trPr>
          <w:trHeight w:val="121"/>
        </w:trPr>
        <w:tc>
          <w:tcPr>
            <w:tcW w:w="30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w:t>
            </w:r>
          </w:p>
        </w:tc>
        <w:tc>
          <w:tcPr>
            <w:tcW w:w="780" w:type="dxa"/>
            <w:vAlign w:val="bottom"/>
            <w:gridSpan w:val="2"/>
            <w:shd w:val="clear" w:color="auto" w:fill="CCECFF"/>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08/07/2025</w:t>
            </w:r>
          </w:p>
        </w:tc>
        <w:tc>
          <w:tcPr>
            <w:tcW w:w="140" w:type="dxa"/>
            <w:vAlign w:val="bottom"/>
            <w:shd w:val="clear" w:color="auto" w:fill="CCECFF"/>
          </w:tcPr>
          <w:p>
            <w:pPr>
              <w:spacing w:after="0"/>
              <w:rPr>
                <w:sz w:val="10"/>
                <w:szCs w:val="10"/>
                <w:color w:val="auto"/>
              </w:rPr>
            </w:pPr>
          </w:p>
        </w:tc>
        <w:tc>
          <w:tcPr>
            <w:tcW w:w="258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8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23,675</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20,421</w:t>
            </w:r>
          </w:p>
        </w:tc>
        <w:tc>
          <w:tcPr>
            <w:tcW w:w="22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22,373</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11.50%)</w:t>
            </w:r>
          </w:p>
        </w:tc>
        <w:tc>
          <w:tcPr>
            <w:tcW w:w="8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0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PRA Events, Inc. (Revolver)</w:t>
            </w: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08/07/2025</w:t>
            </w:r>
          </w:p>
        </w:tc>
        <w:tc>
          <w:tcPr>
            <w:tcW w:w="14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11.50 %</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3M L+1,050</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2,461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2,123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2,326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11.50%)</w:t>
            </w: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Quantic Electronics,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6,188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6,095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6,064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Quantic Electronics,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2,094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Quantic Electronics,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11/19/2026</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Questex,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09/09/2024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Questex, LLC (Revolver)</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09/09/2024</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2,154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2,154</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09/09/2024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(86 )</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03/31/2025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(63 )</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Rancho Health MSO,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Recteq,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01/29/2026</w:t>
            </w:r>
          </w:p>
        </w:tc>
        <w:tc>
          <w:tcPr>
            <w:tcW w:w="14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Horizons,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06/28/2022</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0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7.25 %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28,796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28,682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Research Now Group, Inc. and Dynata, LLC</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tcPr>
          <w:p>
            <w:pPr>
              <w:spacing w:after="0"/>
              <w:rPr>
                <w:sz w:val="8"/>
                <w:szCs w:val="8"/>
                <w:color w:val="auto"/>
              </w:rPr>
            </w:pPr>
          </w:p>
        </w:tc>
        <w:tc>
          <w:tcPr>
            <w:tcW w:w="25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6.50 %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2,847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06/20/2025</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Riverside Assessments,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03/10/2025</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Education</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16,174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15,952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15,769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01/03/2025</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(18 )</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Sargent &amp; Greenleaf Inc. (Revolver)</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Electronics</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299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299</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12/20/2024</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Schlesinger Global,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07/14/2025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1.00%)</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07/14/2025</w:t>
            </w:r>
          </w:p>
        </w:tc>
        <w:tc>
          <w:tcPr>
            <w:tcW w:w="140" w:type="dxa"/>
            <w:vAlign w:val="bottom"/>
            <w:shd w:val="clear" w:color="auto" w:fill="CCECFF"/>
          </w:tcPr>
          <w:p>
            <w:pPr>
              <w:spacing w:after="0"/>
              <w:rPr>
                <w:sz w:val="12"/>
                <w:szCs w:val="12"/>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8.00 %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Schlesinger Global, Inc. (Revolver)</w:t>
            </w:r>
            <w:r>
              <w:rPr>
                <w:rFonts w:ascii="Times New Roman" w:cs="Times New Roman" w:eastAsia="Times New Roman" w:hAnsi="Times New Roman"/>
                <w:sz w:val="14"/>
                <w:szCs w:val="14"/>
                <w:color w:val="auto"/>
                <w:vertAlign w:val="superscript"/>
              </w:rPr>
              <w:t>(7)</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1.00%)</w:t>
            </w: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20" w:type="dxa"/>
            <w:vAlign w:val="bottom"/>
            <w:vMerge w:val="continue"/>
          </w:tcPr>
          <w:p>
            <w:pPr>
              <w:spacing w:after="0"/>
              <w:rPr>
                <w:sz w:val="10"/>
                <w:szCs w:val="10"/>
                <w:color w:val="auto"/>
              </w:rPr>
            </w:pPr>
          </w:p>
        </w:tc>
        <w:tc>
          <w:tcPr>
            <w:tcW w:w="780" w:type="dxa"/>
            <w:vAlign w:val="bottom"/>
            <w:gridSpan w:val="2"/>
          </w:tcPr>
          <w:p>
            <w:pPr>
              <w:jc w:val="center"/>
              <w:ind w:left="86"/>
              <w:spacing w:after="0" w:line="122" w:lineRule="exact"/>
              <w:rPr>
                <w:sz w:val="20"/>
                <w:szCs w:val="20"/>
                <w:color w:val="auto"/>
              </w:rPr>
            </w:pPr>
            <w:r>
              <w:rPr>
                <w:rFonts w:ascii="Times New Roman" w:cs="Times New Roman" w:eastAsia="Times New Roman" w:hAnsi="Times New Roman"/>
                <w:sz w:val="11"/>
                <w:szCs w:val="11"/>
                <w:color w:val="auto"/>
                <w:w w:val="95"/>
              </w:rPr>
              <w:t>07/14/2025</w:t>
            </w:r>
          </w:p>
        </w:tc>
        <w:tc>
          <w:tcPr>
            <w:tcW w:w="140" w:type="dxa"/>
            <w:vAlign w:val="bottom"/>
          </w:tcPr>
          <w:p>
            <w:pPr>
              <w:spacing w:after="0"/>
              <w:rPr>
                <w:sz w:val="10"/>
                <w:szCs w:val="10"/>
                <w:color w:val="auto"/>
              </w:rPr>
            </w:pPr>
          </w:p>
        </w:tc>
        <w:tc>
          <w:tcPr>
            <w:tcW w:w="25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4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right"/>
              <w:ind w:right="22"/>
              <w:spacing w:after="0" w:line="122" w:lineRule="exact"/>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Sigma Defense Systems,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9.75 %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L+875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6,520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6,378</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6,406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Sigma Defense Systems,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12/18/2025</w:t>
            </w:r>
          </w:p>
        </w:tc>
        <w:tc>
          <w:tcPr>
            <w:tcW w:w="14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951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(17 )</w:t>
            </w: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 - Term Loan II</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12/31/2021</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0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8.50 %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806</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0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Signature Systems Holding Company (Revolver)</w:t>
            </w:r>
          </w:p>
        </w:tc>
        <w:tc>
          <w:tcPr>
            <w:tcW w:w="780" w:type="dxa"/>
            <w:vAlign w:val="bottom"/>
            <w:gridSpan w:val="2"/>
          </w:tcPr>
          <w:p>
            <w:pPr>
              <w:jc w:val="center"/>
              <w:ind w:left="86"/>
              <w:spacing w:after="0" w:line="103" w:lineRule="exact"/>
              <w:rPr>
                <w:sz w:val="20"/>
                <w:szCs w:val="20"/>
                <w:color w:val="auto"/>
              </w:rPr>
            </w:pPr>
            <w:r>
              <w:rPr>
                <w:rFonts w:ascii="Times New Roman" w:cs="Times New Roman" w:eastAsia="Times New Roman" w:hAnsi="Times New Roman"/>
                <w:sz w:val="11"/>
                <w:szCs w:val="11"/>
                <w:color w:val="auto"/>
                <w:w w:val="95"/>
              </w:rPr>
              <w:t>05/03/2024</w:t>
            </w:r>
          </w:p>
        </w:tc>
        <w:tc>
          <w:tcPr>
            <w:tcW w:w="140" w:type="dxa"/>
            <w:vAlign w:val="bottom"/>
          </w:tcPr>
          <w:p>
            <w:pPr>
              <w:spacing w:after="0"/>
              <w:rPr>
                <w:sz w:val="8"/>
                <w:szCs w:val="8"/>
                <w:color w:val="auto"/>
              </w:rPr>
            </w:pPr>
          </w:p>
        </w:tc>
        <w:tc>
          <w:tcPr>
            <w:tcW w:w="258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60" w:type="dxa"/>
            <w:vAlign w:val="bottom"/>
            <w:gridSpan w:val="3"/>
          </w:tcPr>
          <w:p>
            <w:pPr>
              <w:jc w:val="right"/>
              <w:ind w:right="120"/>
              <w:spacing w:after="0" w:line="103" w:lineRule="exact"/>
              <w:rPr>
                <w:sz w:val="20"/>
                <w:szCs w:val="20"/>
                <w:color w:val="auto"/>
              </w:rPr>
            </w:pPr>
            <w:r>
              <w:rPr>
                <w:rFonts w:ascii="Times New Roman" w:cs="Times New Roman" w:eastAsia="Times New Roman" w:hAnsi="Times New Roman"/>
                <w:sz w:val="11"/>
                <w:szCs w:val="11"/>
                <w:color w:val="auto"/>
              </w:rPr>
              <w:t>8.50 %</w:t>
            </w:r>
          </w:p>
        </w:tc>
        <w:tc>
          <w:tcPr>
            <w:tcW w:w="8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3M L+750</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484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484</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479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05/03/2024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(15 )</w:t>
            </w: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01/17/2024</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Spear Education,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02/26/2025</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Education</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14,898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14,781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14,898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02/26/2022</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Spectacle Gary Holdings,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12/23/2025</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Hotels, Motels, Inns and Gaming</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11.00 %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L+900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21,546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20,972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23,391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TAC LifePort Purchaser,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03/01/2026</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Bluebird Group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07/27/2026</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8.00 %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L+700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5,606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5,496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5,570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The Bluebird Group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07/27/2026</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The Vertex Companies,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08/30/2027</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6.50 %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L+550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4,577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4,486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4,491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2,221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The Vertex Companies,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08/30/2027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(14 )</w:t>
            </w: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14"/>
                <w:szCs w:val="14"/>
                <w:color w:val="auto"/>
                <w:vertAlign w:val="superscript"/>
              </w:rPr>
              <w:t>(8),(11)</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11/24/2025</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6.25 %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TVC Enterprises, LLC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03/26/2026</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Transportation</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L+575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15,506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15,347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15,506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03/26/2026</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2,702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TWS Acquisition Corporation</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06/16/2025</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Education</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7.25 %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1M L+625</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4,137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4,137</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4,137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06/16/2025</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1,644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20" w:type="dxa"/>
            <w:vAlign w:val="bottom"/>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Tyto Athene, LLC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04/01/2026</w:t>
            </w:r>
          </w:p>
        </w:tc>
        <w:tc>
          <w:tcPr>
            <w:tcW w:w="14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82"/>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03/31/2027</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6.75 %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24,293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02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Wildcat Buyerco, Inc.</w:t>
            </w:r>
          </w:p>
        </w:tc>
        <w:tc>
          <w:tcPr>
            <w:tcW w:w="780" w:type="dxa"/>
            <w:vAlign w:val="bottom"/>
            <w:gridSpan w:val="2"/>
          </w:tcPr>
          <w:p>
            <w:pPr>
              <w:jc w:val="center"/>
              <w:ind w:left="86"/>
              <w:spacing w:after="0" w:line="117" w:lineRule="exact"/>
              <w:rPr>
                <w:sz w:val="20"/>
                <w:szCs w:val="20"/>
                <w:color w:val="auto"/>
              </w:rPr>
            </w:pPr>
            <w:r>
              <w:rPr>
                <w:rFonts w:ascii="Times New Roman" w:cs="Times New Roman" w:eastAsia="Times New Roman" w:hAnsi="Times New Roman"/>
                <w:sz w:val="11"/>
                <w:szCs w:val="11"/>
                <w:color w:val="auto"/>
                <w:w w:val="95"/>
              </w:rPr>
              <w:t>02/27/2026</w:t>
            </w:r>
          </w:p>
        </w:tc>
        <w:tc>
          <w:tcPr>
            <w:tcW w:w="140" w:type="dxa"/>
            <w:vAlign w:val="bottom"/>
          </w:tcPr>
          <w:p>
            <w:pPr>
              <w:spacing w:after="0"/>
              <w:rPr>
                <w:sz w:val="10"/>
                <w:szCs w:val="10"/>
                <w:color w:val="auto"/>
              </w:rPr>
            </w:pPr>
          </w:p>
        </w:tc>
        <w:tc>
          <w:tcPr>
            <w:tcW w:w="258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Electronics</w:t>
            </w:r>
          </w:p>
        </w:tc>
        <w:tc>
          <w:tcPr>
            <w:tcW w:w="106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6.00 %</w:t>
            </w:r>
          </w:p>
        </w:tc>
        <w:tc>
          <w:tcPr>
            <w:tcW w:w="8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3M L+500</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1,629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1,612</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02/27/2022</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14"/>
                <w:szCs w:val="14"/>
                <w:color w:val="auto"/>
                <w:vertAlign w:val="superscript"/>
              </w:rPr>
              <w:t>(7)</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02/27/2026</w:t>
            </w:r>
          </w:p>
        </w:tc>
        <w:tc>
          <w:tcPr>
            <w:tcW w:w="14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28"/>
        </w:trPr>
        <w:tc>
          <w:tcPr>
            <w:tcW w:w="30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509,046</w:t>
            </w:r>
          </w:p>
        </w:tc>
        <w:tc>
          <w:tcPr>
            <w:tcW w:w="22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511,405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Debt—16.2%</w:t>
            </w:r>
          </w:p>
        </w:tc>
        <w:tc>
          <w:tcPr>
            <w:tcW w:w="14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Atlas Purchaser,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05/07/2029</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9.75 %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L+900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Data Axle,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04/03/2024</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Other Media</w:t>
            </w:r>
          </w:p>
        </w:tc>
        <w:tc>
          <w:tcPr>
            <w:tcW w:w="10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10.25 %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L+925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20,220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ENC Parent Corporation</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08/19/2029</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8.25 %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Halo Buyer, Inc.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07/06/2026</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10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9.25 %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L+825</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32,106</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31,119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Inventus Power,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09/29/2024</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9.50 %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16,593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16,292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16,261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QuantiTech LLC</w:t>
            </w:r>
          </w:p>
        </w:tc>
        <w:tc>
          <w:tcPr>
            <w:tcW w:w="7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5"/>
              </w:rPr>
              <w:t>02/04/2027</w:t>
            </w:r>
          </w:p>
        </w:tc>
        <w:tc>
          <w:tcPr>
            <w:tcW w:w="140" w:type="dxa"/>
            <w:vAlign w:val="bottom"/>
            <w:shd w:val="clear" w:color="auto" w:fill="CCECFF"/>
          </w:tcPr>
          <w:p>
            <w:pPr>
              <w:spacing w:after="0"/>
              <w:rPr>
                <w:sz w:val="11"/>
                <w:szCs w:val="11"/>
                <w:color w:val="auto"/>
              </w:rPr>
            </w:pPr>
          </w:p>
        </w:tc>
        <w:tc>
          <w:tcPr>
            <w:tcW w:w="258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06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11.00 %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VT Topco, Inc.</w:t>
            </w:r>
          </w:p>
        </w:tc>
        <w:tc>
          <w:tcPr>
            <w:tcW w:w="7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5"/>
              </w:rPr>
              <w:t>08/17/2026</w:t>
            </w:r>
          </w:p>
        </w:tc>
        <w:tc>
          <w:tcPr>
            <w:tcW w:w="140" w:type="dxa"/>
            <w:vAlign w:val="bottom"/>
          </w:tcPr>
          <w:p>
            <w:pPr>
              <w:spacing w:after="0"/>
              <w:rPr>
                <w:sz w:val="11"/>
                <w:szCs w:val="11"/>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7.06 %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L+675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14,922</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40" w:type="dxa"/>
            <w:vAlign w:val="bottom"/>
            <w:tcBorders>
              <w:bottom w:val="single" w:sz="8" w:color="CCECFF"/>
            </w:tcBorders>
            <w:shd w:val="clear" w:color="auto" w:fill="CCECFF"/>
          </w:tcPr>
          <w:p>
            <w:pPr>
              <w:spacing w:after="0"/>
              <w:rPr>
                <w:sz w:val="11"/>
                <w:szCs w:val="11"/>
                <w:color w:val="auto"/>
              </w:rPr>
            </w:pPr>
          </w:p>
        </w:tc>
        <w:tc>
          <w:tcPr>
            <w:tcW w:w="6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58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7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107,620</w:t>
            </w:r>
          </w:p>
        </w:tc>
        <w:tc>
          <w:tcPr>
            <w:tcW w:w="22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107,225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-6814820</wp:posOffset>
            </wp:positionV>
            <wp:extent cx="7132320" cy="946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-6634480</wp:posOffset>
            </wp:positionV>
            <wp:extent cx="7132320" cy="857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-6463030</wp:posOffset>
            </wp:positionV>
            <wp:extent cx="7132320" cy="857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-6291580</wp:posOffset>
            </wp:positionV>
            <wp:extent cx="7132320" cy="857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-6120130</wp:posOffset>
            </wp:positionV>
            <wp:extent cx="7132320" cy="857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-5948680</wp:posOffset>
            </wp:positionV>
            <wp:extent cx="7132320" cy="857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-5605780</wp:posOffset>
            </wp:positionV>
            <wp:extent cx="7132320" cy="857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-5434330</wp:posOffset>
            </wp:positionV>
            <wp:extent cx="7132320" cy="857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-4919980</wp:posOffset>
            </wp:positionV>
            <wp:extent cx="7132320" cy="857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-4748530</wp:posOffset>
            </wp:positionV>
            <wp:extent cx="7132320" cy="857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-4577080</wp:posOffset>
            </wp:positionV>
            <wp:extent cx="7132320" cy="857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-4405630</wp:posOffset>
            </wp:positionV>
            <wp:extent cx="7132320" cy="857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-4234180</wp:posOffset>
            </wp:positionV>
            <wp:extent cx="7132320" cy="857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7132320" cy="857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-3719830</wp:posOffset>
            </wp:positionV>
            <wp:extent cx="7132320" cy="857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-3548380</wp:posOffset>
            </wp:positionV>
            <wp:extent cx="7132320" cy="857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-3291205</wp:posOffset>
            </wp:positionV>
            <wp:extent cx="1911350" cy="171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9113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-3034030</wp:posOffset>
            </wp:positionV>
            <wp:extent cx="7132320" cy="857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-2691130</wp:posOffset>
            </wp:positionV>
            <wp:extent cx="7132320" cy="857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-2519680</wp:posOffset>
            </wp:positionV>
            <wp:extent cx="7132320" cy="857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-2348230</wp:posOffset>
            </wp:positionV>
            <wp:extent cx="7132320" cy="857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-2176780</wp:posOffset>
            </wp:positionV>
            <wp:extent cx="7132320" cy="857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857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857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857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857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857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857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-976630</wp:posOffset>
            </wp:positionV>
            <wp:extent cx="7132320" cy="18859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-8255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2" w:name="page73"/>
    <w:bookmarkEnd w:id="72"/>
    <w:p>
      <w:pPr>
        <w:ind w:left="320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2021</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72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6"/>
              </w:rPr>
              <w:t xml:space="preserve">Fair Value </w:t>
            </w:r>
            <w:r>
              <w:rPr>
                <w:rFonts w:ascii="Times New Roman" w:cs="Times New Roman" w:eastAsia="Times New Roman" w:hAnsi="Times New Roman"/>
                <w:sz w:val="14"/>
                <w:szCs w:val="14"/>
                <w:b w:val="1"/>
                <w:bCs w:val="1"/>
                <w:color w:val="auto"/>
                <w:w w:val="96"/>
                <w:vertAlign w:val="superscript"/>
              </w:rPr>
              <w:t>(3)</w:t>
            </w:r>
          </w:p>
        </w:tc>
        <w:tc>
          <w:tcPr>
            <w:tcW w:w="0" w:type="dxa"/>
            <w:vAlign w:val="bottom"/>
          </w:tcPr>
          <w:p>
            <w:pPr>
              <w:spacing w:after="0"/>
              <w:rPr>
                <w:sz w:val="1"/>
                <w:szCs w:val="1"/>
                <w:color w:val="auto"/>
              </w:rPr>
            </w:pPr>
          </w:p>
        </w:tc>
      </w:tr>
      <w:tr>
        <w:trPr>
          <w:trHeight w:val="162"/>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4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(4)</w:t>
            </w:r>
          </w:p>
        </w:tc>
        <w:tc>
          <w:tcPr>
            <w:tcW w:w="220" w:type="dxa"/>
            <w:vAlign w:val="bottom"/>
          </w:tcPr>
          <w:p>
            <w:pPr>
              <w:spacing w:after="0"/>
              <w:rPr>
                <w:sz w:val="14"/>
                <w:szCs w:val="14"/>
                <w:color w:val="auto"/>
              </w:rPr>
            </w:pPr>
          </w:p>
        </w:tc>
        <w:tc>
          <w:tcPr>
            <w:tcW w:w="7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7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Subordinated Debt/Corporate Notes—8.6%</w:t>
            </w:r>
          </w:p>
        </w:tc>
        <w:tc>
          <w:tcPr>
            <w:tcW w:w="120" w:type="dxa"/>
            <w:vAlign w:val="bottom"/>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4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Blackhawk Industrial Distribution, Inc.</w:t>
            </w:r>
          </w:p>
        </w:tc>
        <w:tc>
          <w:tcPr>
            <w:tcW w:w="64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color w:val="auto"/>
              </w:rPr>
              <w:t>03/17/2025</w:t>
            </w:r>
          </w:p>
        </w:tc>
        <w:tc>
          <w:tcPr>
            <w:tcW w:w="240" w:type="dxa"/>
            <w:vAlign w:val="bottom"/>
          </w:tcPr>
          <w:p>
            <w:pPr>
              <w:spacing w:after="0"/>
              <w:rPr>
                <w:sz w:val="10"/>
                <w:szCs w:val="10"/>
                <w:color w:val="auto"/>
              </w:rPr>
            </w:pPr>
          </w:p>
        </w:tc>
        <w:tc>
          <w:tcPr>
            <w:tcW w:w="2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04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12.00 %</w:t>
            </w:r>
          </w:p>
        </w:tc>
        <w:tc>
          <w:tcPr>
            <w:tcW w:w="840" w:type="dxa"/>
            <w:vAlign w:val="bottom"/>
          </w:tcPr>
          <w:p>
            <w:pPr>
              <w:ind w:left="7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14,335</w:t>
            </w:r>
          </w:p>
        </w:tc>
        <w:tc>
          <w:tcPr>
            <w:tcW w:w="36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14,165</w:t>
            </w:r>
          </w:p>
        </w:tc>
        <w:tc>
          <w:tcPr>
            <w:tcW w:w="440" w:type="dxa"/>
            <w:vAlign w:val="bottom"/>
            <w:gridSpan w:val="2"/>
          </w:tcPr>
          <w:p>
            <w:pPr>
              <w:jc w:val="right"/>
              <w:ind w:right="10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14,335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(PIK 2.00%)</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Cascade Environmental LLC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1"/>
                <w:szCs w:val="11"/>
                <w:color w:val="auto"/>
              </w:rPr>
              <w:t>12/30/2023</w:t>
            </w: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0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13.00 %</w:t>
            </w:r>
          </w:p>
        </w:tc>
        <w:tc>
          <w:tcPr>
            <w:tcW w:w="84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42,468</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42,150</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42,680</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7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25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92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(PIK 13.00%)</w:t>
            </w:r>
          </w:p>
        </w:tc>
        <w:tc>
          <w:tcPr>
            <w:tcW w:w="8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20" w:type="dxa"/>
            <w:vAlign w:val="bottom"/>
            <w:tcBorders>
              <w:bottom w:val="single" w:sz="8" w:color="auto"/>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spacing w:after="0"/>
              <w:rPr>
                <w:sz w:val="12"/>
                <w:szCs w:val="12"/>
                <w:color w:val="auto"/>
              </w:rPr>
            </w:pPr>
          </w:p>
        </w:tc>
        <w:tc>
          <w:tcPr>
            <w:tcW w:w="480" w:type="dxa"/>
            <w:vAlign w:val="bottom"/>
            <w:tcBorders>
              <w:bottom w:val="single" w:sz="8" w:color="auto"/>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40" w:type="dxa"/>
            <w:vAlign w:val="bottom"/>
          </w:tcPr>
          <w:p>
            <w:pPr>
              <w:ind w:left="20"/>
              <w:spacing w:after="0" w:line="114" w:lineRule="exact"/>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56,315</w:t>
            </w: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4" w:lineRule="exact"/>
              <w:rPr>
                <w:sz w:val="20"/>
                <w:szCs w:val="20"/>
                <w:color w:val="auto"/>
              </w:rPr>
            </w:pPr>
            <w:r>
              <w:rPr>
                <w:rFonts w:ascii="Times New Roman" w:cs="Times New Roman" w:eastAsia="Times New Roman" w:hAnsi="Times New Roman"/>
                <w:sz w:val="11"/>
                <w:szCs w:val="11"/>
                <w:color w:val="auto"/>
              </w:rPr>
              <w:t>57,015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6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Preferred Equity/Partnership Interests—3.9% </w:t>
            </w:r>
            <w:r>
              <w:rPr>
                <w:rFonts w:ascii="Times New Roman" w:cs="Times New Roman" w:eastAsia="Times New Roman" w:hAnsi="Times New Roman"/>
                <w:sz w:val="11"/>
                <w:szCs w:val="11"/>
                <w:b w:val="1"/>
                <w:bCs w:val="1"/>
                <w:color w:val="auto"/>
                <w:vertAlign w:val="superscript"/>
              </w:rPr>
              <w:t>(6)</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Ad.net Holdings, Inc.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AH Newco Equityholdings, LLC</w:t>
            </w:r>
          </w:p>
        </w:tc>
        <w:tc>
          <w:tcPr>
            <w:tcW w:w="6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040" w:type="dxa"/>
            <w:vAlign w:val="bottom"/>
            <w:gridSpan w:val="3"/>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6.00 %</w:t>
            </w:r>
          </w:p>
        </w:tc>
        <w:tc>
          <w:tcPr>
            <w:tcW w:w="84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Cascade Environmental LLC</w:t>
            </w:r>
          </w:p>
        </w:tc>
        <w:tc>
          <w:tcPr>
            <w:tcW w:w="64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Environmental Services</w:t>
            </w:r>
          </w:p>
        </w:tc>
        <w:tc>
          <w:tcPr>
            <w:tcW w:w="1040" w:type="dxa"/>
            <w:vAlign w:val="bottom"/>
            <w:gridSpan w:val="3"/>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16.00 %</w:t>
            </w:r>
          </w:p>
        </w:tc>
        <w:tc>
          <w:tcPr>
            <w:tcW w:w="840" w:type="dxa"/>
            <w:vAlign w:val="bottom"/>
          </w:tcPr>
          <w:p>
            <w:pPr>
              <w:ind w:left="7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178,304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17,607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21,133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Mars Intermediate Holdings II, Inc</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432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6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ORL Holdco, Inc.</w:t>
            </w:r>
          </w:p>
        </w:tc>
        <w:tc>
          <w:tcPr>
            <w:tcW w:w="64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575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Signature CR Intermediate Holdco, Inc.</w:t>
            </w: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Chemicals, Plastics and Rubber</w:t>
            </w:r>
          </w:p>
        </w:tc>
        <w:tc>
          <w:tcPr>
            <w:tcW w:w="104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1"/>
                <w:szCs w:val="11"/>
                <w:color w:val="auto"/>
              </w:rPr>
              <w:t>12.00 %</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1,527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1,527</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1,879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(8),(11)</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8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TWD Parent Holdings, LLC (The Vertex Companies, LLC)</w:t>
            </w:r>
          </w:p>
        </w:tc>
        <w:tc>
          <w:tcPr>
            <w:tcW w:w="640" w:type="dxa"/>
            <w:vAlign w:val="bottom"/>
            <w:tcBorders>
              <w:bottom w:val="single" w:sz="8" w:color="CCECFF"/>
            </w:tcBorders>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CFF"/>
            </w:tcBorders>
            <w:shd w:val="clear" w:color="auto" w:fill="CCECFF"/>
          </w:tcPr>
          <w:p>
            <w:pPr>
              <w:spacing w:after="0"/>
              <w:rPr>
                <w:sz w:val="11"/>
                <w:szCs w:val="11"/>
                <w:color w:val="auto"/>
              </w:rPr>
            </w:pPr>
          </w:p>
        </w:tc>
        <w:tc>
          <w:tcPr>
            <w:tcW w:w="254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shd w:val="clear" w:color="auto" w:fill="CCECFF"/>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tcBorders>
              <w:bottom w:val="single" w:sz="8" w:color="CCECFF"/>
            </w:tcBorders>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2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auto"/>
            </w:tcBorders>
            <w:shd w:val="clear" w:color="auto" w:fill="CCECFF"/>
          </w:tcPr>
          <w:p>
            <w:pPr>
              <w:spacing w:after="0"/>
              <w:rPr>
                <w:sz w:val="11"/>
                <w:szCs w:val="11"/>
                <w:color w:val="auto"/>
              </w:rPr>
            </w:pPr>
          </w:p>
        </w:tc>
        <w:tc>
          <w:tcPr>
            <w:tcW w:w="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2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21,295</w:t>
            </w:r>
          </w:p>
        </w:tc>
        <w:tc>
          <w:tcPr>
            <w:tcW w:w="2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25,873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w w:val="99"/>
              </w:rPr>
              <w:t xml:space="preserve">Common Equity/Partnership Interests/Warrants—18.0% </w:t>
            </w:r>
            <w:r>
              <w:rPr>
                <w:rFonts w:ascii="Times New Roman" w:cs="Times New Roman" w:eastAsia="Times New Roman" w:hAnsi="Times New Roman"/>
                <w:sz w:val="14"/>
                <w:szCs w:val="14"/>
                <w:b w:val="1"/>
                <w:bCs w:val="1"/>
                <w:color w:val="auto"/>
                <w:w w:val="99"/>
                <w:vertAlign w:val="superscript"/>
              </w:rPr>
              <w:t>(6)</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Ad.net Holdings, Inc. (9)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Affinion Group Holdings, Inc. (Warrants)</w:t>
            </w:r>
          </w:p>
        </w:tc>
        <w:tc>
          <w:tcPr>
            <w:tcW w:w="640" w:type="dxa"/>
            <w:vAlign w:val="bottom"/>
          </w:tcPr>
          <w:p>
            <w:pPr>
              <w:ind w:left="60"/>
              <w:spacing w:after="0" w:line="117" w:lineRule="exact"/>
              <w:rPr>
                <w:sz w:val="20"/>
                <w:szCs w:val="20"/>
                <w:color w:val="auto"/>
              </w:rPr>
            </w:pPr>
            <w:r>
              <w:rPr>
                <w:rFonts w:ascii="Times New Roman" w:cs="Times New Roman" w:eastAsia="Times New Roman" w:hAnsi="Times New Roman"/>
                <w:sz w:val="11"/>
                <w:szCs w:val="11"/>
                <w:color w:val="auto"/>
              </w:rPr>
              <w:t>04/10/2024</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77,190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2,126</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14"/>
                <w:szCs w:val="14"/>
                <w:color w:val="auto"/>
                <w:vertAlign w:val="superscript"/>
              </w:rPr>
              <w:t>(7), (9)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8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Altamira Intermediate Company II, Inc.</w:t>
            </w: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Atlas Investment Aggregator,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1,700,000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Cascade Environmental Holdings,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4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tcPr>
          <w:p>
            <w:pPr>
              <w:spacing w:after="0"/>
              <w:rPr>
                <w:sz w:val="10"/>
                <w:szCs w:val="10"/>
                <w:color w:val="auto"/>
              </w:rPr>
            </w:pP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120,962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1,243</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475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740" w:type="dxa"/>
            <w:vAlign w:val="bottom"/>
            <w:vMerge w:val="restart"/>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4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Parent, LLC</w:t>
            </w:r>
          </w:p>
        </w:tc>
        <w:tc>
          <w:tcPr>
            <w:tcW w:w="120" w:type="dxa"/>
            <w:vAlign w:val="bottom"/>
          </w:tcPr>
          <w:p>
            <w:pPr>
              <w:spacing w:after="0"/>
              <w:rPr>
                <w:sz w:val="11"/>
                <w:szCs w:val="11"/>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57,416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ind w:left="7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22,500</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1,902</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7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Crane 1 Acquisition Parent Holdings, L.P.</w:t>
            </w:r>
          </w:p>
        </w:tc>
        <w:tc>
          <w:tcPr>
            <w:tcW w:w="120" w:type="dxa"/>
            <w:vAlign w:val="bottom"/>
          </w:tcPr>
          <w:p>
            <w:pPr>
              <w:spacing w:after="0"/>
              <w:rPr>
                <w:sz w:val="8"/>
                <w:szCs w:val="8"/>
                <w:color w:val="auto"/>
              </w:rPr>
            </w:pPr>
          </w:p>
        </w:tc>
        <w:tc>
          <w:tcPr>
            <w:tcW w:w="64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25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8"/>
                <w:szCs w:val="8"/>
                <w:color w:val="auto"/>
              </w:rPr>
            </w:pPr>
          </w:p>
        </w:tc>
        <w:tc>
          <w:tcPr>
            <w:tcW w:w="92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113</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104</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Crash Champion Holdings,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328</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570,522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Delta InvestCo LP (Sigma Defense Systems, LLC) </w:t>
            </w:r>
            <w:r>
              <w:rPr>
                <w:rFonts w:ascii="Times New Roman" w:cs="Times New Roman" w:eastAsia="Times New Roman" w:hAnsi="Times New Roman"/>
                <w:sz w:val="14"/>
                <w:szCs w:val="14"/>
                <w:color w:val="auto"/>
                <w:vertAlign w:val="superscript"/>
              </w:rPr>
              <w:t>(7), (9)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570,522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(82 )</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14"/>
                <w:szCs w:val="14"/>
                <w:color w:val="auto"/>
                <w:vertAlign w:val="superscript"/>
              </w:rPr>
              <w:t>(11)</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1,005</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3,331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FedHC InvestCo LP </w:t>
            </w:r>
            <w:r>
              <w:rPr>
                <w:rFonts w:ascii="Times New Roman" w:cs="Times New Roman" w:eastAsia="Times New Roman" w:hAnsi="Times New Roman"/>
                <w:sz w:val="14"/>
                <w:szCs w:val="14"/>
                <w:color w:val="auto"/>
                <w:vertAlign w:val="superscript"/>
              </w:rPr>
              <w:t>(7),(9)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4,072</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Gauge Lash Coinvest LLC</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2"/>
                <w:szCs w:val="12"/>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64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2"/>
                <w:szCs w:val="12"/>
                <w:color w:val="auto"/>
              </w:rPr>
            </w:pPr>
          </w:p>
        </w:tc>
        <w:tc>
          <w:tcPr>
            <w:tcW w:w="25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Gauge TVC Coinvest, LLC</w:t>
            </w:r>
          </w:p>
        </w:tc>
        <w:tc>
          <w:tcPr>
            <w:tcW w:w="64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Transportation</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810,645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2,663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1,855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14"/>
                <w:szCs w:val="14"/>
                <w:color w:val="auto"/>
                <w:vertAlign w:val="superscript"/>
              </w:rPr>
              <w:t>(7),(9)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274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0"/>
                <w:szCs w:val="10"/>
                <w:color w:val="auto"/>
              </w:rPr>
            </w:pP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6"/>
              </w:rPr>
              <w:t>Building Materials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675,325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675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844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740" w:type="dxa"/>
            <w:vAlign w:val="bottom"/>
            <w:vMerge w:val="restart"/>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740" w:type="dxa"/>
            <w:vAlign w:val="bottom"/>
            <w:vMerge w:val="continue"/>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tcPr>
          <w:p>
            <w:pPr>
              <w:spacing w:after="0"/>
              <w:rPr>
                <w:sz w:val="10"/>
                <w:szCs w:val="10"/>
                <w:color w:val="auto"/>
              </w:rPr>
            </w:pPr>
          </w:p>
        </w:tc>
        <w:tc>
          <w:tcPr>
            <w:tcW w:w="640" w:type="dxa"/>
            <w:vAlign w:val="bottom"/>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5,320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80"/>
              <w:spacing w:after="0" w:line="117" w:lineRule="exact"/>
              <w:rPr>
                <w:sz w:val="20"/>
                <w:szCs w:val="20"/>
                <w:color w:val="auto"/>
              </w:rPr>
            </w:pPr>
            <w:r>
              <w:rPr>
                <w:rFonts w:ascii="Times New Roman" w:cs="Times New Roman" w:eastAsia="Times New Roman" w:hAnsi="Times New Roman"/>
                <w:sz w:val="11"/>
                <w:szCs w:val="11"/>
                <w:color w:val="auto"/>
              </w:rPr>
              <w:t>(VT Topco, Inc.)</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Hancock Claims Consultants Investors,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Infogroup Parent Holdings, Inc. (Data Axle, Inc.)</w:t>
            </w: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rPr>
              <w:t>Other Media</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181,495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2,040</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3,221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Ironclad Holdco, LLC (Applied Technical Services,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3,960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60,808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740" w:type="dxa"/>
            <w:vAlign w:val="bottom"/>
          </w:tcPr>
          <w:p>
            <w:pPr>
              <w:ind w:left="20"/>
              <w:spacing w:after="0" w:line="117" w:lineRule="exact"/>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10"/>
                <w:szCs w:val="10"/>
                <w:color w:val="auto"/>
              </w:rPr>
            </w:pP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Home and Office Furnishings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1,906,433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6,616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740" w:type="dxa"/>
            <w:vAlign w:val="bottom"/>
            <w:vMerge w:val="restart"/>
          </w:tcPr>
          <w:p>
            <w:pPr>
              <w:ind w:left="80"/>
              <w:spacing w:after="0" w:line="135" w:lineRule="exact"/>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2740" w:type="dxa"/>
            <w:vAlign w:val="bottom"/>
            <w:vMerge w:val="continue"/>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640" w:type="dxa"/>
            <w:vAlign w:val="bottom"/>
            <w:tcBorders>
              <w:bottom w:val="single" w:sz="8" w:color="CCECFF"/>
            </w:tcBorders>
            <w:shd w:val="clear" w:color="auto" w:fill="CCECFF"/>
          </w:tcPr>
          <w:p>
            <w:pPr>
              <w:spacing w:after="0"/>
              <w:rPr>
                <w:sz w:val="10"/>
                <w:szCs w:val="10"/>
                <w:color w:val="auto"/>
              </w:rPr>
            </w:pPr>
          </w:p>
        </w:tc>
        <w:tc>
          <w:tcPr>
            <w:tcW w:w="240" w:type="dxa"/>
            <w:vAlign w:val="bottom"/>
            <w:tcBorders>
              <w:bottom w:val="single" w:sz="8" w:color="CCECFF"/>
            </w:tcBorders>
            <w:shd w:val="clear" w:color="auto" w:fill="CCECFF"/>
          </w:tcPr>
          <w:p>
            <w:pPr>
              <w:spacing w:after="0"/>
              <w:rPr>
                <w:sz w:val="10"/>
                <w:szCs w:val="10"/>
                <w:color w:val="auto"/>
              </w:rPr>
            </w:pPr>
          </w:p>
        </w:tc>
        <w:tc>
          <w:tcPr>
            <w:tcW w:w="254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70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84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7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140" w:type="dxa"/>
            <w:vAlign w:val="bottom"/>
            <w:tcBorders>
              <w:bottom w:val="single" w:sz="8" w:color="CCECFF"/>
            </w:tcBorders>
            <w:shd w:val="clear" w:color="auto" w:fill="CCECFF"/>
          </w:tcPr>
          <w:p>
            <w:pPr>
              <w:spacing w:after="0"/>
              <w:rPr>
                <w:sz w:val="10"/>
                <w:szCs w:val="10"/>
                <w:color w:val="auto"/>
              </w:rPr>
            </w:pPr>
          </w:p>
        </w:tc>
        <w:tc>
          <w:tcPr>
            <w:tcW w:w="5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220" w:type="dxa"/>
            <w:vAlign w:val="bottom"/>
            <w:tcBorders>
              <w:bottom w:val="single" w:sz="8" w:color="CCECFF"/>
            </w:tcBorders>
            <w:shd w:val="clear" w:color="auto" w:fill="CCECFF"/>
          </w:tcPr>
          <w:p>
            <w:pPr>
              <w:spacing w:after="0"/>
              <w:rPr>
                <w:sz w:val="10"/>
                <w:szCs w:val="10"/>
                <w:color w:val="auto"/>
              </w:rPr>
            </w:pPr>
          </w:p>
        </w:tc>
        <w:tc>
          <w:tcPr>
            <w:tcW w:w="480" w:type="dxa"/>
            <w:vAlign w:val="bottom"/>
            <w:tcBorders>
              <w:bottom w:val="single" w:sz="8" w:color="CCECFF"/>
            </w:tcBorders>
            <w:shd w:val="clear" w:color="auto" w:fill="CCECFF"/>
          </w:tcPr>
          <w:p>
            <w:pPr>
              <w:spacing w:after="0"/>
              <w:rPr>
                <w:sz w:val="10"/>
                <w:szCs w:val="10"/>
                <w:color w:val="auto"/>
              </w:rPr>
            </w:pPr>
          </w:p>
        </w:tc>
        <w:tc>
          <w:tcPr>
            <w:tcW w:w="120" w:type="dxa"/>
            <w:vAlign w:val="bottom"/>
            <w:tcBorders>
              <w:bottom w:val="single" w:sz="8" w:color="CCECFF"/>
            </w:tcBorders>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740" w:type="dxa"/>
            <w:vAlign w:val="bottom"/>
          </w:tcPr>
          <w:p>
            <w:pPr>
              <w:ind w:left="20"/>
              <w:spacing w:after="0" w:line="103" w:lineRule="exact"/>
              <w:rPr>
                <w:sz w:val="20"/>
                <w:szCs w:val="20"/>
                <w:color w:val="auto"/>
              </w:rPr>
            </w:pPr>
            <w:r>
              <w:rPr>
                <w:rFonts w:ascii="Times New Roman" w:cs="Times New Roman" w:eastAsia="Times New Roman" w:hAnsi="Times New Roman"/>
                <w:sz w:val="9"/>
                <w:szCs w:val="9"/>
                <w:color w:val="auto"/>
              </w:rPr>
              <w:t xml:space="preserve">Kadmon Holdings, Inc. </w:t>
            </w:r>
            <w:r>
              <w:rPr>
                <w:rFonts w:ascii="Times New Roman" w:cs="Times New Roman" w:eastAsia="Times New Roman" w:hAnsi="Times New Roman"/>
                <w:sz w:val="11"/>
                <w:szCs w:val="11"/>
                <w:color w:val="auto"/>
                <w:vertAlign w:val="superscript"/>
              </w:rPr>
              <w:t>(5)</w:t>
            </w:r>
          </w:p>
        </w:tc>
        <w:tc>
          <w:tcPr>
            <w:tcW w:w="120" w:type="dxa"/>
            <w:vAlign w:val="bottom"/>
          </w:tcPr>
          <w:p>
            <w:pPr>
              <w:spacing w:after="0"/>
              <w:rPr>
                <w:sz w:val="8"/>
                <w:szCs w:val="8"/>
                <w:color w:val="auto"/>
              </w:rPr>
            </w:pPr>
          </w:p>
        </w:tc>
        <w:tc>
          <w:tcPr>
            <w:tcW w:w="64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25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8"/>
                <w:szCs w:val="8"/>
                <w:color w:val="auto"/>
              </w:rPr>
            </w:pPr>
          </w:p>
        </w:tc>
        <w:tc>
          <w:tcPr>
            <w:tcW w:w="92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252,014</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2,266</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2,195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KL Stockton Co-Invest LP (Any Hour Services)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382,353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Mars Intermidiate Holdings II, Inc.</w:t>
            </w: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414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169</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Municipal Emergency Services, Inc.</w:t>
            </w: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1,593,514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1,594</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1,594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NEPRT Parent Holdings, LLC (Recteq,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1,299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4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shd w:val="clear" w:color="auto" w:fill="CCECFF"/>
          </w:tcPr>
          <w:p>
            <w:pPr>
              <w:spacing w:after="0"/>
              <w:rPr>
                <w:sz w:val="10"/>
                <w:szCs w:val="10"/>
                <w:color w:val="auto"/>
              </w:rPr>
            </w:pPr>
          </w:p>
        </w:tc>
        <w:tc>
          <w:tcPr>
            <w:tcW w:w="640" w:type="dxa"/>
            <w:vAlign w:val="bottom"/>
            <w:shd w:val="clear" w:color="auto" w:fill="CCECFF"/>
          </w:tcPr>
          <w:p>
            <w:pPr>
              <w:ind w:left="5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0"/>
                <w:szCs w:val="10"/>
                <w:color w:val="auto"/>
              </w:rPr>
            </w:pPr>
          </w:p>
        </w:tc>
        <w:tc>
          <w:tcPr>
            <w:tcW w:w="254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ind w:left="7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3,261</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2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48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186</w:t>
            </w: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4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4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74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tcPr>
          <w:p>
            <w:pPr>
              <w:spacing w:after="0"/>
              <w:rPr>
                <w:sz w:val="8"/>
                <w:szCs w:val="8"/>
                <w:color w:val="auto"/>
              </w:rPr>
            </w:pPr>
          </w:p>
        </w:tc>
        <w:tc>
          <w:tcPr>
            <w:tcW w:w="640" w:type="dxa"/>
            <w:vAlign w:val="bottom"/>
          </w:tcPr>
          <w:p>
            <w:pPr>
              <w:ind w:left="500"/>
              <w:spacing w:after="0" w:line="103"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8"/>
                <w:szCs w:val="8"/>
                <w:color w:val="auto"/>
              </w:rPr>
            </w:pPr>
          </w:p>
        </w:tc>
        <w:tc>
          <w:tcPr>
            <w:tcW w:w="254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8"/>
                <w:szCs w:val="8"/>
                <w:color w:val="auto"/>
              </w:rPr>
            </w:pPr>
          </w:p>
        </w:tc>
        <w:tc>
          <w:tcPr>
            <w:tcW w:w="920" w:type="dxa"/>
            <w:vAlign w:val="bottom"/>
            <w:gridSpan w:val="2"/>
          </w:tcPr>
          <w:p>
            <w:pPr>
              <w:jc w:val="right"/>
              <w:ind w:right="240"/>
              <w:spacing w:after="0" w:line="103"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03" w:lineRule="exact"/>
              <w:rPr>
                <w:sz w:val="20"/>
                <w:szCs w:val="20"/>
                <w:color w:val="auto"/>
              </w:rPr>
            </w:pPr>
            <w:r>
              <w:rPr>
                <w:rFonts w:ascii="Times New Roman" w:cs="Times New Roman" w:eastAsia="Times New Roman" w:hAnsi="Times New Roman"/>
                <w:sz w:val="11"/>
                <w:szCs w:val="11"/>
                <w:color w:val="auto"/>
              </w:rPr>
              <w:t>98,286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979</w:t>
            </w: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1,625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14"/>
                <w:szCs w:val="14"/>
                <w:color w:val="auto"/>
                <w:vertAlign w:val="superscript"/>
              </w:rPr>
              <w:t>(9)</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Oral Surgery (ITC) Holdings, LLC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2,904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86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ORL Holdco, Inc.</w:t>
            </w:r>
          </w:p>
        </w:tc>
        <w:tc>
          <w:tcPr>
            <w:tcW w:w="640" w:type="dxa"/>
            <w:vAlign w:val="bottom"/>
          </w:tcPr>
          <w:p>
            <w:pPr>
              <w:ind w:left="500"/>
              <w:spacing w:after="0" w:line="117"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254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1"/>
                <w:szCs w:val="11"/>
                <w:color w:val="auto"/>
              </w:rPr>
              <w:t>638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14"/>
                <w:szCs w:val="14"/>
                <w:color w:val="auto"/>
                <w:vertAlign w:val="superscript"/>
              </w:rPr>
              <w:t>(7),(9)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7"/>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QuantiTech InvestCo II LP </w:t>
            </w:r>
            <w:r>
              <w:rPr>
                <w:rFonts w:ascii="Times New Roman" w:cs="Times New Roman" w:eastAsia="Times New Roman" w:hAnsi="Times New Roman"/>
                <w:sz w:val="14"/>
                <w:szCs w:val="14"/>
                <w:color w:val="auto"/>
                <w:vertAlign w:val="superscript"/>
              </w:rPr>
              <w:t>(9)</w:t>
            </w:r>
          </w:p>
        </w:tc>
        <w:tc>
          <w:tcPr>
            <w:tcW w:w="64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720"/>
              <w:spacing w:after="0"/>
              <w:rPr>
                <w:sz w:val="20"/>
                <w:szCs w:val="20"/>
                <w:color w:val="auto"/>
              </w:rPr>
            </w:pPr>
            <w:r>
              <w:rPr>
                <w:rFonts w:ascii="Times New Roman" w:cs="Times New Roman" w:eastAsia="Times New Roman" w:hAnsi="Times New Roman"/>
                <w:sz w:val="11"/>
                <w:szCs w:val="11"/>
                <w:color w:val="auto"/>
                <w:w w:val="9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-5862955</wp:posOffset>
            </wp:positionV>
            <wp:extent cx="6986270"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86270" cy="1885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-5417185</wp:posOffset>
            </wp:positionV>
            <wp:extent cx="6986270" cy="857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-5074285</wp:posOffset>
            </wp:positionV>
            <wp:extent cx="6986270" cy="857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-4817110</wp:posOffset>
            </wp:positionV>
            <wp:extent cx="698627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86270" cy="18859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-4542790</wp:posOffset>
            </wp:positionV>
            <wp:extent cx="6986270" cy="857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-4371340</wp:posOffset>
            </wp:positionV>
            <wp:extent cx="6986270" cy="857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-4199890</wp:posOffset>
            </wp:positionV>
            <wp:extent cx="6986270" cy="857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-4028440</wp:posOffset>
            </wp:positionV>
            <wp:extent cx="6986270" cy="857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-3514090</wp:posOffset>
            </wp:positionV>
            <wp:extent cx="6986270" cy="857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-3342640</wp:posOffset>
            </wp:positionV>
            <wp:extent cx="6986270" cy="857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-3171190</wp:posOffset>
            </wp:positionV>
            <wp:extent cx="6986270" cy="857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-2999740</wp:posOffset>
            </wp:positionV>
            <wp:extent cx="6986270" cy="857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-2571115</wp:posOffset>
            </wp:positionV>
            <wp:extent cx="6986270" cy="857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-2399665</wp:posOffset>
            </wp:positionV>
            <wp:extent cx="6986270" cy="857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-2056765</wp:posOffset>
            </wp:positionV>
            <wp:extent cx="6986270" cy="857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-1885315</wp:posOffset>
            </wp:positionV>
            <wp:extent cx="6986270" cy="857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-1713865</wp:posOffset>
            </wp:positionV>
            <wp:extent cx="6986270" cy="1714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86270" cy="1714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-1456690</wp:posOffset>
            </wp:positionV>
            <wp:extent cx="6986270" cy="857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-1285240</wp:posOffset>
            </wp:positionV>
            <wp:extent cx="6986270" cy="857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-1113790</wp:posOffset>
            </wp:positionV>
            <wp:extent cx="6986270" cy="857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-942340</wp:posOffset>
            </wp:positionV>
            <wp:extent cx="6986270" cy="857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-427990</wp:posOffset>
            </wp:positionV>
            <wp:extent cx="6986270" cy="857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-256540</wp:posOffset>
            </wp:positionV>
            <wp:extent cx="6986270" cy="857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86270" cy="857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-85090</wp:posOffset>
            </wp:positionV>
            <wp:extent cx="6986270" cy="8572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86270" cy="85725"/>
                    </a:xfrm>
                    <a:prstGeom prst="rect">
                      <a:avLst/>
                    </a:prstGeom>
                    <a:noFill/>
                  </pic:spPr>
                </pic:pic>
              </a:graphicData>
            </a:graphic>
          </wp:anchor>
        </w:drawing>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71120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17" w:right="4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26"/>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Maturity /</w:t>
            </w: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 /</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(3)</w:t>
            </w:r>
          </w:p>
        </w:tc>
        <w:tc>
          <w:tcPr>
            <w:tcW w:w="0" w:type="dxa"/>
            <w:vAlign w:val="bottom"/>
          </w:tcPr>
          <w:p>
            <w:pPr>
              <w:spacing w:after="0"/>
              <w:rPr>
                <w:sz w:val="1"/>
                <w:szCs w:val="1"/>
                <w:color w:val="auto"/>
              </w:rPr>
            </w:pPr>
          </w:p>
        </w:tc>
      </w:tr>
      <w:tr>
        <w:trPr>
          <w:trHeight w:val="162"/>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 xml:space="preserve">Index </w:t>
            </w:r>
            <w:r>
              <w:rPr>
                <w:rFonts w:ascii="Times New Roman" w:cs="Times New Roman" w:eastAsia="Times New Roman" w:hAnsi="Times New Roman"/>
                <w:sz w:val="14"/>
                <w:szCs w:val="14"/>
                <w:b w:val="1"/>
                <w:bCs w:val="1"/>
                <w:color w:val="auto"/>
                <w:w w:val="88"/>
                <w:vertAlign w:val="superscript"/>
              </w:rPr>
              <w:t>(4)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9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RFMG Parent, LP (Rancho Health MSO, Inc.)</w:t>
            </w:r>
          </w:p>
        </w:tc>
        <w:tc>
          <w:tcPr>
            <w:tcW w:w="120" w:type="dxa"/>
            <w:vAlign w:val="bottom"/>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1,050,000</w:t>
            </w: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20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SBI Holdings Investments LLC</w:t>
            </w: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36,585</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SSC Dominion Holdings, LLC</w:t>
            </w: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Class A (US Dominion, Inc.)</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29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shd w:val="clear" w:color="auto" w:fill="CCECFF"/>
          </w:tcPr>
          <w:p>
            <w:pPr>
              <w:spacing w:after="0"/>
              <w:rPr>
                <w:sz w:val="10"/>
                <w:szCs w:val="10"/>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3"/>
        </w:trPr>
        <w:tc>
          <w:tcPr>
            <w:tcW w:w="2920" w:type="dxa"/>
            <w:vAlign w:val="bottom"/>
          </w:tcPr>
          <w:p>
            <w:pPr>
              <w:ind w:left="20"/>
              <w:spacing w:after="0" w:line="103" w:lineRule="exact"/>
              <w:rPr>
                <w:sz w:val="20"/>
                <w:szCs w:val="20"/>
                <w:color w:val="auto"/>
              </w:rPr>
            </w:pPr>
            <w:r>
              <w:rPr>
                <w:rFonts w:ascii="Times New Roman" w:cs="Times New Roman" w:eastAsia="Times New Roman" w:hAnsi="Times New Roman"/>
                <w:sz w:val="11"/>
                <w:szCs w:val="11"/>
                <w:color w:val="auto"/>
              </w:rPr>
              <w:t>StellPen Holdings, LLC (CF512, Inc.)</w:t>
            </w:r>
          </w:p>
        </w:tc>
        <w:tc>
          <w:tcPr>
            <w:tcW w:w="120" w:type="dxa"/>
            <w:vAlign w:val="bottom"/>
          </w:tcPr>
          <w:p>
            <w:pPr>
              <w:spacing w:after="0"/>
              <w:rPr>
                <w:sz w:val="8"/>
                <w:szCs w:val="8"/>
                <w:color w:val="auto"/>
              </w:rPr>
            </w:pPr>
          </w:p>
        </w:tc>
        <w:tc>
          <w:tcPr>
            <w:tcW w:w="660" w:type="dxa"/>
            <w:vAlign w:val="bottom"/>
          </w:tcPr>
          <w:p>
            <w:pPr>
              <w:ind w:left="540"/>
              <w:spacing w:after="0" w:line="103"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8"/>
                <w:szCs w:val="8"/>
                <w:color w:val="auto"/>
              </w:rPr>
            </w:pPr>
          </w:p>
        </w:tc>
        <w:tc>
          <w:tcPr>
            <w:tcW w:w="2560" w:type="dxa"/>
            <w:vAlign w:val="bottom"/>
          </w:tcPr>
          <w:p>
            <w:pPr>
              <w:jc w:val="center"/>
              <w:spacing w:after="0" w:line="103" w:lineRule="exact"/>
              <w:rPr>
                <w:sz w:val="20"/>
                <w:szCs w:val="20"/>
                <w:color w:val="auto"/>
              </w:rPr>
            </w:pPr>
            <w:r>
              <w:rPr>
                <w:rFonts w:ascii="Times New Roman" w:cs="Times New Roman" w:eastAsia="Times New Roman" w:hAnsi="Times New Roman"/>
                <w:sz w:val="11"/>
                <w:szCs w:val="11"/>
                <w:color w:val="auto"/>
                <w:w w:val="99"/>
              </w:rPr>
              <w:t>Media</w:t>
            </w:r>
          </w:p>
        </w:tc>
        <w:tc>
          <w:tcPr>
            <w:tcW w:w="120" w:type="dxa"/>
            <w:vAlign w:val="bottom"/>
          </w:tcPr>
          <w:p>
            <w:pPr>
              <w:spacing w:after="0"/>
              <w:rPr>
                <w:sz w:val="8"/>
                <w:szCs w:val="8"/>
                <w:color w:val="auto"/>
              </w:rPr>
            </w:pPr>
          </w:p>
        </w:tc>
        <w:tc>
          <w:tcPr>
            <w:tcW w:w="920" w:type="dxa"/>
            <w:vAlign w:val="bottom"/>
            <w:gridSpan w:val="2"/>
          </w:tcPr>
          <w:p>
            <w:pPr>
              <w:jc w:val="right"/>
              <w:ind w:right="220"/>
              <w:spacing w:after="0" w:line="103"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153,846</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154</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jc w:val="right"/>
              <w:spacing w:after="0" w:line="103" w:lineRule="exact"/>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TAC LifePort Holdings, LLC </w:t>
            </w:r>
            <w:r>
              <w:rPr>
                <w:rFonts w:ascii="Times New Roman" w:cs="Times New Roman" w:eastAsia="Times New Roman" w:hAnsi="Times New Roman"/>
                <w:sz w:val="14"/>
                <w:szCs w:val="14"/>
                <w:color w:val="auto"/>
                <w:vertAlign w:val="superscript"/>
              </w:rPr>
              <w:t>(9)</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232,558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14"/>
                <w:szCs w:val="14"/>
                <w:color w:val="auto"/>
                <w:vertAlign w:val="superscript"/>
              </w:rPr>
              <w:t>(8). (11)</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TWD Parent Holdings, LLC (The Vertex Companies, LLC)</w:t>
            </w: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608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14"/>
                <w:szCs w:val="14"/>
                <w:color w:val="auto"/>
                <w:vertAlign w:val="superscript"/>
              </w:rPr>
              <w:t>(5), (11)</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1,261,201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UniVista Insurance</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color w:val="auto"/>
              </w:rPr>
              <w:t>Wildcat Parent, LP (Wildcat Buyerco, Inc.)</w:t>
            </w:r>
          </w:p>
        </w:tc>
        <w:tc>
          <w:tcPr>
            <w:tcW w:w="660" w:type="dxa"/>
            <w:vAlign w:val="bottom"/>
          </w:tcPr>
          <w:p>
            <w:pPr>
              <w:ind w:left="54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Electronics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920" w:type="dxa"/>
            <w:vAlign w:val="bottom"/>
            <w:shd w:val="clear" w:color="auto" w:fill="CCECFF"/>
          </w:tcPr>
          <w:p>
            <w:pPr>
              <w:ind w:left="20"/>
              <w:spacing w:after="0" w:line="117" w:lineRule="exact"/>
              <w:rPr>
                <w:sz w:val="20"/>
                <w:szCs w:val="20"/>
                <w:color w:val="auto"/>
              </w:rPr>
            </w:pPr>
            <w:r>
              <w:rPr>
                <w:rFonts w:ascii="Times New Roman" w:cs="Times New Roman" w:eastAsia="Times New Roman" w:hAnsi="Times New Roman"/>
                <w:sz w:val="11"/>
                <w:szCs w:val="11"/>
                <w:color w:val="auto"/>
              </w:rPr>
              <w:t>ZS Juniper L.P.</w:t>
            </w:r>
          </w:p>
        </w:tc>
        <w:tc>
          <w:tcPr>
            <w:tcW w:w="120" w:type="dxa"/>
            <w:vAlign w:val="bottom"/>
          </w:tcPr>
          <w:p>
            <w:pPr>
              <w:spacing w:after="0"/>
              <w:rPr>
                <w:sz w:val="10"/>
                <w:szCs w:val="10"/>
                <w:color w:val="auto"/>
              </w:rPr>
            </w:pP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1,056</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1,056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5,227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920" w:type="dxa"/>
            <w:vAlign w:val="bottom"/>
            <w:vMerge w:val="restart"/>
            <w:shd w:val="clear" w:color="auto" w:fill="CCECFF"/>
          </w:tcPr>
          <w:p>
            <w:pPr>
              <w:ind w:left="100"/>
              <w:spacing w:after="0"/>
              <w:rPr>
                <w:sz w:val="20"/>
                <w:szCs w:val="20"/>
                <w:color w:val="auto"/>
              </w:rPr>
            </w:pPr>
            <w:r>
              <w:rPr>
                <w:rFonts w:ascii="Times New Roman" w:cs="Times New Roman" w:eastAsia="Times New Roman" w:hAnsi="Times New Roman"/>
                <w:sz w:val="11"/>
                <w:szCs w:val="11"/>
                <w:color w:val="auto"/>
              </w:rPr>
              <w:t xml:space="preserve">(Juniper Landscaping of Florida, LLC) </w:t>
            </w:r>
            <w:r>
              <w:rPr>
                <w:rFonts w:ascii="Times New Roman" w:cs="Times New Roman" w:eastAsia="Times New Roman" w:hAnsi="Times New Roman"/>
                <w:sz w:val="14"/>
                <w:szCs w:val="14"/>
                <w:color w:val="auto"/>
                <w:vertAlign w:val="superscript"/>
              </w:rPr>
              <w:t>(9)</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20" w:type="dxa"/>
            <w:vAlign w:val="bottom"/>
            <w:tcBorders>
              <w:bottom w:val="single" w:sz="8" w:color="CCECFF"/>
            </w:tcBorders>
            <w:vMerge w:val="continue"/>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35,536</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118,982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0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729,811</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820,500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700" w:type="dxa"/>
            <w:vAlign w:val="bottom"/>
            <w:gridSpan w:val="3"/>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Investments in Non-Controlled, Affiliated Portfolio Companies—7.6% </w:t>
            </w:r>
            <w:r>
              <w:rPr>
                <w:rFonts w:ascii="Times New Roman" w:cs="Times New Roman" w:eastAsia="Times New Roman" w:hAnsi="Times New Roman"/>
                <w:sz w:val="11"/>
                <w:szCs w:val="11"/>
                <w:b w:val="1"/>
                <w:bCs w:val="1"/>
                <w:color w:val="auto"/>
                <w:vertAlign w:val="superscript"/>
              </w:rPr>
              <w:t>(1), (2)</w:t>
            </w:r>
          </w:p>
        </w:tc>
        <w:tc>
          <w:tcPr>
            <w:tcW w:w="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Interests—6.2% </w:t>
            </w:r>
            <w:r>
              <w:rPr>
                <w:rFonts w:ascii="Times New Roman" w:cs="Times New Roman" w:eastAsia="Times New Roman" w:hAnsi="Times New Roman"/>
                <w:sz w:val="14"/>
                <w:szCs w:val="14"/>
                <w:b w:val="1"/>
                <w:bCs w:val="1"/>
                <w:color w:val="auto"/>
                <w:vertAlign w:val="superscript"/>
              </w:rPr>
              <w:t>(6)</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ETX Energy, LLC - Series X </w:t>
            </w:r>
            <w:r>
              <w:rPr>
                <w:rFonts w:ascii="Times New Roman" w:cs="Times New Roman" w:eastAsia="Times New Roman" w:hAnsi="Times New Roman"/>
                <w:sz w:val="14"/>
                <w:szCs w:val="14"/>
                <w:color w:val="auto"/>
                <w:vertAlign w:val="superscript"/>
              </w:rPr>
              <w:t>(9)</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15,392</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30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22,660</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41,023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4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Equity/Partnership Interests/Warrants—1.4% </w:t>
            </w:r>
            <w:r>
              <w:rPr>
                <w:rFonts w:ascii="Times New Roman" w:cs="Times New Roman" w:eastAsia="Times New Roman" w:hAnsi="Times New Roman"/>
                <w:sz w:val="11"/>
                <w:szCs w:val="11"/>
                <w:b w:val="1"/>
                <w:bCs w:val="1"/>
                <w:color w:val="auto"/>
                <w:vertAlign w:val="superscript"/>
              </w:rPr>
              <w:t>(6)</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14"/>
                <w:szCs w:val="14"/>
                <w:color w:val="auto"/>
                <w:vertAlign w:val="superscript"/>
              </w:rPr>
              <w:t>(9)</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1,658,389</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29,712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ETX Energy Management Company, LLC</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Oil and Gas</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1,754,104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9"/>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MidOcean JF Holdings Corp.</w:t>
            </w:r>
          </w:p>
        </w:tc>
        <w:tc>
          <w:tcPr>
            <w:tcW w:w="660" w:type="dxa"/>
            <w:vAlign w:val="bottom"/>
            <w:tcBorders>
              <w:bottom w:val="single" w:sz="8" w:color="CCECFF"/>
            </w:tcBorders>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bottom w:val="single" w:sz="8" w:color="CCECFF"/>
            </w:tcBorders>
            <w:shd w:val="clear" w:color="auto" w:fill="CCECFF"/>
          </w:tcPr>
          <w:p>
            <w:pPr>
              <w:spacing w:after="0"/>
              <w:rPr>
                <w:sz w:val="12"/>
                <w:szCs w:val="12"/>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0" w:type="dxa"/>
            <w:vAlign w:val="bottom"/>
            <w:tcBorders>
              <w:bottom w:val="single" w:sz="8" w:color="CCECFF"/>
            </w:tcBorders>
            <w:shd w:val="clear" w:color="auto" w:fill="CCECFF"/>
          </w:tcPr>
          <w:p>
            <w:pPr>
              <w:spacing w:after="0"/>
              <w:rPr>
                <w:sz w:val="12"/>
                <w:szCs w:val="12"/>
                <w:color w:val="auto"/>
              </w:rPr>
            </w:pPr>
          </w:p>
        </w:tc>
        <w:tc>
          <w:tcPr>
            <w:tcW w:w="92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22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24,790</w:t>
            </w:r>
          </w:p>
        </w:tc>
        <w:tc>
          <w:tcPr>
            <w:tcW w:w="200" w:type="dxa"/>
            <w:vAlign w:val="bottom"/>
            <w:tcBorders>
              <w:bottom w:val="single" w:sz="8" w:color="CCECFF"/>
            </w:tcBorders>
            <w:shd w:val="clear" w:color="auto" w:fill="CCECFF"/>
          </w:tcPr>
          <w:p>
            <w:pPr>
              <w:spacing w:after="0"/>
              <w:rPr>
                <w:sz w:val="12"/>
                <w:szCs w:val="12"/>
                <w:color w:val="auto"/>
              </w:rPr>
            </w:pPr>
          </w:p>
        </w:tc>
        <w:tc>
          <w:tcPr>
            <w:tcW w:w="180" w:type="dxa"/>
            <w:vAlign w:val="bottom"/>
            <w:tcBorders>
              <w:bottom w:val="single" w:sz="8" w:color="auto"/>
            </w:tcBorders>
            <w:shd w:val="clear" w:color="auto" w:fill="CCECFF"/>
          </w:tcPr>
          <w:p>
            <w:pPr>
              <w:spacing w:after="0"/>
              <w:rPr>
                <w:sz w:val="12"/>
                <w:szCs w:val="12"/>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56,064</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0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78,723</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50,161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700" w:type="dxa"/>
            <w:vAlign w:val="bottom"/>
            <w:gridSpan w:val="3"/>
          </w:tcPr>
          <w:p>
            <w:pPr>
              <w:ind w:left="20"/>
              <w:spacing w:after="0" w:line="119" w:lineRule="exact"/>
              <w:rPr>
                <w:sz w:val="20"/>
                <w:szCs w:val="20"/>
                <w:color w:val="auto"/>
              </w:rPr>
            </w:pPr>
            <w:r>
              <w:rPr>
                <w:rFonts w:ascii="Times New Roman" w:cs="Times New Roman" w:eastAsia="Times New Roman" w:hAnsi="Times New Roman"/>
                <w:sz w:val="10"/>
                <w:szCs w:val="10"/>
                <w:b w:val="1"/>
                <w:bCs w:val="1"/>
                <w:color w:val="auto"/>
              </w:rPr>
              <w:t xml:space="preserve">Investments in Controlled, Affiliated Portfolio Companies—58.3% </w:t>
            </w:r>
            <w:r>
              <w:rPr>
                <w:rFonts w:ascii="Times New Roman" w:cs="Times New Roman" w:eastAsia="Times New Roman" w:hAnsi="Times New Roman"/>
                <w:sz w:val="13"/>
                <w:szCs w:val="13"/>
                <w:b w:val="1"/>
                <w:bCs w:val="1"/>
                <w:color w:val="auto"/>
                <w:vertAlign w:val="superscript"/>
              </w:rPr>
              <w:t>(1), (2)</w:t>
            </w: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040" w:type="dxa"/>
            <w:vAlign w:val="bottom"/>
            <w:gridSpan w:val="2"/>
          </w:tcPr>
          <w:p>
            <w:pPr>
              <w:ind w:left="20"/>
              <w:spacing w:after="0" w:line="119" w:lineRule="exact"/>
              <w:rPr>
                <w:sz w:val="20"/>
                <w:szCs w:val="20"/>
                <w:color w:val="auto"/>
              </w:rPr>
            </w:pPr>
            <w:r>
              <w:rPr>
                <w:rFonts w:ascii="Times New Roman" w:cs="Times New Roman" w:eastAsia="Times New Roman" w:hAnsi="Times New Roman"/>
                <w:sz w:val="11"/>
                <w:szCs w:val="11"/>
                <w:b w:val="1"/>
                <w:bCs w:val="1"/>
                <w:color w:val="auto"/>
              </w:rPr>
              <w:t>First Lien Secured Debt—6.2%</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03/13/2024</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7.50 %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30,500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42,389</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41,125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42,389</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41,125</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Second Lien Secured Debt—10.6%</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920" w:type="dxa"/>
            <w:vAlign w:val="bottom"/>
            <w:shd w:val="clear" w:color="auto" w:fill="CCECFF"/>
          </w:tcPr>
          <w:p>
            <w:pPr>
              <w:ind w:left="20"/>
              <w:spacing w:after="0" w:line="122" w:lineRule="exact"/>
              <w:rPr>
                <w:sz w:val="20"/>
                <w:szCs w:val="20"/>
                <w:color w:val="auto"/>
              </w:rPr>
            </w:pPr>
            <w:r>
              <w:rPr>
                <w:rFonts w:ascii="Times New Roman" w:cs="Times New Roman" w:eastAsia="Times New Roman" w:hAnsi="Times New Roman"/>
                <w:sz w:val="11"/>
                <w:szCs w:val="11"/>
                <w:color w:val="auto"/>
              </w:rPr>
              <w:t>Mailsouth Inc.</w:t>
            </w: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ind w:left="80"/>
              <w:spacing w:after="0" w:line="122" w:lineRule="exact"/>
              <w:rPr>
                <w:sz w:val="20"/>
                <w:szCs w:val="20"/>
                <w:color w:val="auto"/>
              </w:rPr>
            </w:pPr>
            <w:r>
              <w:rPr>
                <w:rFonts w:ascii="Times New Roman" w:cs="Times New Roman" w:eastAsia="Times New Roman" w:hAnsi="Times New Roman"/>
                <w:sz w:val="11"/>
                <w:szCs w:val="11"/>
                <w:color w:val="auto"/>
              </w:rPr>
              <w:t>04/23/2025</w:t>
            </w:r>
          </w:p>
        </w:tc>
        <w:tc>
          <w:tcPr>
            <w:tcW w:w="240" w:type="dxa"/>
            <w:vAlign w:val="bottom"/>
            <w:shd w:val="clear" w:color="auto" w:fill="CCECFF"/>
          </w:tcPr>
          <w:p>
            <w:pPr>
              <w:spacing w:after="0"/>
              <w:rPr>
                <w:sz w:val="10"/>
                <w:szCs w:val="10"/>
                <w:color w:val="auto"/>
              </w:rPr>
            </w:pPr>
          </w:p>
        </w:tc>
        <w:tc>
          <w:tcPr>
            <w:tcW w:w="2560" w:type="dxa"/>
            <w:vAlign w:val="bottom"/>
            <w:shd w:val="clear" w:color="auto" w:fill="CCECFF"/>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040" w:type="dxa"/>
            <w:vAlign w:val="bottom"/>
            <w:gridSpan w:val="3"/>
            <w:shd w:val="clear" w:color="auto" w:fill="CCEC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15.00 %</w:t>
            </w:r>
          </w:p>
        </w:tc>
        <w:tc>
          <w:tcPr>
            <w:tcW w:w="90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6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2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20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540" w:type="dxa"/>
            <w:vAlign w:val="bottom"/>
            <w:shd w:val="clear" w:color="auto" w:fill="CCEC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11,087</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(PIK 15.00%)</w:t>
            </w:r>
          </w:p>
        </w:tc>
        <w:tc>
          <w:tcPr>
            <w:tcW w:w="9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PT Network Intermediate Holdings, LLC</w:t>
            </w:r>
          </w:p>
        </w:tc>
        <w:tc>
          <w:tcPr>
            <w:tcW w:w="12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11/30/2024</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11.00 %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58,276</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58,582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(PIK 11.00%)</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69,363</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69,668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0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Subordinated Debt—9.7%</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07/31/2027</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9.00 %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64,155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64,155</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64,155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 xml:space="preserve">Preferred Equity—2.0% </w:t>
            </w:r>
            <w:r>
              <w:rPr>
                <w:rFonts w:ascii="Times New Roman" w:cs="Times New Roman" w:eastAsia="Times New Roman" w:hAnsi="Times New Roman"/>
                <w:sz w:val="14"/>
                <w:szCs w:val="14"/>
                <w:b w:val="1"/>
                <w:bCs w:val="1"/>
                <w:color w:val="auto"/>
                <w:vertAlign w:val="superscript"/>
              </w:rPr>
              <w:t>(6)</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2"/>
                <w:szCs w:val="12"/>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36,450</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47"/>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(9)</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(9)</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11.00 %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10,725</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4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b w:val="1"/>
                <w:bCs w:val="1"/>
                <w:color w:val="auto"/>
              </w:rPr>
              <w:t>Total Preferred Equity</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11,272</w:t>
            </w:r>
          </w:p>
        </w:tc>
        <w:tc>
          <w:tcPr>
            <w:tcW w:w="2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rPr>
              <w:t>13,412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040" w:type="dxa"/>
            <w:vAlign w:val="bottom"/>
            <w:gridSpan w:val="2"/>
          </w:tcPr>
          <w:p>
            <w:pPr>
              <w:ind w:left="20"/>
              <w:spacing w:after="0" w:line="103" w:lineRule="exact"/>
              <w:rPr>
                <w:sz w:val="20"/>
                <w:szCs w:val="20"/>
                <w:color w:val="auto"/>
              </w:rPr>
            </w:pPr>
            <w:r>
              <w:rPr>
                <w:rFonts w:ascii="Times New Roman" w:cs="Times New Roman" w:eastAsia="Times New Roman" w:hAnsi="Times New Roman"/>
                <w:sz w:val="9"/>
                <w:szCs w:val="9"/>
                <w:b w:val="1"/>
                <w:bCs w:val="1"/>
                <w:color w:val="auto"/>
              </w:rPr>
              <w:t xml:space="preserve">Common Equity—29.7% </w:t>
            </w:r>
            <w:r>
              <w:rPr>
                <w:rFonts w:ascii="Times New Roman" w:cs="Times New Roman" w:eastAsia="Times New Roman" w:hAnsi="Times New Roman"/>
                <w:sz w:val="11"/>
                <w:szCs w:val="11"/>
                <w:b w:val="1"/>
                <w:bCs w:val="1"/>
                <w:color w:val="auto"/>
                <w:vertAlign w:val="superscript"/>
              </w:rPr>
              <w:t>(6)</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14"/>
                <w:szCs w:val="14"/>
                <w:color w:val="auto"/>
                <w:vertAlign w:val="superscript"/>
              </w:rPr>
              <w:t>(8), (10), (11)</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66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4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56"/>
        </w:trPr>
        <w:tc>
          <w:tcPr>
            <w:tcW w:w="30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14"/>
                <w:szCs w:val="14"/>
                <w:color w:val="auto"/>
                <w:vertAlign w:val="superscript"/>
              </w:rPr>
              <w:t>(9)</w:t>
            </w: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3040" w:type="dxa"/>
            <w:vAlign w:val="bottom"/>
            <w:gridSpan w:val="2"/>
          </w:tcPr>
          <w:p>
            <w:pPr>
              <w:ind w:left="20"/>
              <w:spacing w:after="0" w:line="117" w:lineRule="exact"/>
              <w:rPr>
                <w:sz w:val="20"/>
                <w:szCs w:val="20"/>
                <w:color w:val="auto"/>
              </w:rPr>
            </w:pPr>
            <w:r>
              <w:rPr>
                <w:rFonts w:ascii="Times New Roman" w:cs="Times New Roman" w:eastAsia="Times New Roman" w:hAnsi="Times New Roman"/>
                <w:sz w:val="11"/>
                <w:szCs w:val="11"/>
                <w:color w:val="auto"/>
              </w:rPr>
              <w:t>MSpark, LLC</w:t>
            </w:r>
          </w:p>
        </w:tc>
        <w:tc>
          <w:tcPr>
            <w:tcW w:w="660" w:type="dxa"/>
            <w:vAlign w:val="bottom"/>
          </w:tcPr>
          <w:p>
            <w:pPr>
              <w:ind w:left="540"/>
              <w:spacing w:after="0" w:line="117"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0"/>
                <w:szCs w:val="10"/>
                <w:color w:val="auto"/>
              </w:rPr>
            </w:pPr>
          </w:p>
        </w:tc>
        <w:tc>
          <w:tcPr>
            <w:tcW w:w="25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color w:val="auto"/>
                <w:w w:val="98"/>
              </w:rPr>
              <w:t>Printing and Publishing</w:t>
            </w:r>
          </w:p>
        </w:tc>
        <w:tc>
          <w:tcPr>
            <w:tcW w:w="120" w:type="dxa"/>
            <w:vAlign w:val="bottom"/>
          </w:tcPr>
          <w:p>
            <w:pPr>
              <w:spacing w:after="0"/>
              <w:rPr>
                <w:sz w:val="10"/>
                <w:szCs w:val="10"/>
                <w:color w:val="auto"/>
              </w:rPr>
            </w:pPr>
          </w:p>
        </w:tc>
        <w:tc>
          <w:tcPr>
            <w:tcW w:w="92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51,151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16,516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11,013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14"/>
                <w:szCs w:val="14"/>
                <w:color w:val="auto"/>
                <w:vertAlign w:val="superscript"/>
              </w:rPr>
              <w:t>(11)</w:t>
            </w:r>
          </w:p>
        </w:tc>
        <w:tc>
          <w:tcPr>
            <w:tcW w:w="660" w:type="dxa"/>
            <w:vAlign w:val="bottom"/>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Pr>
          <w:p>
            <w:pPr>
              <w:spacing w:after="0"/>
              <w:rPr>
                <w:sz w:val="11"/>
                <w:szCs w:val="11"/>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0" w:type="dxa"/>
            <w:vAlign w:val="bottom"/>
          </w:tcPr>
          <w:p>
            <w:pPr>
              <w:spacing w:after="0"/>
              <w:rPr>
                <w:sz w:val="11"/>
                <w:szCs w:val="1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33,830,005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33,893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14"/>
                <w:szCs w:val="14"/>
                <w:color w:val="auto"/>
                <w:vertAlign w:val="superscript"/>
              </w:rPr>
              <w:t>(9)</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7,159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RAM Energy Holdings LLC</w:t>
            </w:r>
          </w:p>
        </w:tc>
        <w:tc>
          <w:tcPr>
            <w:tcW w:w="660" w:type="dxa"/>
            <w:vAlign w:val="bottom"/>
            <w:tcBorders>
              <w:bottom w:val="single" w:sz="8" w:color="CCECFF"/>
            </w:tcBorders>
            <w:shd w:val="clear" w:color="auto" w:fill="CCECFF"/>
          </w:tcPr>
          <w:p>
            <w:pPr>
              <w:ind w:left="540"/>
              <w:spacing w:after="0"/>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120" w:type="dxa"/>
            <w:vAlign w:val="bottom"/>
            <w:tcBorders>
              <w:bottom w:val="single" w:sz="8" w:color="CCECFF"/>
            </w:tcBorders>
            <w:shd w:val="clear" w:color="auto" w:fill="CCECFF"/>
          </w:tcPr>
          <w:p>
            <w:pPr>
              <w:spacing w:after="0"/>
              <w:rPr>
                <w:sz w:val="11"/>
                <w:szCs w:val="11"/>
                <w:color w:val="auto"/>
              </w:rPr>
            </w:pPr>
          </w:p>
        </w:tc>
        <w:tc>
          <w:tcPr>
            <w:tcW w:w="920" w:type="dxa"/>
            <w:vAlign w:val="bottom"/>
            <w:tcBorders>
              <w:bottom w:val="single" w:sz="8" w:color="CCECFF"/>
            </w:tcBorders>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162,708</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81,710</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225,408</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196,269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in Controlled, Affiliated Portfolio Companies</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412,587</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384,628</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Investments—190.2%</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1,221,121</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1,255,290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Equivalents—3.1%</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66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CCECFF"/>
            </w:tcBorders>
            <w:shd w:val="clear" w:color="auto" w:fill="CCECFF"/>
          </w:tcPr>
          <w:p>
            <w:pPr>
              <w:spacing w:after="0"/>
              <w:rPr>
                <w:sz w:val="11"/>
                <w:szCs w:val="11"/>
                <w:color w:val="auto"/>
              </w:rPr>
            </w:pPr>
          </w:p>
        </w:tc>
        <w:tc>
          <w:tcPr>
            <w:tcW w:w="256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70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9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56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2,163</w:t>
            </w:r>
          </w:p>
        </w:tc>
        <w:tc>
          <w:tcPr>
            <w:tcW w:w="200" w:type="dxa"/>
            <w:vAlign w:val="bottom"/>
            <w:tcBorders>
              <w:bottom w:val="single" w:sz="8" w:color="CCECFF"/>
            </w:tcBorders>
            <w:shd w:val="clear" w:color="auto" w:fill="CCECFF"/>
          </w:tcPr>
          <w:p>
            <w:pPr>
              <w:spacing w:after="0"/>
              <w:rPr>
                <w:sz w:val="11"/>
                <w:szCs w:val="11"/>
                <w:color w:val="auto"/>
              </w:rPr>
            </w:pPr>
          </w:p>
        </w:tc>
        <w:tc>
          <w:tcPr>
            <w:tcW w:w="180" w:type="dxa"/>
            <w:vAlign w:val="bottom"/>
            <w:tcBorders>
              <w:bottom w:val="single" w:sz="8" w:color="auto"/>
            </w:tcBorders>
            <w:shd w:val="clear" w:color="auto" w:fill="CCECFF"/>
          </w:tcPr>
          <w:p>
            <w:pPr>
              <w:spacing w:after="0"/>
              <w:rPr>
                <w:sz w:val="11"/>
                <w:szCs w:val="11"/>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20,383</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20,357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Equivalents—193.2%</w:t>
            </w:r>
          </w:p>
        </w:tc>
        <w:tc>
          <w:tcPr>
            <w:tcW w:w="6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CCECFF"/>
            </w:tcBorders>
            <w:shd w:val="clear" w:color="auto" w:fill="CCECFF"/>
          </w:tcPr>
          <w:p>
            <w:pPr>
              <w:spacing w:after="0"/>
              <w:rPr>
                <w:sz w:val="14"/>
                <w:szCs w:val="14"/>
                <w:color w:val="auto"/>
              </w:rPr>
            </w:pPr>
          </w:p>
        </w:tc>
        <w:tc>
          <w:tcPr>
            <w:tcW w:w="256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0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90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56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1,241,504</w:t>
            </w:r>
          </w:p>
        </w:tc>
        <w:tc>
          <w:tcPr>
            <w:tcW w:w="200" w:type="dxa"/>
            <w:vAlign w:val="bottom"/>
            <w:tcBorders>
              <w:bottom w:val="single" w:sz="8" w:color="CCECFF"/>
            </w:tcBorders>
            <w:shd w:val="clear" w:color="auto" w:fill="CCECFF"/>
          </w:tcPr>
          <w:p>
            <w:pPr>
              <w:spacing w:after="0"/>
              <w:rPr>
                <w:sz w:val="14"/>
                <w:szCs w:val="14"/>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1,275,647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3040" w:type="dxa"/>
            <w:vAlign w:val="bottom"/>
            <w:gridSpan w:val="2"/>
          </w:tcPr>
          <w:p>
            <w:pPr>
              <w:ind w:left="20"/>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Assets—(93.2%)</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gridSpan w:val="2"/>
          </w:tcPr>
          <w:p>
            <w:pPr>
              <w:jc w:val="right"/>
              <w:ind w:right="60"/>
              <w:spacing w:after="0" w:line="116" w:lineRule="exact"/>
              <w:rPr>
                <w:sz w:val="20"/>
                <w:szCs w:val="20"/>
                <w:color w:val="auto"/>
              </w:rPr>
            </w:pPr>
            <w:r>
              <w:rPr>
                <w:rFonts w:ascii="Times New Roman" w:cs="Times New Roman" w:eastAsia="Times New Roman" w:hAnsi="Times New Roman"/>
                <w:sz w:val="11"/>
                <w:szCs w:val="11"/>
                <w:color w:val="auto"/>
              </w:rPr>
              <w:t>(615,503 )</w:t>
            </w:r>
          </w:p>
        </w:tc>
        <w:tc>
          <w:tcPr>
            <w:tcW w:w="0" w:type="dxa"/>
            <w:vAlign w:val="bottom"/>
          </w:tcPr>
          <w:p>
            <w:pPr>
              <w:spacing w:after="0"/>
              <w:rPr>
                <w:sz w:val="1"/>
                <w:szCs w:val="1"/>
                <w:color w:val="auto"/>
              </w:rPr>
            </w:pPr>
          </w:p>
        </w:tc>
      </w:tr>
      <w:tr>
        <w:trPr>
          <w:trHeight w:val="175"/>
        </w:trPr>
        <w:tc>
          <w:tcPr>
            <w:tcW w:w="30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6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CCECFF"/>
            </w:tcBorders>
            <w:shd w:val="clear" w:color="auto" w:fill="CCECFF"/>
          </w:tcPr>
          <w:p>
            <w:pPr>
              <w:spacing w:after="0"/>
              <w:rPr>
                <w:sz w:val="15"/>
                <w:szCs w:val="15"/>
                <w:color w:val="auto"/>
              </w:rPr>
            </w:pPr>
          </w:p>
        </w:tc>
        <w:tc>
          <w:tcPr>
            <w:tcW w:w="25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70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90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56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54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660,144</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-5382895</wp:posOffset>
            </wp:positionV>
            <wp:extent cx="7132320" cy="857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857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-4868545</wp:posOffset>
            </wp:positionV>
            <wp:extent cx="7132320" cy="857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7132320" cy="3683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-4242435</wp:posOffset>
            </wp:positionV>
            <wp:extent cx="7132320" cy="857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-4062730</wp:posOffset>
            </wp:positionV>
            <wp:extent cx="7132320" cy="2654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-3625215</wp:posOffset>
            </wp:positionV>
            <wp:extent cx="7132320" cy="3683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-3076575</wp:posOffset>
            </wp:positionV>
            <wp:extent cx="68580" cy="946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-3076575</wp:posOffset>
            </wp:positionV>
            <wp:extent cx="68580" cy="946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-2545080</wp:posOffset>
            </wp:positionV>
            <wp:extent cx="7132320" cy="3683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3683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857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2743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857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857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-959485</wp:posOffset>
            </wp:positionV>
            <wp:extent cx="68580" cy="1028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1028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-770890</wp:posOffset>
            </wp:positionV>
            <wp:extent cx="68580" cy="1028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1028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-410845</wp:posOffset>
            </wp:positionV>
            <wp:extent cx="68580" cy="1028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1028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-222250</wp:posOffset>
            </wp:positionV>
            <wp:extent cx="651510" cy="1111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5151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8" w:lineRule="exact"/>
        <w:rPr>
          <w:sz w:val="20"/>
          <w:szCs w:val="20"/>
          <w:color w:val="auto"/>
        </w:rPr>
      </w:pPr>
    </w:p>
    <w:p>
      <w:pPr>
        <w:ind w:left="380" w:right="220" w:hanging="372"/>
        <w:spacing w:after="0" w:line="255" w:lineRule="auto"/>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3"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37" w:lineRule="exact"/>
        <w:rPr>
          <w:rFonts w:ascii="Times New Roman" w:cs="Times New Roman" w:eastAsia="Times New Roman" w:hAnsi="Times New Roman"/>
          <w:sz w:val="12"/>
          <w:szCs w:val="12"/>
          <w:color w:val="auto"/>
        </w:rPr>
      </w:pPr>
    </w:p>
    <w:p>
      <w:pPr>
        <w:ind w:left="380" w:right="100" w:hanging="372"/>
        <w:spacing w:after="0" w:line="241" w:lineRule="auto"/>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12"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Subsidiary (See Note 1).</w:t>
      </w:r>
    </w:p>
    <w:p>
      <w:pPr>
        <w:spacing w:after="0" w:line="24"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74" w:name="page75"/>
    <w:bookmarkEnd w:id="74"/>
    <w:p>
      <w:pPr>
        <w:ind w:left="372" w:hanging="372"/>
        <w:spacing w:after="0" w:line="255" w:lineRule="auto"/>
        <w:tabs>
          <w:tab w:leader="none" w:pos="372"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2021, qualifying assets represent 87% of the Company’s total assets and non-qualifying assets represent 12% of the Company’s total assets.</w:t>
      </w:r>
    </w:p>
    <w:p>
      <w:pPr>
        <w:spacing w:after="0" w:line="25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0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71120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61" w:right="359" w:bottom="1440" w:gutter="0" w:footer="0" w:header="0"/>
        </w:sectPr>
      </w:pPr>
    </w:p>
    <w:bookmarkStart w:id="75" w:name="page76"/>
    <w:bookmarkEnd w:id="75"/>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138" w:lineRule="exact"/>
        <w:rPr>
          <w:sz w:val="20"/>
          <w:szCs w:val="20"/>
          <w:color w:val="auto"/>
        </w:rPr>
      </w:pPr>
    </w:p>
    <w:p>
      <w:pPr>
        <w:ind w:right="80" w:firstLine="449"/>
        <w:spacing w:after="0" w:line="243" w:lineRule="auto"/>
        <w:rPr>
          <w:sz w:val="20"/>
          <w:szCs w:val="20"/>
          <w:color w:val="auto"/>
        </w:rPr>
      </w:pPr>
      <w:r>
        <w:rPr>
          <w:rFonts w:ascii="Times New Roman" w:cs="Times New Roman" w:eastAsia="Times New Roman" w:hAnsi="Times New Roman"/>
          <w:sz w:val="14"/>
          <w:szCs w:val="14"/>
          <w:color w:val="auto"/>
        </w:rPr>
        <w:t>PennantPark Investment Corporation was organized as a Maryland corporation in January 2007. We are a closed-end, externally managed, non-diversified investment company that has elected to be treated as a BDC under the 1940 Act. Our investment objective is to generate both current income and capital appreciation while seeking to preserve capital through debt and equity</w:t>
      </w:r>
    </w:p>
    <w:p>
      <w:pPr>
        <w:spacing w:after="0" w:line="1"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14"/>
          <w:szCs w:val="14"/>
          <w:color w:val="auto"/>
        </w:rPr>
        <w:t>investments. We invest primarily in U.S. middle-market companies in the form of first lien secured debt, second lien secured debt, subordinated debt and, to a lesser extent, equity investments. On April 24, 2007, we closed our initial public offering. On April 14, 2022, listing and trading of the Company's common stock commenced on the New York Stock Exchange after the Company</w:t>
      </w:r>
    </w:p>
    <w:p>
      <w:pPr>
        <w:spacing w:after="0" w:line="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4"/>
          <w:szCs w:val="14"/>
          <w:color w:val="auto"/>
        </w:rPr>
        <w:t>voluntarily withdrew the principal listing of its common stock from the Nasdaq Stock Market LLC effective at market close on April 13, 2022. Our common stock trades on the New York Stock Exchange under the symbol “PNNT.”</w:t>
      </w:r>
    </w:p>
    <w:p>
      <w:pPr>
        <w:spacing w:after="0" w:line="122" w:lineRule="exact"/>
        <w:rPr>
          <w:sz w:val="20"/>
          <w:szCs w:val="20"/>
          <w:color w:val="auto"/>
        </w:rPr>
      </w:pPr>
    </w:p>
    <w:p>
      <w:pPr>
        <w:ind w:right="280" w:firstLine="449"/>
        <w:spacing w:after="0" w:line="243" w:lineRule="auto"/>
        <w:rPr>
          <w:sz w:val="20"/>
          <w:szCs w:val="20"/>
          <w:color w:val="auto"/>
        </w:rPr>
      </w:pPr>
      <w:r>
        <w:rPr>
          <w:rFonts w:ascii="Times New Roman" w:cs="Times New Roman" w:eastAsia="Times New Roman" w:hAnsi="Times New Roman"/>
          <w:sz w:val="14"/>
          <w:szCs w:val="14"/>
          <w:color w:val="auto"/>
        </w:rPr>
        <w:t>We have entered into an investment management agreement, or the Investment Management Agreement with the Investment Adviser, an external adviser that manages our day-to-day operations. PennantPark Investment, through the Investment Adviser, manages the day-to-day operations of and provides investment advisory services to SBIC II under a separate investment</w:t>
      </w:r>
    </w:p>
    <w:p>
      <w:pPr>
        <w:spacing w:after="0" w:line="1"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4"/>
          <w:szCs w:val="14"/>
          <w:color w:val="auto"/>
        </w:rPr>
        <w:t>management agreement. We have also entered into an administration agreement, or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w:t>
      </w:r>
    </w:p>
    <w:p>
      <w:pPr>
        <w:spacing w:after="0" w:line="1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4"/>
          <w:szCs w:val="14"/>
          <w:color w:val="auto"/>
        </w:rPr>
        <w:t>the 1958 Act. SBIC II’s objectives are to generate both current income and capital appreciation through debt and equity investments generally by investing with us in SBA-eligible businesses that meet the investment selection criteria used by PennantPark Investment.</w:t>
      </w:r>
    </w:p>
    <w:p>
      <w:pPr>
        <w:spacing w:after="0" w:line="176" w:lineRule="exact"/>
        <w:rPr>
          <w:sz w:val="20"/>
          <w:szCs w:val="20"/>
          <w:color w:val="auto"/>
        </w:rPr>
      </w:pPr>
    </w:p>
    <w:p>
      <w:pPr>
        <w:ind w:right="240" w:firstLine="449"/>
        <w:spacing w:after="0" w:line="255" w:lineRule="auto"/>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w:t>
      </w:r>
    </w:p>
    <w:p>
      <w:pPr>
        <w:spacing w:after="0" w:line="17"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4"/>
          <w:szCs w:val="14"/>
          <w:color w:val="auto"/>
        </w:rPr>
        <w:t>paid semi-annually on May 1 and November 1 of each year, at a rate of 4.50% per year, commencing November 1, 2021. The 2026 Notes mature on May 1, 2026 and may be redeemed in whole or in part at our option 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85"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99.436%. Interest on the 2026 Notes is paid semi-annually on May 1 and November 1 of each year, at a rate of 4.00% per year, commencing May 1, 2022. The 2026 Notes-2 mature on November 1, 2026 and may be redeemed in whole or in part 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 We do not intend to list the 2026 Notes-2 on any securities exchange or automated dealer quotation system.</w:t>
      </w:r>
    </w:p>
    <w:p>
      <w:pPr>
        <w:spacing w:after="0" w:line="183" w:lineRule="exact"/>
        <w:rPr>
          <w:sz w:val="20"/>
          <w:szCs w:val="20"/>
          <w:color w:val="auto"/>
        </w:rPr>
      </w:pPr>
    </w:p>
    <w:p>
      <w:pPr>
        <w:ind w:right="60" w:firstLine="449"/>
        <w:spacing w:after="0" w:line="282" w:lineRule="auto"/>
        <w:rPr>
          <w:sz w:val="20"/>
          <w:szCs w:val="20"/>
          <w:color w:val="auto"/>
        </w:rPr>
      </w:pPr>
      <w:r>
        <w:rPr>
          <w:rFonts w:ascii="Times New Roman" w:cs="Times New Roman" w:eastAsia="Times New Roman" w:hAnsi="Times New Roman"/>
          <w:sz w:val="14"/>
          <w:szCs w:val="14"/>
          <w:color w:val="auto"/>
        </w:rPr>
        <w:t>We have formed the Taxable Subsidiary, which is subject to tax as a corporation. The Taxable Subsidiary allows us to hold equity securities of certain portfolio companies treated as pass-through entities for federal income tax purposes while facilitating our ability to qualify as a RIC under the Code.</w:t>
      </w:r>
    </w:p>
    <w:p>
      <w:pPr>
        <w:spacing w:after="0" w:line="148" w:lineRule="exact"/>
        <w:rPr>
          <w:sz w:val="20"/>
          <w:szCs w:val="20"/>
          <w:color w:val="auto"/>
        </w:rPr>
      </w:pPr>
    </w:p>
    <w:p>
      <w:pPr>
        <w:ind w:firstLine="449"/>
        <w:spacing w:after="0" w:line="261" w:lineRule="auto"/>
        <w:rPr>
          <w:sz w:val="20"/>
          <w:szCs w:val="20"/>
          <w:color w:val="auto"/>
        </w:rPr>
      </w:pPr>
      <w:r>
        <w:rPr>
          <w:rFonts w:ascii="Times New Roman" w:cs="Times New Roman" w:eastAsia="Times New Roman" w:hAnsi="Times New Roman"/>
          <w:sz w:val="14"/>
          <w:szCs w:val="14"/>
          <w:color w:val="auto"/>
        </w:rPr>
        <w:t>In January 2022, we funded PennantPark-TSO Senior Loan Fund II LP, ("PTSF II"), an unconsolidated limited partnership, organized as a Delaware limited liability partnership. We sold $82.3 million in investments to a wholly-owned subsidiary of PTSF II in exchange for cash in the amount of $75.7 million and an $6.6 million equity interest in PTSF II representing 23.1% of the total outstanding Class A Units of PTSF II. We recognized $0.2 million of realized gain upon the formation of PTSF II. As of September 30, 2022, our capital commitment of $15.0 million is 100% funded and we hold 23.1% of the total outstanding Class A Units of PTSF II and a 4.99% voting interest in the general partner which manages PTSF II.</w:t>
      </w:r>
    </w:p>
    <w:p>
      <w:pPr>
        <w:spacing w:after="0" w:line="110" w:lineRule="exact"/>
        <w:rPr>
          <w:sz w:val="20"/>
          <w:szCs w:val="20"/>
          <w:color w:val="auto"/>
        </w:rPr>
      </w:pPr>
    </w:p>
    <w:p>
      <w:pPr>
        <w:ind w:right="200" w:firstLine="449"/>
        <w:spacing w:after="0" w:line="282"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and the Investment Adviser intends to continue to affirm the exclusion on an annual basis, and therefore, is not subject to registration or regulation as a commodity pool operator under the Commodity Exchange Act.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generally accepted accounting principles, or GAAP requires management to make estimates and</w:t>
      </w:r>
    </w:p>
    <w:p>
      <w:pPr>
        <w:spacing w:after="0" w:line="17"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4"/>
          <w:szCs w:val="14"/>
          <w:color w:val="auto"/>
        </w:rPr>
        <w:t>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w:t>
      </w:r>
    </w:p>
    <w:p>
      <w:pPr>
        <w:spacing w:after="0" w:line="1"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4"/>
          <w:szCs w:val="14"/>
          <w:color w:val="auto"/>
        </w:rPr>
        <w:t>in the economic and regulatory environment, financial markets, the credit worthiness of our portfolio companies and any other parameters used in determining these estimates and assumptions could cause actual results to differ from such estimates and assumptions. We may reclassify certain prior period amounts to conform to the current period presentation. We have eliminated all</w:t>
      </w:r>
    </w:p>
    <w:p>
      <w:pPr>
        <w:spacing w:after="0" w:line="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4"/>
          <w:szCs w:val="14"/>
          <w:color w:val="auto"/>
        </w:rPr>
        <w:t>intercompany balances and transactions in consolidation.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97" w:lineRule="exact"/>
        <w:rPr>
          <w:sz w:val="20"/>
          <w:szCs w:val="20"/>
          <w:color w:val="auto"/>
        </w:rPr>
      </w:pPr>
    </w:p>
    <w:p>
      <w:pPr>
        <w:ind w:right="280" w:firstLine="449"/>
        <w:spacing w:after="0" w:line="243"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Statement of Changes in Net Assets in lieu of a Consolidated Statement of Changes in Stockholders’ Equity.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76" w:name="page77"/>
    <w:bookmarkEnd w:id="76"/>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132" w:lineRule="exact"/>
        <w:rPr>
          <w:sz w:val="20"/>
          <w:szCs w:val="20"/>
          <w:color w:val="auto"/>
        </w:rPr>
      </w:pPr>
    </w:p>
    <w:p>
      <w:pPr>
        <w:ind w:left="640" w:hanging="377"/>
        <w:spacing w:after="0"/>
        <w:tabs>
          <w:tab w:leader="none" w:pos="640" w:val="left"/>
        </w:tabs>
        <w:numPr>
          <w:ilvl w:val="0"/>
          <w:numId w:val="6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w:t>
      </w:r>
    </w:p>
    <w:p>
      <w:pPr>
        <w:spacing w:after="0" w:line="17" w:lineRule="exact"/>
        <w:rPr>
          <w:sz w:val="20"/>
          <w:szCs w:val="20"/>
          <w:color w:val="auto"/>
        </w:rPr>
      </w:pPr>
    </w:p>
    <w:p>
      <w:pPr>
        <w:ind w:right="240"/>
        <w:spacing w:after="0" w:line="231" w:lineRule="auto"/>
        <w:rPr>
          <w:sz w:val="20"/>
          <w:szCs w:val="20"/>
          <w:color w:val="auto"/>
        </w:rPr>
      </w:pPr>
      <w:r>
        <w:rPr>
          <w:rFonts w:ascii="Times New Roman" w:cs="Times New Roman" w:eastAsia="Times New Roman" w:hAnsi="Times New Roman"/>
          <w:sz w:val="14"/>
          <w:szCs w:val="14"/>
          <w:color w:val="auto"/>
        </w:rPr>
        <w:t>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our board of directors may take into account in pricing our investments at fair value include,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relevant, the nature and realizable value of any collateral, the portfolio company’s ability to make payments and its earnings and discounted cash flow, the markets in which the portfolio company</w:t>
      </w:r>
    </w:p>
    <w:p>
      <w:pPr>
        <w:spacing w:after="0" w:line="1"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4"/>
          <w:szCs w:val="14"/>
          <w:color w:val="auto"/>
        </w:rPr>
        <w:t>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available market value, the price used in an actual transaction may be different than our valuation and the difference may be material. See Note 5.</w:t>
      </w:r>
    </w:p>
    <w:p>
      <w:pPr>
        <w:spacing w:after="0" w:line="120" w:lineRule="exact"/>
        <w:rPr>
          <w:sz w:val="20"/>
          <w:szCs w:val="20"/>
          <w:color w:val="auto"/>
        </w:rPr>
      </w:pPr>
    </w:p>
    <w:p>
      <w:pPr>
        <w:ind w:right="360" w:firstLine="449"/>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960" w:hanging="383"/>
        <w:spacing w:after="0" w:line="282" w:lineRule="auto"/>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80"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136" w:lineRule="exact"/>
        <w:rPr>
          <w:rFonts w:ascii="Times New Roman" w:cs="Times New Roman" w:eastAsia="Times New Roman" w:hAnsi="Times New Roman"/>
          <w:sz w:val="14"/>
          <w:szCs w:val="14"/>
          <w:color w:val="auto"/>
        </w:rPr>
      </w:pPr>
    </w:p>
    <w:p>
      <w:pPr>
        <w:ind w:left="960" w:right="40" w:hanging="383"/>
        <w:spacing w:after="0" w:line="251" w:lineRule="auto"/>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5" w:lineRule="exact"/>
        <w:rPr>
          <w:rFonts w:ascii="Times New Roman" w:cs="Times New Roman" w:eastAsia="Times New Roman" w:hAnsi="Times New Roman"/>
          <w:sz w:val="14"/>
          <w:szCs w:val="14"/>
          <w:color w:val="auto"/>
        </w:rPr>
      </w:pPr>
    </w:p>
    <w:p>
      <w:pPr>
        <w:ind w:left="960" w:right="300" w:hanging="383"/>
        <w:spacing w:after="0" w:line="251" w:lineRule="auto"/>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2" w:lineRule="exact"/>
        <w:rPr>
          <w:rFonts w:ascii="Times New Roman" w:cs="Times New Roman" w:eastAsia="Times New Roman" w:hAnsi="Times New Roman"/>
          <w:sz w:val="14"/>
          <w:szCs w:val="14"/>
          <w:color w:val="auto"/>
        </w:rPr>
      </w:pPr>
    </w:p>
    <w:p>
      <w:pPr>
        <w:ind w:left="960" w:right="40" w:hanging="383"/>
        <w:spacing w:after="0" w:line="261" w:lineRule="auto"/>
        <w:tabs>
          <w:tab w:leader="none" w:pos="9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9" w:lineRule="exact"/>
        <w:rPr>
          <w:sz w:val="20"/>
          <w:szCs w:val="20"/>
          <w:color w:val="auto"/>
        </w:rPr>
      </w:pPr>
    </w:p>
    <w:p>
      <w:pPr>
        <w:ind w:right="40" w:firstLine="449"/>
        <w:spacing w:after="0" w:line="255"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8" w:lineRule="exact"/>
        <w:rPr>
          <w:sz w:val="20"/>
          <w:szCs w:val="20"/>
          <w:color w:val="auto"/>
        </w:rPr>
      </w:pPr>
    </w:p>
    <w:p>
      <w:pPr>
        <w:ind w:left="640" w:hanging="377"/>
        <w:spacing w:after="0"/>
        <w:tabs>
          <w:tab w:leader="none" w:pos="640" w:val="left"/>
        </w:tabs>
        <w:numPr>
          <w:ilvl w:val="0"/>
          <w:numId w:val="6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Security Transactions, Revenue Recognition, and Realized/Unrealized Gains or Losses</w:t>
      </w:r>
    </w:p>
    <w:p>
      <w:pPr>
        <w:spacing w:after="0" w:line="154"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and the Truist Credit Facility during the reporting period, including the reversal of previously recorded unrealized appreciation or depreciation, when gains or losses are realized.</w:t>
      </w:r>
    </w:p>
    <w:p>
      <w:pPr>
        <w:spacing w:after="0" w:line="110"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7" w:lineRule="exact"/>
        <w:rPr>
          <w:sz w:val="20"/>
          <w:szCs w:val="20"/>
          <w:color w:val="auto"/>
        </w:rPr>
      </w:pPr>
    </w:p>
    <w:p>
      <w:pPr>
        <w:ind w:right="180" w:firstLine="449"/>
        <w:spacing w:after="0" w:line="256"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2022 ,we had one portfolio company on non-accrual, representing 1.0% and zero percent of our overall portfolio on a cost and fair value basis, respectively. As of September 30, 2021, we had no portfolio companies on non-accrual.</w:t>
      </w:r>
    </w:p>
    <w:p>
      <w:pPr>
        <w:spacing w:after="0" w:line="109" w:lineRule="exact"/>
        <w:rPr>
          <w:sz w:val="20"/>
          <w:szCs w:val="20"/>
          <w:color w:val="auto"/>
        </w:rPr>
      </w:pPr>
    </w:p>
    <w:p>
      <w:pPr>
        <w:ind w:left="640" w:hanging="377"/>
        <w:spacing w:after="0"/>
        <w:tabs>
          <w:tab w:leader="none" w:pos="640" w:val="left"/>
        </w:tabs>
        <w:numPr>
          <w:ilvl w:val="0"/>
          <w:numId w:val="6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Income Taxes</w:t>
      </w:r>
    </w:p>
    <w:p>
      <w:pPr>
        <w:spacing w:after="0" w:line="154" w:lineRule="exact"/>
        <w:rPr>
          <w:sz w:val="20"/>
          <w:szCs w:val="20"/>
          <w:color w:val="auto"/>
        </w:rPr>
      </w:pPr>
    </w:p>
    <w:p>
      <w:pPr>
        <w:ind w:right="20" w:firstLine="449"/>
        <w:spacing w:after="0" w:line="254"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any material federal income taxes. However, we may choose to retain a portion of our calendar year income, which may result in the imposition of an excise tax. Additionally, certain of the Company’s consolidated subsidiaries are subject to federal, state and local income taxes. For the years ended September 30, 2022, 2021 and 2020, we recorded a provision for taxes on net investment income of $0.8 million, $0.6 million and $1.2 million, respectively, approximately one-half of which pertains to U.S. federal excise tax.</w:t>
      </w:r>
    </w:p>
    <w:p>
      <w:pPr>
        <w:spacing w:after="0" w:line="103" w:lineRule="exact"/>
        <w:rPr>
          <w:sz w:val="20"/>
          <w:szCs w:val="20"/>
          <w:color w:val="auto"/>
        </w:rPr>
      </w:pPr>
    </w:p>
    <w:p>
      <w:pPr>
        <w:ind w:right="320" w:firstLine="449"/>
        <w:spacing w:after="0" w:line="302"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64" w:lineRule="exact"/>
        <w:rPr>
          <w:sz w:val="20"/>
          <w:szCs w:val="20"/>
          <w:color w:val="auto"/>
        </w:rPr>
      </w:pPr>
    </w:p>
    <w:p>
      <w:pPr>
        <w:ind w:right="160" w:firstLine="449"/>
        <w:spacing w:after="0" w:line="302" w:lineRule="auto"/>
        <w:rPr>
          <w:sz w:val="20"/>
          <w:szCs w:val="20"/>
          <w:color w:val="auto"/>
        </w:rPr>
      </w:pPr>
      <w:r>
        <w:rPr>
          <w:rFonts w:ascii="Times New Roman" w:cs="Times New Roman" w:eastAsia="Times New Roman" w:hAnsi="Times New Roman"/>
          <w:sz w:val="14"/>
          <w:szCs w:val="14"/>
          <w:color w:val="auto"/>
        </w:rPr>
        <w:t>The Taxable Subsidiary (PNNT Investment Holdings, LLC, a wholly-owned subsidiary of the Company), is subject to U.S. federal, state and local corporate income taxes. The income tax expense and related tax liabilities of the Taxable Subsidiary are reflected in the Company’s consolidated financial statements.</w:t>
      </w:r>
    </w:p>
    <w:p>
      <w:pPr>
        <w:spacing w:after="0" w:line="67" w:lineRule="exact"/>
        <w:rPr>
          <w:sz w:val="20"/>
          <w:szCs w:val="20"/>
          <w:color w:val="auto"/>
        </w:rPr>
      </w:pPr>
    </w:p>
    <w:p>
      <w:pPr>
        <w:ind w:right="20" w:firstLine="449"/>
        <w:spacing w:after="0" w:line="257" w:lineRule="auto"/>
        <w:rPr>
          <w:sz w:val="20"/>
          <w:szCs w:val="20"/>
          <w:color w:val="auto"/>
        </w:rPr>
      </w:pPr>
      <w:r>
        <w:rPr>
          <w:rFonts w:ascii="Times New Roman" w:cs="Times New Roman" w:eastAsia="Times New Roman" w:hAnsi="Times New Roman"/>
          <w:sz w:val="14"/>
          <w:szCs w:val="14"/>
          <w:color w:val="auto"/>
        </w:rPr>
        <w:t>For the years ended September 30, 2022, 2021 and 2020 the Company recognized a provision for taxes of $6.2 million, zero and zero, respectively, on net realized gain on investments by the Taxable Subsidiary. For the years ended September 30, 2022, 2021 and 2020 the Company recognized a provision for taxes of $0.9 million, zero and zero, respectively, on net unrealized gain on investments by the Taxable Subsidiary. The provision for taxes on net realized and unrealized gains on investments is the result of netting (i) the expected tax liability on the gains from the sales of investments which were realized and unrealized during fiscal year ending September 30, 2022 and (ii) the expected tax benefit resulting from the use of loss carryforwards to offset such gains. For the year ended September 30, 2022, 2021 and 2020 the Company recognized a provision for taxes $7.1 million, zero and zero, respectively, on net realized and unrealized gains on investments by the Taxable Subsidiary.</w:t>
      </w:r>
    </w:p>
    <w:p>
      <w:pPr>
        <w:spacing w:after="0" w:line="113" w:lineRule="exact"/>
        <w:rPr>
          <w:sz w:val="20"/>
          <w:szCs w:val="20"/>
          <w:color w:val="auto"/>
        </w:rPr>
      </w:pPr>
    </w:p>
    <w:p>
      <w:pPr>
        <w:ind w:right="100" w:firstLine="449"/>
        <w:spacing w:after="0" w:line="255" w:lineRule="auto"/>
        <w:rPr>
          <w:sz w:val="20"/>
          <w:szCs w:val="20"/>
          <w:color w:val="auto"/>
        </w:rPr>
      </w:pPr>
      <w:r>
        <w:rPr>
          <w:rFonts w:ascii="Times New Roman" w:cs="Times New Roman" w:eastAsia="Times New Roman" w:hAnsi="Times New Roman"/>
          <w:sz w:val="14"/>
          <w:szCs w:val="14"/>
          <w:color w:val="auto"/>
        </w:rPr>
        <w:t>During the year ended September 30, 2022, 2021 and 2020 the Company paid $4.0 million, zero, and zero respectively, in federal taxes on realized gains on the sale of investments held by the Taxable Subsidiary. Due to offsetting losses in the year ended September 30, 2022 the $4.0 million is expected to be refunded and is shown on the consolidated statement of assets and liabilities under prepaid expenses and other assets. The state and local tax liability of $0.8 million as of September 30, 2022, 2021 and 2020 is included under accrued other expenses in the consolidated statement of assets and liabilities.</w:t>
      </w:r>
    </w:p>
    <w:p>
      <w:pPr>
        <w:spacing w:after="0" w:line="112" w:lineRule="exact"/>
        <w:rPr>
          <w:sz w:val="20"/>
          <w:szCs w:val="20"/>
          <w:color w:val="auto"/>
        </w:rPr>
      </w:pPr>
    </w:p>
    <w:p>
      <w:pPr>
        <w:ind w:right="40" w:firstLine="449"/>
        <w:spacing w:after="0" w:line="271" w:lineRule="auto"/>
        <w:rPr>
          <w:sz w:val="20"/>
          <w:szCs w:val="20"/>
          <w:color w:val="auto"/>
        </w:rPr>
      </w:pPr>
      <w:r>
        <w:rPr>
          <w:rFonts w:ascii="Times New Roman" w:cs="Times New Roman" w:eastAsia="Times New Roman" w:hAnsi="Times New Roman"/>
          <w:sz w:val="14"/>
          <w:szCs w:val="14"/>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99" w:lineRule="exact"/>
        <w:rPr>
          <w:sz w:val="20"/>
          <w:szCs w:val="20"/>
          <w:color w:val="auto"/>
        </w:rPr>
      </w:pPr>
    </w:p>
    <w:p>
      <w:pPr>
        <w:ind w:left="640" w:hanging="377"/>
        <w:spacing w:after="0"/>
        <w:tabs>
          <w:tab w:leader="none" w:pos="640" w:val="left"/>
        </w:tabs>
        <w:numPr>
          <w:ilvl w:val="0"/>
          <w:numId w:val="6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Distributions and Capital Transactions</w:t>
      </w:r>
    </w:p>
    <w:p>
      <w:pPr>
        <w:spacing w:after="0" w:line="154" w:lineRule="exact"/>
        <w:rPr>
          <w:sz w:val="20"/>
          <w:szCs w:val="20"/>
          <w:color w:val="auto"/>
        </w:rPr>
      </w:pPr>
    </w:p>
    <w:p>
      <w:pPr>
        <w:ind w:right="60" w:firstLine="449"/>
        <w:spacing w:after="0" w:line="26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our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09" w:lineRule="exact"/>
        <w:rPr>
          <w:sz w:val="20"/>
          <w:szCs w:val="20"/>
          <w:color w:val="auto"/>
        </w:rPr>
      </w:pPr>
    </w:p>
    <w:p>
      <w:pPr>
        <w:ind w:right="40" w:firstLine="449"/>
        <w:spacing w:after="0" w:line="282" w:lineRule="auto"/>
        <w:rPr>
          <w:sz w:val="20"/>
          <w:szCs w:val="20"/>
          <w:color w:val="auto"/>
        </w:rPr>
      </w:pPr>
      <w:r>
        <w:rPr>
          <w:rFonts w:ascii="Times New Roman" w:cs="Times New Roman" w:eastAsia="Times New Roman" w:hAnsi="Times New Roman"/>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90" w:lineRule="exact"/>
        <w:rPr>
          <w:sz w:val="20"/>
          <w:szCs w:val="20"/>
          <w:color w:val="auto"/>
        </w:rPr>
      </w:pPr>
    </w:p>
    <w:p>
      <w:pPr>
        <w:ind w:left="640" w:hanging="377"/>
        <w:spacing w:after="0"/>
        <w:tabs>
          <w:tab w:leader="none" w:pos="640" w:val="left"/>
        </w:tabs>
        <w:numPr>
          <w:ilvl w:val="0"/>
          <w:numId w:val="6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50" w:lineRule="exact"/>
        <w:rPr>
          <w:sz w:val="20"/>
          <w:szCs w:val="20"/>
          <w:color w:val="auto"/>
        </w:rPr>
      </w:pPr>
    </w:p>
    <w:p>
      <w:pPr>
        <w:ind w:left="860" w:hanging="283"/>
        <w:spacing w:after="0"/>
        <w:tabs>
          <w:tab w:leader="none" w:pos="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49" w:lineRule="exact"/>
        <w:rPr>
          <w:rFonts w:ascii="Times New Roman" w:cs="Times New Roman" w:eastAsia="Times New Roman" w:hAnsi="Times New Roman"/>
          <w:sz w:val="14"/>
          <w:szCs w:val="14"/>
          <w:color w:val="auto"/>
        </w:rPr>
      </w:pPr>
    </w:p>
    <w:p>
      <w:pPr>
        <w:ind w:left="860" w:hanging="283"/>
        <w:spacing w:after="0"/>
        <w:tabs>
          <w:tab w:leader="none" w:pos="8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50" w:lineRule="exact"/>
        <w:rPr>
          <w:sz w:val="20"/>
          <w:szCs w:val="20"/>
          <w:color w:val="auto"/>
        </w:rPr>
      </w:pPr>
    </w:p>
    <w:p>
      <w:pPr>
        <w:jc w:val="both"/>
        <w:ind w:firstLine="449"/>
        <w:spacing w:after="0" w:line="26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09" w:lineRule="exact"/>
        <w:rPr>
          <w:sz w:val="20"/>
          <w:szCs w:val="20"/>
          <w:color w:val="auto"/>
        </w:rPr>
      </w:pPr>
    </w:p>
    <w:p>
      <w:pPr>
        <w:jc w:val="both"/>
        <w:ind w:right="120" w:firstLine="449"/>
        <w:spacing w:after="0" w:line="27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99" w:lineRule="exact"/>
        <w:rPr>
          <w:sz w:val="20"/>
          <w:szCs w:val="20"/>
          <w:color w:val="auto"/>
        </w:rPr>
      </w:pPr>
    </w:p>
    <w:p>
      <w:pPr>
        <w:ind w:left="560" w:hanging="297"/>
        <w:spacing w:after="0"/>
        <w:tabs>
          <w:tab w:leader="none" w:pos="560" w:val="left"/>
        </w:tabs>
        <w:numPr>
          <w:ilvl w:val="0"/>
          <w:numId w:val="7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Consolidation</w:t>
      </w:r>
    </w:p>
    <w:p>
      <w:pPr>
        <w:spacing w:after="0" w:line="154" w:lineRule="exact"/>
        <w:rPr>
          <w:sz w:val="20"/>
          <w:szCs w:val="20"/>
          <w:color w:val="auto"/>
        </w:rPr>
      </w:pPr>
    </w:p>
    <w:p>
      <w:pPr>
        <w:jc w:val="both"/>
        <w:ind w:right="60" w:firstLine="449"/>
        <w:spacing w:after="0" w:line="256"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Subsidiary in our Consolidated Financial Statements. We do not consolidate our non-controlling interests in PSLF or PTSF II. See further description of our investment in PSLF in Note 4.</w:t>
      </w:r>
    </w:p>
    <w:p>
      <w:pPr>
        <w:spacing w:after="0" w:line="277" w:lineRule="exact"/>
        <w:rPr>
          <w:sz w:val="20"/>
          <w:szCs w:val="20"/>
          <w:color w:val="auto"/>
        </w:rPr>
      </w:pPr>
    </w:p>
    <w:p>
      <w:pPr>
        <w:ind w:left="260"/>
        <w:spacing w:after="0"/>
        <w:tabs>
          <w:tab w:leader="none" w:pos="540" w:val="left"/>
        </w:tabs>
        <w:rPr>
          <w:sz w:val="20"/>
          <w:szCs w:val="20"/>
          <w:color w:val="auto"/>
        </w:rPr>
      </w:pPr>
      <w:r>
        <w:rPr>
          <w:rFonts w:ascii="Times New Roman" w:cs="Times New Roman" w:eastAsia="Times New Roman" w:hAnsi="Times New Roman"/>
          <w:sz w:val="14"/>
          <w:szCs w:val="14"/>
          <w:b w:val="1"/>
          <w:bCs w:val="1"/>
          <w:i w:val="1"/>
          <w:iCs w:val="1"/>
          <w:color w:val="auto"/>
        </w:rPr>
        <w:t>(g)</w:t>
        <w:tab/>
        <w:t>Asset Transfers and Servicing</w:t>
      </w:r>
    </w:p>
    <w:p>
      <w:pPr>
        <w:spacing w:after="0" w:line="154"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(h)  Recent Accounting Pronouncements</w:t>
      </w:r>
    </w:p>
    <w:p>
      <w:pPr>
        <w:spacing w:after="0" w:line="221" w:lineRule="exact"/>
        <w:rPr>
          <w:sz w:val="20"/>
          <w:szCs w:val="20"/>
          <w:color w:val="auto"/>
        </w:rPr>
      </w:pPr>
    </w:p>
    <w:p>
      <w:pPr>
        <w:ind w:right="140" w:firstLine="449"/>
        <w:spacing w:after="0" w:line="253" w:lineRule="auto"/>
        <w:rPr>
          <w:sz w:val="20"/>
          <w:szCs w:val="20"/>
          <w:color w:val="auto"/>
        </w:rPr>
      </w:pPr>
      <w:r>
        <w:rPr>
          <w:rFonts w:ascii="Times New Roman" w:cs="Times New Roman" w:eastAsia="Times New Roman" w:hAnsi="Times New Roman"/>
          <w:sz w:val="14"/>
          <w:szCs w:val="14"/>
          <w:color w:val="auto"/>
        </w:rPr>
        <w:t>In March 2020, the FASB issued Accounting Standards Update No. 2020-04, “Reference Rate Reform (Topic 848): Facilitation of the Effects of Reference Rate Reform on Financial Reporting.” The guidance provides optional expedients and exceptions for applying GAAP to contract modifications, hedging relationships and other transactions, subject to meeting certain criteria, that reference LIBOR or another reference rate expected to be discontinued because of the reference rate reform. ASU 2020-04 is effective for all entities as of March 12, 2020 through December 31, 2022. The Company utilized the optional expedients and exceptions provided by ASU 2020-04 during the year ended September30, 2022, the effect of which was not material to the consolidated financial statements and the notes thereto. The Company continues to evaluate the potential impact that the amendments in this update will have on its consolidated financial statements and disclosures.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8" w:name="page79"/>
    <w:bookmarkEnd w:id="78"/>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77"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In March 2022, the FASB issued ASU 2022-02, “Financial Instruments - Credit Losses (Topic 326)”, which is intended to address issues identified during the post-implementation review of ASU 2016-13, “Financial Instruments - Credit Losses (Topic 326): Measurement of Credit Losses on Financial Instruments”. The amendment, among other things, eliminates the accounting guidance for troubled debt restructurings by creditors in Subtopic 310-40, “Receivables - Troubled Debt Restructurings by Creditors”, while enhancing disclosure requirements for certain loan refinancings and restructurings by creditors when a borrower is experiencing financial difficulty. The new guidance is effective for interim and annual periods beginning after December 15, 2022. The Company is currently evaluating the impact of the adoption of ASU 2022-02 on its consolidated financial statement and disclosures.</w:t>
      </w:r>
    </w:p>
    <w:p>
      <w:pPr>
        <w:spacing w:after="0" w:line="181"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In June 2022, the FASB issued Accounting Standards Update No. 2022-03, or ASU, 2022-03, Fair Value Measurement (Topic 820): Fair Value Measurement of Equity Securities Subject to Contractual Sale Restrictions, or ASU 2022-03, which changed the fair value measurement disclosure requirements of ASC Topic 820, Fair Value Measurements and Disclosures, or ASC 820. The amendments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The new guidance is effective for fiscal years beginning after December 15, 2023,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2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(a) Investment Management Agreement</w:t>
      </w:r>
    </w:p>
    <w:p>
      <w:pPr>
        <w:spacing w:after="0" w:line="208" w:lineRule="exact"/>
        <w:rPr>
          <w:sz w:val="20"/>
          <w:szCs w:val="20"/>
          <w:color w:val="auto"/>
        </w:rPr>
      </w:pPr>
    </w:p>
    <w:p>
      <w:pPr>
        <w:ind w:right="20" w:firstLine="449"/>
        <w:spacing w:after="0" w:line="253" w:lineRule="auto"/>
        <w:rPr>
          <w:sz w:val="20"/>
          <w:szCs w:val="20"/>
          <w:color w:val="auto"/>
        </w:rPr>
      </w:pPr>
      <w:r>
        <w:rPr>
          <w:rFonts w:ascii="Times New Roman" w:cs="Times New Roman" w:eastAsia="Times New Roman" w:hAnsi="Times New Roman"/>
          <w:sz w:val="14"/>
          <w:szCs w:val="14"/>
          <w:color w:val="auto"/>
        </w:rPr>
        <w:t>The Investment Management Agreement with the Investment Adviser was reapproved by our board of directors, including a majority of our directors who are not interested persons of us or the Investment Adviser, in February 2022.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Base Management Fee</w:t>
      </w:r>
    </w:p>
    <w:p>
      <w:pPr>
        <w:spacing w:after="0" w:line="221"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4"/>
          <w:szCs w:val="14"/>
          <w:color w:val="auto"/>
        </w:rPr>
        <w:t>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under the 1940 Act to the Company, our board of directors also approved an amendment to the Investment Management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For the years ended September 30, 2022, 2021 and 2020, the Investment Adviser earned base management fees of $19.8 million, $17.3 million and $18.6 million, respectively, from us.</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Incentive Fee</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204" w:lineRule="exact"/>
        <w:rPr>
          <w:sz w:val="20"/>
          <w:szCs w:val="20"/>
          <w:color w:val="auto"/>
        </w:rPr>
      </w:pPr>
    </w:p>
    <w:p>
      <w:pPr>
        <w:ind w:firstLine="449"/>
        <w:spacing w:after="0" w:line="249"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w:t>
      </w:r>
    </w:p>
    <w:p>
      <w:pPr>
        <w:spacing w:after="0" w:line="1"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4"/>
          <w:szCs w:val="14"/>
          <w:color w:val="auto"/>
        </w:rPr>
        <w:t>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w:t>
      </w:r>
    </w:p>
    <w:p>
      <w:pPr>
        <w:spacing w:after="0" w:line="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4"/>
          <w:szCs w:val="14"/>
          <w:color w:val="auto"/>
        </w:rPr>
        <w:t>with a deferred interest feature (such as OID, debt instruments with PIK interest and zero-coupon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4"/>
          <w:szCs w:val="14"/>
          <w:color w:val="auto"/>
        </w:rPr>
        <w:t>percentage of the value of our net assets at the end of the immediately preceding calendar quarter, is compared to the hurdle rate of 1.75% per quarter (7.00% annualized). We pay the Investment Adviser an incentive fee with respect to our Pre- Incentive Fee Net Investment Income in each calendar quarter as follows: (1) no incentive fee in any calendar quarter in which our Pre-Incentive</w:t>
      </w:r>
    </w:p>
    <w:p>
      <w:pPr>
        <w:spacing w:after="0" w:line="1"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14"/>
          <w:szCs w:val="14"/>
          <w:color w:val="auto"/>
        </w:rPr>
        <w:t>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Beginning April 1, 2020 and through March 31, 2021, the Investment Adviser has voluntarily agreed, in consultation with our board of directors, to irrevocably waive the performance-</w:t>
      </w:r>
    </w:p>
    <w:p>
      <w:pPr>
        <w:spacing w:after="0" w:line="17" w:lineRule="exact"/>
        <w:rPr>
          <w:sz w:val="20"/>
          <w:szCs w:val="20"/>
          <w:color w:val="auto"/>
        </w:rPr>
      </w:pPr>
    </w:p>
    <w:p>
      <w:pPr>
        <w:ind w:right="500"/>
        <w:spacing w:after="0" w:line="239" w:lineRule="auto"/>
        <w:rPr>
          <w:sz w:val="20"/>
          <w:szCs w:val="20"/>
          <w:color w:val="auto"/>
        </w:rPr>
      </w:pPr>
      <w:r>
        <w:rPr>
          <w:rFonts w:ascii="Times New Roman" w:cs="Times New Roman" w:eastAsia="Times New Roman" w:hAnsi="Times New Roman"/>
          <w:sz w:val="14"/>
          <w:szCs w:val="14"/>
          <w:color w:val="auto"/>
        </w:rPr>
        <w:t>based incentive fees. For the years ended September 30, 2022, 2021, and 2020, the Investment Adviser earned $2.7 million, $0.6 million, and $2.7 million (after a waiver of $1.9 million), respectively, in incentive fees on net investment income from 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77"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2022, 2021, and 2020, the Investment Adviser did not accrue an incentive fee on capital gains as calculated under the Investment Management Agreement (as described above).</w:t>
      </w:r>
    </w:p>
    <w:p>
      <w:pPr>
        <w:spacing w:after="0" w:line="181" w:lineRule="exact"/>
        <w:rPr>
          <w:sz w:val="20"/>
          <w:szCs w:val="20"/>
          <w:color w:val="auto"/>
        </w:rPr>
      </w:pPr>
    </w:p>
    <w:p>
      <w:pPr>
        <w:ind w:right="60" w:firstLine="449"/>
        <w:spacing w:after="0" w:line="251" w:lineRule="auto"/>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less the aggregate amount of actual capital gains related to incentive fees paid in all prior years, if any. If such amount is negative, then there is no accrual for such year. There can be no assurance that such unrealized capital appreciation will be realized in the future. For the years ended September 30, 2022, 2021, and 2020, the Investment Adviser did not accrue an incentive fee on capital gains as calculated under GAAP.</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(b) Administration Agreement</w:t>
      </w:r>
    </w:p>
    <w:p>
      <w:pPr>
        <w:spacing w:after="0" w:line="154"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February 2022.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Corporate Counsel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2022, 2021 ,and 2020, we reimbursed the Investment Administrator approximately $0.9 million, $1.2 million and $1.4 million, respectively, for services described above.</w:t>
      </w:r>
    </w:p>
    <w:p>
      <w:pPr>
        <w:spacing w:after="0" w:line="114"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4"/>
          <w:szCs w:val="14"/>
          <w:color w:val="auto"/>
        </w:rPr>
        <w:t>On July 1, 2022, the Administration Agreement with the Administrator was amended to clarify that the Administrator may be reimbursed by the Company for certain (i) tax and general legal advice and/or services provided to the Company by in-house professionals of the Administrator related to ongoing operations of the Company; and (ii) transactional legal advice and/or services provided to the Company or portfolio companies by in-house professionals of the Administrator or its affiliates on matters related to potential or actual investments and transactions, including tax structuring and/or due diligence.</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(c) Other Related Party Transactions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There were no transactions subject to Rule 17a-7 under the 1940 Act during each of the years ended September 30, 2022, 2021 and 2020.</w:t>
      </w:r>
    </w:p>
    <w:p>
      <w:pPr>
        <w:spacing w:after="0" w:line="150" w:lineRule="exact"/>
        <w:rPr>
          <w:sz w:val="20"/>
          <w:szCs w:val="20"/>
          <w:color w:val="auto"/>
        </w:rPr>
      </w:pPr>
    </w:p>
    <w:p>
      <w:pPr>
        <w:ind w:right="60" w:firstLine="449"/>
        <w:spacing w:after="0" w:line="302" w:lineRule="auto"/>
        <w:rPr>
          <w:sz w:val="20"/>
          <w:szCs w:val="20"/>
          <w:color w:val="auto"/>
        </w:rPr>
      </w:pPr>
      <w:r>
        <w:rPr>
          <w:rFonts w:ascii="Times New Roman" w:cs="Times New Roman" w:eastAsia="Times New Roman" w:hAnsi="Times New Roman"/>
          <w:sz w:val="14"/>
          <w:szCs w:val="14"/>
          <w:color w:val="auto"/>
        </w:rPr>
        <w:t>For the years ended September 30, 2022, 2021 ,and 2020, we sold $387.4 million, $123.4 million and zero in investments to PSLF at fair value, respectively, and recognized $0.2 million, $0.5 million and zero of net realized gains, respectively.</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years ended September 30, 2022, we sold $82.3 million in investments to PTSF II at fair value, and recognized $0.2 million of net realized gains.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152" w:lineRule="exact"/>
        <w:rPr>
          <w:sz w:val="20"/>
          <w:szCs w:val="20"/>
          <w:color w:val="auto"/>
        </w:rPr>
      </w:pPr>
    </w:p>
    <w:p>
      <w:pPr>
        <w:ind w:right="140" w:firstLine="449"/>
        <w:spacing w:after="0" w:line="302" w:lineRule="auto"/>
        <w:rPr>
          <w:sz w:val="20"/>
          <w:szCs w:val="20"/>
          <w:color w:val="auto"/>
        </w:rPr>
      </w:pPr>
      <w:r>
        <w:rPr>
          <w:rFonts w:ascii="Times New Roman" w:cs="Times New Roman" w:eastAsia="Times New Roman" w:hAnsi="Times New Roman"/>
          <w:sz w:val="14"/>
          <w:szCs w:val="14"/>
          <w:color w:val="auto"/>
        </w:rPr>
        <w:t>Purchases of investments, including PIK interest, for the years ended September 30, 2022, 2021, and 2020 totaled $943.0 million, $456.5 million, and $333.9 million, respectively. Sales and repayments of investments for the same periods totaled $911.6 million, $434.5 million, and $162.7 million, respectively.</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 ($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Classification</w:t>
            </w:r>
          </w:p>
        </w:tc>
        <w:tc>
          <w:tcPr>
            <w:tcW w:w="3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652,055</w:t>
            </w:r>
          </w:p>
        </w:tc>
        <w:tc>
          <w:tcPr>
            <w:tcW w:w="30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630,965</w:t>
            </w:r>
          </w:p>
        </w:tc>
        <w:tc>
          <w:tcPr>
            <w:tcW w:w="26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551,435</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552,530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145,542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129,936</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176,983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34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53,468</w:t>
            </w:r>
          </w:p>
        </w:tc>
        <w:tc>
          <w:tcPr>
            <w:tcW w:w="3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53,255</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56,315</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57,015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Subordinated notes in PSLF</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88,011</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8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340" w:type="dxa"/>
            <w:vAlign w:val="bottom"/>
            <w:shd w:val="clear" w:color="auto" w:fill="CCECFF"/>
          </w:tcPr>
          <w:p>
            <w:pPr>
              <w:spacing w:after="0"/>
              <w:rPr>
                <w:sz w:val="15"/>
                <w:szCs w:val="15"/>
                <w:color w:val="auto"/>
              </w:rPr>
            </w:pPr>
          </w:p>
        </w:tc>
        <w:tc>
          <w:tcPr>
            <w:tcW w:w="1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313,591</w:t>
            </w:r>
          </w:p>
        </w:tc>
        <w:tc>
          <w:tcPr>
            <w:tcW w:w="30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273,036</w:t>
            </w:r>
          </w:p>
        </w:tc>
        <w:tc>
          <w:tcPr>
            <w:tcW w:w="26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338,341</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363,537</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 PSLF</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49,362</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51,098</w:t>
            </w:r>
          </w:p>
        </w:tc>
        <w:tc>
          <w:tcPr>
            <w:tcW w:w="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33,892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1,302,029</w:t>
            </w:r>
          </w:p>
        </w:tc>
        <w:tc>
          <w:tcPr>
            <w:tcW w:w="300" w:type="dxa"/>
            <w:vAlign w:val="bottom"/>
            <w:tcBorders>
              <w:bottom w:val="single" w:sz="8" w:color="CCECFF"/>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1,226,301</w:t>
            </w:r>
          </w:p>
        </w:tc>
        <w:tc>
          <w:tcPr>
            <w:tcW w:w="26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1,221,121</w:t>
            </w:r>
          </w:p>
        </w:tc>
        <w:tc>
          <w:tcPr>
            <w:tcW w:w="26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52,844</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340" w:type="dxa"/>
            <w:vAlign w:val="bottom"/>
            <w:tcBorders>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1,354,873</w:t>
            </w:r>
          </w:p>
        </w:tc>
        <w:tc>
          <w:tcPr>
            <w:tcW w:w="30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1,278,967</w:t>
            </w:r>
          </w:p>
        </w:tc>
        <w:tc>
          <w:tcPr>
            <w:tcW w:w="260" w:type="dxa"/>
            <w:vAlign w:val="bottom"/>
            <w:tcBorders>
              <w:bottom w:val="single" w:sz="8" w:color="CCECFF"/>
            </w:tcBorders>
            <w:shd w:val="clear" w:color="auto" w:fill="CCECFF"/>
          </w:tcPr>
          <w:p>
            <w:pPr>
              <w:spacing w:after="0"/>
              <w:rPr>
                <w:sz w:val="18"/>
                <w:szCs w:val="18"/>
                <w:color w:val="auto"/>
              </w:rPr>
            </w:pPr>
          </w:p>
        </w:tc>
        <w:tc>
          <w:tcPr>
            <w:tcW w:w="340" w:type="dxa"/>
            <w:vAlign w:val="bottom"/>
            <w:tcBorders>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1,241,504</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1,275,647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565"/>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-710565</wp:posOffset>
            </wp:positionV>
            <wp:extent cx="77470" cy="1289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-710565</wp:posOffset>
            </wp:positionV>
            <wp:extent cx="68580" cy="1289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-710565</wp:posOffset>
            </wp:positionV>
            <wp:extent cx="68580" cy="1289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289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-471170</wp:posOffset>
            </wp:positionV>
            <wp:extent cx="7747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-453390</wp:posOffset>
            </wp:positionV>
            <wp:extent cx="77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-471170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-453390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-471170</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-453390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77" w:lineRule="exact"/>
        <w:rPr>
          <w:sz w:val="20"/>
          <w:szCs w:val="20"/>
          <w:color w:val="auto"/>
        </w:rPr>
      </w:pPr>
    </w:p>
    <w:p>
      <w:pPr>
        <w:ind w:right="220" w:firstLine="449"/>
        <w:spacing w:after="0" w:line="302"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00" w:type="dxa"/>
            <w:vAlign w:val="bottom"/>
          </w:tcPr>
          <w:p>
            <w:pPr>
              <w:spacing w:after="0"/>
              <w:rPr>
                <w:sz w:val="18"/>
                <w:szCs w:val="18"/>
                <w:color w:val="auto"/>
              </w:rPr>
            </w:pPr>
          </w:p>
        </w:tc>
        <w:tc>
          <w:tcPr>
            <w:tcW w:w="270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 xml:space="preserve">September 30, 2022 </w:t>
            </w:r>
            <w:r>
              <w:rPr>
                <w:rFonts w:ascii="Times New Roman" w:cs="Times New Roman" w:eastAsia="Times New Roman" w:hAnsi="Times New Roman"/>
                <w:sz w:val="19"/>
                <w:szCs w:val="19"/>
                <w:b w:val="1"/>
                <w:bCs w:val="1"/>
                <w:color w:val="auto"/>
                <w:vertAlign w:val="superscript"/>
              </w:rPr>
              <w:t>(1)</w:t>
            </w:r>
          </w:p>
        </w:tc>
        <w:tc>
          <w:tcPr>
            <w:tcW w:w="23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6040" w:type="dxa"/>
            <w:vAlign w:val="bottom"/>
            <w:tcBorders>
              <w:top w:val="single" w:sz="8" w:color="auto"/>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Business Services</w:t>
            </w:r>
          </w:p>
        </w:tc>
        <w:tc>
          <w:tcPr>
            <w:tcW w:w="200" w:type="dxa"/>
            <w:vAlign w:val="bottom"/>
            <w:shd w:val="clear" w:color="auto" w:fill="CCECFF"/>
          </w:tcPr>
          <w:p>
            <w:pPr>
              <w:spacing w:after="0"/>
              <w:rPr>
                <w:sz w:val="14"/>
                <w:szCs w:val="14"/>
                <w:color w:val="auto"/>
              </w:rPr>
            </w:pPr>
          </w:p>
        </w:tc>
        <w:tc>
          <w:tcPr>
            <w:tcW w:w="24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shd w:val="clear" w:color="auto" w:fill="CCECFF"/>
          </w:tcPr>
          <w:p>
            <w:pPr>
              <w:spacing w:after="0"/>
              <w:rPr>
                <w:sz w:val="14"/>
                <w:szCs w:val="14"/>
                <w:color w:val="auto"/>
              </w:rPr>
            </w:pPr>
          </w:p>
        </w:tc>
        <w:tc>
          <w:tcPr>
            <w:tcW w:w="2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Healthcare, Education and Childcare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Consumer Products</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Energy and Utilities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Distribution</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Financial Services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5"/>
                <w:szCs w:val="15"/>
                <w:color w:val="auto"/>
              </w:rPr>
            </w:pPr>
          </w:p>
        </w:tc>
        <w:tc>
          <w:tcPr>
            <w:tcW w:w="23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5"/>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Telecommunications</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Media</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Aerospace and Defense</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Auto Sector</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CFF"/>
          </w:tcPr>
          <w:p>
            <w:pPr>
              <w:spacing w:after="0"/>
              <w:rPr>
                <w:sz w:val="15"/>
                <w:szCs w:val="15"/>
                <w:color w:val="auto"/>
              </w:rPr>
            </w:pPr>
          </w:p>
        </w:tc>
        <w:tc>
          <w:tcPr>
            <w:tcW w:w="2300" w:type="dxa"/>
            <w:vAlign w:val="bottom"/>
            <w:gridSpan w:val="2"/>
            <w:shd w:val="clear" w:color="auto" w:fill="CCECFF"/>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175"/>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Electronics</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Environmental Services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Building Materials</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Education</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Hotels, Motels, Inns and Gaming</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Media</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Transportation</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Cargo Transport</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Insurance</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Manufacturing / Basic Industries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Personal and Non-Durable Consumer Products</w:t>
            </w:r>
          </w:p>
        </w:tc>
        <w:tc>
          <w:tcPr>
            <w:tcW w:w="26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shd w:val="clear" w:color="auto" w:fill="CCECFF"/>
          </w:tcPr>
          <w:p>
            <w:pPr>
              <w:spacing w:after="0"/>
              <w:rPr>
                <w:sz w:val="15"/>
                <w:szCs w:val="15"/>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6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Personal, Food and Miscellaneous Services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604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Printing and Publishing</w:t>
            </w:r>
          </w:p>
        </w:tc>
        <w:tc>
          <w:tcPr>
            <w:tcW w:w="200" w:type="dxa"/>
            <w:vAlign w:val="bottom"/>
            <w:shd w:val="clear" w:color="auto" w:fill="CCECFF"/>
          </w:tcPr>
          <w:p>
            <w:pPr>
              <w:spacing w:after="0"/>
              <w:rPr>
                <w:sz w:val="15"/>
                <w:szCs w:val="15"/>
                <w:color w:val="auto"/>
              </w:rPr>
            </w:pPr>
          </w:p>
        </w:tc>
        <w:tc>
          <w:tcPr>
            <w:tcW w:w="2700" w:type="dxa"/>
            <w:vAlign w:val="bottom"/>
            <w:gridSpan w:val="2"/>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5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Pr>
          <w:p>
            <w:pPr>
              <w:spacing w:after="0"/>
              <w:rPr>
                <w:sz w:val="15"/>
                <w:szCs w:val="15"/>
                <w:color w:val="auto"/>
              </w:rPr>
            </w:pPr>
          </w:p>
        </w:tc>
        <w:tc>
          <w:tcPr>
            <w:tcW w:w="23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r>
      <w:tr>
        <w:trPr>
          <w:trHeight w:val="209"/>
        </w:trPr>
        <w:tc>
          <w:tcPr>
            <w:tcW w:w="36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Borders>
              <w:bottom w:val="single" w:sz="8" w:color="CCECFF"/>
            </w:tcBorders>
            <w:shd w:val="clear" w:color="auto" w:fill="CCECFF"/>
          </w:tcPr>
          <w:p>
            <w:pPr>
              <w:spacing w:after="0"/>
              <w:rPr>
                <w:sz w:val="18"/>
                <w:szCs w:val="18"/>
                <w:color w:val="auto"/>
              </w:rPr>
            </w:pPr>
          </w:p>
        </w:tc>
        <w:tc>
          <w:tcPr>
            <w:tcW w:w="416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bottom w:val="single" w:sz="8" w:color="CCECFF"/>
            </w:tcBorders>
            <w:shd w:val="clear" w:color="auto" w:fill="CCECFF"/>
          </w:tcPr>
          <w:p>
            <w:pPr>
              <w:spacing w:after="0"/>
              <w:rPr>
                <w:sz w:val="18"/>
                <w:szCs w:val="18"/>
                <w:color w:val="auto"/>
              </w:rPr>
            </w:pPr>
          </w:p>
        </w:tc>
        <w:tc>
          <w:tcPr>
            <w:tcW w:w="24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tcBorders>
              <w:bottom w:val="single" w:sz="8" w:color="CCECFF"/>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8"/>
                <w:szCs w:val="18"/>
                <w:color w:val="auto"/>
              </w:rPr>
            </w:pPr>
          </w:p>
        </w:tc>
      </w:tr>
      <w:tr>
        <w:trPr>
          <w:trHeight w:val="210"/>
        </w:trPr>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360" w:type="dxa"/>
            <w:vAlign w:val="bottom"/>
          </w:tcPr>
          <w:p>
            <w:pPr>
              <w:spacing w:after="0"/>
              <w:rPr>
                <w:sz w:val="20"/>
                <w:szCs w:val="20"/>
                <w:color w:val="auto"/>
              </w:rPr>
            </w:pPr>
            <w:r>
              <w:rPr>
                <w:rFonts w:ascii="Times New Roman" w:cs="Times New Roman" w:eastAsia="Times New Roman" w:hAnsi="Times New Roman"/>
                <w:sz w:val="8"/>
                <w:szCs w:val="8"/>
                <w:color w:val="auto"/>
              </w:rPr>
              <w:t>(1)</w:t>
            </w:r>
          </w:p>
        </w:tc>
        <w:tc>
          <w:tcPr>
            <w:tcW w:w="5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Excludes investments in PSLF.</w:t>
            </w:r>
          </w:p>
        </w:tc>
        <w:tc>
          <w:tcPr>
            <w:tcW w:w="2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-278130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-260985</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-278130</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-260985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92" w:lineRule="exact"/>
        <w:rPr>
          <w:sz w:val="20"/>
          <w:szCs w:val="20"/>
          <w:color w:val="auto"/>
        </w:rPr>
      </w:pPr>
    </w:p>
    <w:p>
      <w:pPr>
        <w:ind w:right="100" w:firstLine="449"/>
        <w:spacing w:after="0" w:line="253" w:lineRule="auto"/>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 PSLF was formed as a Delaware limited liability company. As of September 30, 2022 and 2021 PSLF had total assets of $781.3 million and $417.4 million, respectively. PSLF’s portfolio consisted of debt investments in 80 and 47 portfolio companies as of September 30, 2022 and 2021, respectively. As of the same dates, we and Pantheon had no remaining commitments to fund first lien secured debt and equity interests in PSLF. As of September 30, 2022, at fair value, the largest investment in a single portfolio company in PSLF was $19.9 million and the five largest investments totaled $98.5 million. As of September 30, 2021 at fair value, the largest investment in a single portfolio company in PSLF was $16.8 million and the five largest investments totaled $74.4 million. PSLF invests in portfolio companies in the same industries in which we may directly invest.</w:t>
      </w:r>
    </w:p>
    <w:p>
      <w:pPr>
        <w:spacing w:after="0" w:line="75" w:lineRule="exact"/>
        <w:rPr>
          <w:sz w:val="20"/>
          <w:szCs w:val="20"/>
          <w:color w:val="auto"/>
        </w:rPr>
      </w:pPr>
    </w:p>
    <w:p>
      <w:pPr>
        <w:jc w:val="both"/>
        <w:ind w:right="60" w:firstLine="449"/>
        <w:spacing w:after="0" w:line="271" w:lineRule="auto"/>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September 30, 2022 and 2021 we and Pantheon owned 60.5% and 39.5%, respectively, of each of the outstanding subordinated notes and equity interests of PSLF. As of September 30, 2022 and 2021 , our investment in PSLF consisted of subordinated notes of $88.0 million and $64.2 million, respectively, and equity interests of $51.1 million and $41.2 million, respectively.</w:t>
      </w:r>
    </w:p>
    <w:p>
      <w:pPr>
        <w:spacing w:after="0" w:line="103" w:lineRule="exact"/>
        <w:rPr>
          <w:sz w:val="20"/>
          <w:szCs w:val="20"/>
          <w:color w:val="auto"/>
        </w:rPr>
      </w:pPr>
    </w:p>
    <w:p>
      <w:pPr>
        <w:ind w:right="60" w:firstLine="449"/>
        <w:spacing w:after="0" w:line="253"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or the Member Designees’ Committee. All material decisions with respect to PSLF, including those involving its investment portfolio, require unanimous approval of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116" w:lineRule="exact"/>
        <w:rPr>
          <w:sz w:val="20"/>
          <w:szCs w:val="20"/>
          <w:color w:val="auto"/>
        </w:rPr>
      </w:pPr>
    </w:p>
    <w:p>
      <w:pPr>
        <w:ind w:right="180" w:firstLine="449"/>
        <w:spacing w:after="0" w:line="261" w:lineRule="auto"/>
        <w:rPr>
          <w:sz w:val="20"/>
          <w:szCs w:val="20"/>
          <w:color w:val="auto"/>
        </w:rPr>
      </w:pPr>
      <w:r>
        <w:rPr>
          <w:rFonts w:ascii="Times New Roman" w:cs="Times New Roman" w:eastAsia="Times New Roman" w:hAnsi="Times New Roman"/>
          <w:sz w:val="14"/>
          <w:szCs w:val="14"/>
          <w:color w:val="auto"/>
        </w:rPr>
        <w:t>Additionally, PSLF, through its wholly-owned subsidiary, or PSLF Subsidiary, has entered into a $225 million (reduced from $275.0 million on March 2, 2022) senior secured revolving credit facility which bears interest at SOFR (or an alternative risk-free interest rate index) plus 255 basis points during the investment period, or the PSLF Credit Facility, with BNP Paribas, subject to leverage and borrowing base restrictions.</w:t>
      </w:r>
    </w:p>
    <w:p>
      <w:pPr>
        <w:spacing w:after="0" w:line="109"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In March 2022, PSLF completed a $304.0 million debt securitization in the form of a collateralized loan obligation, or the “2034 Asset-Backed Debt”. The 2034 Asset-Backed Debt is secured by a diversified portfolio of PennantPark CLO IV, LLC., a wholly-owned and consolidated subsidiary of PSLF, consisting primarily of middle market loans and participation interests in middle market loans. The 2034 Asset-Backed Debt is scheduled to mature in April 2034. On the closing date of the transaction, in consideration of PSLF’s transfer to PennantPark CLO IV, LLC. of the initial closing date loan portfolio, which included loans distributed to PSLF by certain of its wholly owned subsidiaries and us, PennantPark CLO IV, LLC. transferred to PSLF 100% of the Preferred Shares of PennantPark CLO IV, LLC. and 100% of the Subordinated Notes issued by PennantPark CLO IV, LLC.</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summary of PSLF’s portfolio at fair value ($ in thousands):</w:t>
      </w: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81" w:name="page82"/>
    <w:bookmarkEnd w:id="81"/>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500" w:type="dxa"/>
            <w:vAlign w:val="bottom"/>
            <w:gridSpan w:val="2"/>
          </w:tcPr>
          <w:p>
            <w:pPr>
              <w:jc w:val="right"/>
              <w:ind w:right="13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in thousands)</w:t>
            </w:r>
          </w:p>
        </w:tc>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0" w:type="dxa"/>
            <w:vAlign w:val="bottom"/>
          </w:tcPr>
          <w:p>
            <w:pPr>
              <w:spacing w:after="0"/>
              <w:rPr>
                <w:sz w:val="24"/>
                <w:szCs w:val="24"/>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r>
      <w:tr>
        <w:trPr>
          <w:trHeight w:val="169"/>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investments</w:t>
            </w:r>
          </w:p>
        </w:tc>
        <w:tc>
          <w:tcPr>
            <w:tcW w:w="336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730,108</w:t>
            </w:r>
          </w:p>
        </w:tc>
        <w:tc>
          <w:tcPr>
            <w:tcW w:w="280" w:type="dxa"/>
            <w:vAlign w:val="bottom"/>
            <w:shd w:val="clear" w:color="auto" w:fill="CCECFF"/>
          </w:tcPr>
          <w:p>
            <w:pPr>
              <w:spacing w:after="0"/>
              <w:rPr>
                <w:sz w:val="14"/>
                <w:szCs w:val="14"/>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405,233</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cost yield on income producing investments</w:t>
            </w:r>
          </w:p>
        </w:tc>
        <w:tc>
          <w:tcPr>
            <w:tcW w:w="3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9.4 %</w:t>
            </w:r>
          </w:p>
        </w:tc>
        <w:tc>
          <w:tcPr>
            <w:tcW w:w="14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20" w:type="dxa"/>
            <w:vAlign w:val="bottom"/>
          </w:tcPr>
          <w:p>
            <w:pPr>
              <w:spacing w:after="0"/>
              <w:rPr>
                <w:sz w:val="15"/>
                <w:szCs w:val="15"/>
                <w:color w:val="auto"/>
              </w:rPr>
            </w:pPr>
          </w:p>
        </w:tc>
      </w:tr>
      <w:tr>
        <w:trPr>
          <w:trHeight w:val="175"/>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336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Largest portfolio company investment at fair value</w:t>
            </w: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19,906</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30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of five largest portfolio company investments at fair value</w:t>
            </w:r>
          </w:p>
        </w:tc>
        <w:tc>
          <w:tcPr>
            <w:tcW w:w="35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98,502</w:t>
            </w:r>
          </w:p>
        </w:tc>
        <w:tc>
          <w:tcPr>
            <w:tcW w:w="280" w:type="dxa"/>
            <w:vAlign w:val="bottom"/>
            <w:shd w:val="clear" w:color="auto" w:fill="CCECFF"/>
          </w:tcPr>
          <w:p>
            <w:pPr>
              <w:spacing w:after="0"/>
              <w:rPr>
                <w:sz w:val="15"/>
                <w:szCs w:val="15"/>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74,445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r>
    </w:tbl>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2022 ($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30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60" w:type="dxa"/>
            <w:vAlign w:val="bottom"/>
          </w:tcPr>
          <w:p>
            <w:pPr>
              <w:spacing w:after="0"/>
              <w:rPr>
                <w:sz w:val="9"/>
                <w:szCs w:val="9"/>
                <w:color w:val="auto"/>
              </w:rPr>
            </w:pPr>
          </w:p>
        </w:tc>
        <w:tc>
          <w:tcPr>
            <w:tcW w:w="2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90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00" w:type="dxa"/>
            <w:vAlign w:val="bottom"/>
          </w:tcPr>
          <w:p>
            <w:pPr>
              <w:spacing w:after="0"/>
              <w:rPr>
                <w:sz w:val="9"/>
                <w:szCs w:val="9"/>
                <w:color w:val="auto"/>
              </w:rPr>
            </w:pPr>
          </w:p>
        </w:tc>
        <w:tc>
          <w:tcPr>
            <w:tcW w:w="42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Par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48"/>
        </w:trPr>
        <w:tc>
          <w:tcPr>
            <w:tcW w:w="32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- 864.4%</w:t>
            </w:r>
          </w:p>
        </w:tc>
        <w:tc>
          <w:tcPr>
            <w:tcW w:w="3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05/06/26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4,938</w:t>
            </w:r>
          </w:p>
        </w:tc>
        <w:tc>
          <w:tcPr>
            <w:tcW w:w="3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4,938</w:t>
            </w:r>
          </w:p>
        </w:tc>
        <w:tc>
          <w:tcPr>
            <w:tcW w:w="460" w:type="dxa"/>
            <w:vAlign w:val="bottom"/>
            <w:gridSpan w:val="2"/>
            <w:shd w:val="clear" w:color="auto" w:fill="CCECFF"/>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Alpine Acquisition Corp II</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11/30/26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Containers, Packaging and Glass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8.69 %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9,785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07/24/25</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10.81 %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871</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19,90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12/21/23</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7.79 %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19,867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14,10</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Amsive Holding Corporation (f/k/a Vision Purchaser Corporation)</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06/10/25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13,968</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13,892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15,16</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Anteriad, LLC (f/k/a MeritDirect,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05/23/24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07/21/27</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7.98 %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9,942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9,934</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9,743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6.25 %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3,307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 - Term Loan 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07/31/25</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6.50 %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12/29/26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8,822</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8,725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8,602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11,94</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Arcfield Acquisition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03/07/28</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8.99 %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11,721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15,00</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Beta Plus Technologies,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07/01/29</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7.56 %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17,99</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09/17/24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8.57 %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17,772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Broder Bros., Co.</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12/02/22</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7.39 %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17,45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Cartessa Aesthetics,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05/13/28</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9.55 %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CF512,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08/20/26</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9.08 %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2,985</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2,958</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Connatix Buyer,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07/13/27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8.42 %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9,045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 Squatch,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08/31/27</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Personal and Non-Durable Consumer Products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6,435</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6,427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DRI Holding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12/21/28</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8.37 %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2,776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15,14</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11/03/25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15,063</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Duraco Specialty Tapes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06/30/24</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8,139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05/01/28</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10.62 %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4,489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12/23/25</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6.32 %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2,823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Exigo Intermediate II,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03/15/27</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9,817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Fairbanks Morse Defense</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06/17/28</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7.63 %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6M L+475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03/16/26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8.74 %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7,343</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7,313</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Graffiti Buyer,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08/10/27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1,974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12/31/26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6,835</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6,835</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6,733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19,91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11/23/28</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L+800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19,535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15,25</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HV Watterson Holdings,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12/17/26</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15,045</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14,721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14,43</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12/10/24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6.00 %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14,303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Icon Partners III, LP</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05/11/28</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2,333</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2,001</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17,40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IDC Infusion Services,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12/30/26</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10.20 %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17,154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IG Investments Holdings,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09/22/28</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4,473</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4,388</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Imagine Acquisitionco,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11/15/27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6.91 %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5,636</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20,00</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Inception Fertility Ventures,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12/07/23</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9.96 %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19,545</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Infolinks Media Buyco,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11/01/26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9.42 %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19,95</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08/27/25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9.21 %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19,866</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14,43</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12/20/23</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11.12 %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14,316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jc w:val="center"/>
              <w:spacing w:after="0" w:line="112" w:lineRule="exact"/>
              <w:rPr>
                <w:sz w:val="20"/>
                <w:szCs w:val="20"/>
                <w:color w:val="auto"/>
              </w:rPr>
            </w:pPr>
            <w:r>
              <w:rPr>
                <w:rFonts w:ascii="Times New Roman" w:cs="Times New Roman" w:eastAsia="Times New Roman" w:hAnsi="Times New Roman"/>
                <w:sz w:val="11"/>
                <w:szCs w:val="11"/>
                <w:color w:val="auto"/>
                <w:w w:val="97"/>
              </w:rPr>
              <w:t>Leisure, Amusement, Motion Pictures,</w:t>
            </w: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42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10/31/24</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Entertainment</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2,137</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2,129</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19,92</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Lash OpCo,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02/18/27</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11.17 %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19,708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12,34</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02/03/26</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12,119</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11,944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04/01/27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5,570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5,128</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Magenta Buyer,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07/31/28</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rPr>
              <w:t>Software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3,140</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2,946</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05/14/26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L+625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7,861</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04/16/27</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8.56 %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7,406</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7,326</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Meadowlark Acquirer,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12/10/27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Municipal Emergency Services,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09/28/27</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4,164</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4,102</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3,923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NBH Group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08/19/26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7.80 %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7,426</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OIS Management Services,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07/09/26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9.45 %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5,210</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Owl Acquisition,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02/04/28</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8.41 %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3,990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3,890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Ox Two, LLC (New Issue)</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05/18/26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Distribution</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8.32 %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L+650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4,962</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4,911</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4,863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PL Acquisitionco,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11/09/27</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Retail</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9.62 %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8,634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05/08/26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9.17 %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L+525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2,487</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Quantic Electronics,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11/19/26</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9.92 %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3,403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3,342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Quantic Electronics, LLC - Unfunded Term Loan</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11/19/26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0.00 %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5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12,75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03/31/25</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9.46 %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12,657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12/18/25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7.75 %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Reception Purchaser,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02/28/28</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9.13 %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4,975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01/29/26</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9.92 %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L+700</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9,850</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9,718</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14,54</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8.84 %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14,440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06/20/25</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7.74 %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3,192</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3,172</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03/10/25</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9.95 %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9,949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9,872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01/03/25</w:t>
            </w:r>
          </w:p>
        </w:tc>
        <w:tc>
          <w:tcPr>
            <w:tcW w:w="160" w:type="dxa"/>
            <w:vAlign w:val="bottom"/>
            <w:shd w:val="clear" w:color="auto" w:fill="CCECFF"/>
          </w:tcPr>
          <w:p>
            <w:pPr>
              <w:spacing w:after="0"/>
              <w:rPr>
                <w:sz w:val="11"/>
                <w:szCs w:val="11"/>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9.67 %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6,859</w:t>
            </w:r>
          </w:p>
        </w:tc>
        <w:tc>
          <w:tcPr>
            <w:tcW w:w="2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6,779</w:t>
            </w:r>
          </w:p>
        </w:tc>
        <w:tc>
          <w:tcPr>
            <w:tcW w:w="2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6,791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12/20/24</w:t>
            </w:r>
          </w:p>
        </w:tc>
        <w:tc>
          <w:tcPr>
            <w:tcW w:w="160" w:type="dxa"/>
            <w:vAlign w:val="bottom"/>
          </w:tcPr>
          <w:p>
            <w:pPr>
              <w:spacing w:after="0"/>
              <w:rPr>
                <w:sz w:val="11"/>
                <w:szCs w:val="11"/>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7.15 %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08" w:lineRule="exact"/>
              <w:rPr>
                <w:sz w:val="20"/>
                <w:szCs w:val="20"/>
                <w:color w:val="auto"/>
              </w:rPr>
            </w:pPr>
            <w:r>
              <w:rPr>
                <w:rFonts w:ascii="Times New Roman" w:cs="Times New Roman" w:eastAsia="Times New Roman" w:hAnsi="Times New Roman"/>
                <w:sz w:val="11"/>
                <w:szCs w:val="11"/>
                <w:color w:val="auto"/>
              </w:rPr>
              <w:t>15,00</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Seaway Buyer,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06/13/29</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7.90 %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14,794</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11,95</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05/03/24</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10.17 %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1M L+450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240" w:type="dxa"/>
            <w:vAlign w:val="bottom"/>
            <w:shd w:val="clear" w:color="auto" w:fill="CCECFF"/>
          </w:tcPr>
          <w:p>
            <w:pPr>
              <w:spacing w:after="0"/>
              <w:rPr>
                <w:sz w:val="9"/>
                <w:szCs w:val="9"/>
                <w:color w:val="auto"/>
              </w:rPr>
            </w:pPr>
          </w:p>
        </w:tc>
        <w:tc>
          <w:tcPr>
            <w:tcW w:w="30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234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8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520" w:type="dxa"/>
            <w:vAlign w:val="bottom"/>
            <w:gridSpan w:val="2"/>
            <w:shd w:val="clear" w:color="auto" w:fill="CCECFF"/>
          </w:tcPr>
          <w:p>
            <w:pPr>
              <w:jc w:val="right"/>
              <w:spacing w:after="0" w:line="112" w:lineRule="exact"/>
              <w:rPr>
                <w:sz w:val="20"/>
                <w:szCs w:val="20"/>
                <w:color w:val="auto"/>
              </w:rPr>
            </w:pPr>
            <w:r>
              <w:rPr>
                <w:rFonts w:ascii="Times New Roman" w:cs="Times New Roman" w:eastAsia="Times New Roman" w:hAnsi="Times New Roman"/>
                <w:sz w:val="11"/>
                <w:szCs w:val="11"/>
                <w:color w:val="auto"/>
              </w:rPr>
              <w:t>11,38</w:t>
            </w:r>
          </w:p>
        </w:tc>
        <w:tc>
          <w:tcPr>
            <w:tcW w:w="20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4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4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01/17/24</w:t>
            </w:r>
          </w:p>
        </w:tc>
        <w:tc>
          <w:tcPr>
            <w:tcW w:w="160" w:type="dxa"/>
            <w:vAlign w:val="bottom"/>
            <w:shd w:val="clear" w:color="auto" w:fill="CCECFF"/>
          </w:tcPr>
          <w:p>
            <w:pPr>
              <w:spacing w:after="0"/>
              <w:rPr>
                <w:sz w:val="12"/>
                <w:szCs w:val="12"/>
                <w:color w:val="auto"/>
              </w:rPr>
            </w:pPr>
          </w:p>
        </w:tc>
        <w:tc>
          <w:tcPr>
            <w:tcW w:w="23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1240" w:type="dxa"/>
            <w:vAlign w:val="bottom"/>
            <w:gridSpan w:val="3"/>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8.87 %</w:t>
            </w:r>
          </w:p>
        </w:tc>
        <w:tc>
          <w:tcPr>
            <w:tcW w:w="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6M L+675</w:t>
            </w:r>
          </w:p>
        </w:tc>
        <w:tc>
          <w:tcPr>
            <w:tcW w:w="5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11,352</w:t>
            </w:r>
          </w:p>
        </w:tc>
        <w:tc>
          <w:tcPr>
            <w:tcW w:w="2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12,09</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12/11/26</w:t>
            </w:r>
          </w:p>
        </w:tc>
        <w:tc>
          <w:tcPr>
            <w:tcW w:w="160" w:type="dxa"/>
            <w:vAlign w:val="bottom"/>
          </w:tcPr>
          <w:p>
            <w:pPr>
              <w:spacing w:after="0"/>
              <w:rPr>
                <w:sz w:val="12"/>
                <w:szCs w:val="12"/>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8.37 %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12,031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14" w:right="319" w:bottom="268"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268" w:gutter="0" w:footer="0" w:header="0"/>
          <w:type w:val="continuous"/>
        </w:sectPr>
      </w:pPr>
    </w:p>
    <w:bookmarkStart w:id="82" w:name="page83"/>
    <w:bookmarkEnd w:id="82"/>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300" w:type="dxa"/>
            <w:vAlign w:val="bottom"/>
          </w:tcPr>
          <w:p>
            <w:pPr>
              <w:spacing w:after="0"/>
              <w:rPr>
                <w:sz w:val="9"/>
                <w:szCs w:val="9"/>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40" w:type="dxa"/>
            <w:vAlign w:val="bottom"/>
          </w:tcPr>
          <w:p>
            <w:pPr>
              <w:spacing w:after="0"/>
              <w:rPr>
                <w:sz w:val="9"/>
                <w:szCs w:val="9"/>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100" w:type="dxa"/>
            <w:vAlign w:val="bottom"/>
          </w:tcPr>
          <w:p>
            <w:pPr>
              <w:spacing w:after="0"/>
              <w:rPr>
                <w:sz w:val="9"/>
                <w:szCs w:val="9"/>
                <w:color w:val="auto"/>
              </w:rPr>
            </w:pPr>
          </w:p>
        </w:tc>
        <w:tc>
          <w:tcPr>
            <w:tcW w:w="780" w:type="dxa"/>
            <w:vAlign w:val="bottom"/>
            <w:gridSpan w:val="3"/>
            <w:vMerge w:val="restart"/>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Par</w:t>
            </w:r>
          </w:p>
        </w:tc>
        <w:tc>
          <w:tcPr>
            <w:tcW w:w="4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0"/>
              </w:rPr>
              <w:t xml:space="preserve">Fair Value </w:t>
            </w:r>
            <w:r>
              <w:rPr>
                <w:rFonts w:ascii="Times New Roman" w:cs="Times New Roman" w:eastAsia="Times New Roman" w:hAnsi="Times New Roman"/>
                <w:sz w:val="14"/>
                <w:szCs w:val="14"/>
                <w:b w:val="1"/>
                <w:bCs w:val="1"/>
                <w:color w:val="auto"/>
                <w:w w:val="90"/>
                <w:vertAlign w:val="superscript"/>
              </w:rPr>
              <w:t>(2)</w:t>
            </w:r>
          </w:p>
        </w:tc>
        <w:tc>
          <w:tcPr>
            <w:tcW w:w="0" w:type="dxa"/>
            <w:vAlign w:val="bottom"/>
          </w:tcPr>
          <w:p>
            <w:pPr>
              <w:spacing w:after="0"/>
              <w:rPr>
                <w:sz w:val="1"/>
                <w:szCs w:val="1"/>
                <w:color w:val="auto"/>
              </w:rPr>
            </w:pPr>
          </w:p>
        </w:tc>
      </w:tr>
      <w:tr>
        <w:trPr>
          <w:trHeight w:val="148"/>
        </w:trPr>
        <w:tc>
          <w:tcPr>
            <w:tcW w:w="32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20" w:type="dxa"/>
            <w:vAlign w:val="bottom"/>
            <w:tcBorders>
              <w:top w:val="single" w:sz="8" w:color="auto"/>
            </w:tcBorders>
            <w:shd w:val="clear" w:color="auto" w:fill="CCECFF"/>
          </w:tcPr>
          <w:p>
            <w:pPr>
              <w:spacing w:after="0"/>
              <w:rPr>
                <w:sz w:val="11"/>
                <w:szCs w:val="11"/>
                <w:color w:val="auto"/>
              </w:rPr>
            </w:pPr>
          </w:p>
        </w:tc>
        <w:tc>
          <w:tcPr>
            <w:tcW w:w="30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2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44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46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20" w:type="dxa"/>
            <w:vAlign w:val="bottom"/>
          </w:tcPr>
          <w:p>
            <w:pPr>
              <w:ind w:left="20"/>
              <w:spacing w:after="0" w:line="108" w:lineRule="exact"/>
              <w:rPr>
                <w:sz w:val="20"/>
                <w:szCs w:val="20"/>
                <w:color w:val="auto"/>
              </w:rPr>
            </w:pPr>
            <w:r>
              <w:rPr>
                <w:rFonts w:ascii="Times New Roman" w:cs="Times New Roman" w:eastAsia="Times New Roman" w:hAnsi="Times New Roman"/>
                <w:sz w:val="11"/>
                <w:szCs w:val="11"/>
                <w:color w:val="auto"/>
              </w:rPr>
              <w:t>System Planning and Analysis, Inc. (f/k/a Management Consulting &amp;</w:t>
            </w: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Research,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4"/>
              </w:rPr>
              <w:t>8/16/2027</w:t>
            </w:r>
          </w:p>
        </w:tc>
        <w:tc>
          <w:tcPr>
            <w:tcW w:w="140" w:type="dxa"/>
            <w:vAlign w:val="bottom"/>
          </w:tcPr>
          <w:p>
            <w:pPr>
              <w:spacing w:after="0"/>
              <w:rPr>
                <w:sz w:val="12"/>
                <w:szCs w:val="12"/>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8.73 %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SOFR+600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16,128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4"/>
              </w:rPr>
              <w:t>7/18/2025</w:t>
            </w:r>
          </w:p>
        </w:tc>
        <w:tc>
          <w:tcPr>
            <w:tcW w:w="140" w:type="dxa"/>
            <w:vAlign w:val="bottom"/>
            <w:shd w:val="clear" w:color="auto" w:fill="CCECFF"/>
          </w:tcPr>
          <w:p>
            <w:pPr>
              <w:spacing w:after="0"/>
              <w:rPr>
                <w:sz w:val="12"/>
                <w:szCs w:val="12"/>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7.73 %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3,474</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3,435</w:t>
            </w:r>
          </w:p>
        </w:tc>
        <w:tc>
          <w:tcPr>
            <w:tcW w:w="1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Aegis Technologies Group,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9"/>
              </w:rPr>
              <w:t>10/31/2025</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9.67 %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11,208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The Bluebird Group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4"/>
              </w:rPr>
              <w:t>7/27/2026</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5,502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5,549</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5,557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Vertex Companies,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4"/>
              </w:rPr>
              <w:t>8/30/2027</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8.62 %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9"/>
              </w:rPr>
              <w:t>11/24/2025</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7.78 %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5,392</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4"/>
              </w:rPr>
              <w:t>3/26/2026</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8.87 %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17,381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4"/>
              </w:rPr>
              <w:t>6/16/2025</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8.76 %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L+625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7,949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7,917</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7,910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4/3/2028</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7.76 %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L+550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12,064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7"/>
              </w:rPr>
              <w:t>4/3/2024</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8.17 %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L+450</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4,657</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Unique Indoor Comfort,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4"/>
              </w:rPr>
              <w:t>5/24/2027</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Home and Office Furnishings, Housewares</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8.95 %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L+525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9,975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1040" w:type="dxa"/>
            <w:vAlign w:val="bottom"/>
            <w:gridSpan w:val="2"/>
            <w:shd w:val="clear" w:color="auto" w:fill="CCECFF"/>
          </w:tcPr>
          <w:p>
            <w:pPr>
              <w:jc w:val="center"/>
              <w:ind w:left="246"/>
              <w:spacing w:after="0"/>
              <w:rPr>
                <w:sz w:val="20"/>
                <w:szCs w:val="20"/>
                <w:color w:val="auto"/>
              </w:rPr>
            </w:pPr>
            <w:r>
              <w:rPr>
                <w:rFonts w:ascii="Times New Roman" w:cs="Times New Roman" w:eastAsia="Times New Roman" w:hAnsi="Times New Roman"/>
                <w:sz w:val="11"/>
                <w:szCs w:val="11"/>
                <w:color w:val="auto"/>
                <w:w w:val="94"/>
              </w:rPr>
              <w:t>2/27/2026</w:t>
            </w: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1260" w:type="dxa"/>
            <w:vAlign w:val="bottom"/>
            <w:gridSpan w:val="3"/>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9.45 %</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SOFR+575</w:t>
            </w:r>
          </w:p>
        </w:tc>
        <w:tc>
          <w:tcPr>
            <w:tcW w:w="5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11,506</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11,420</w:t>
            </w: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Zips Car Wash, LLC</w:t>
            </w:r>
          </w:p>
        </w:tc>
        <w:tc>
          <w:tcPr>
            <w:tcW w:w="104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color w:val="auto"/>
                <w:w w:val="97"/>
              </w:rPr>
              <w:t>3/1/2024</w:t>
            </w:r>
          </w:p>
        </w:tc>
        <w:tc>
          <w:tcPr>
            <w:tcW w:w="140" w:type="dxa"/>
            <w:vAlign w:val="bottom"/>
          </w:tcPr>
          <w:p>
            <w:pPr>
              <w:spacing w:after="0"/>
              <w:rPr>
                <w:sz w:val="11"/>
                <w:szCs w:val="11"/>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10.24 %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L+725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19,998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19,673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Borders>
              <w:bottom w:val="single" w:sz="8" w:color="CCECFF"/>
            </w:tcBorders>
            <w:shd w:val="clear" w:color="auto" w:fill="CCECFF"/>
          </w:tcPr>
          <w:p>
            <w:pPr>
              <w:spacing w:after="0"/>
              <w:rPr>
                <w:sz w:val="11"/>
                <w:szCs w:val="11"/>
                <w:color w:val="auto"/>
              </w:rPr>
            </w:pPr>
          </w:p>
        </w:tc>
        <w:tc>
          <w:tcPr>
            <w:tcW w:w="3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3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4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6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738,219</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730,108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- 864.4%</w:t>
            </w:r>
          </w:p>
        </w:tc>
        <w:tc>
          <w:tcPr>
            <w:tcW w:w="30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4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4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 - 50.9%</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300" w:type="dxa"/>
            <w:vAlign w:val="bottom"/>
            <w:tcBorders>
              <w:bottom w:val="single" w:sz="8" w:color="CCECFF"/>
            </w:tcBorders>
            <w:shd w:val="clear" w:color="auto" w:fill="CCECFF"/>
          </w:tcPr>
          <w:p>
            <w:pPr>
              <w:spacing w:after="0"/>
              <w:rPr>
                <w:sz w:val="11"/>
                <w:szCs w:val="11"/>
                <w:color w:val="auto"/>
              </w:rPr>
            </w:pPr>
          </w:p>
        </w:tc>
        <w:tc>
          <w:tcPr>
            <w:tcW w:w="740" w:type="dxa"/>
            <w:vAlign w:val="bottom"/>
            <w:tcBorders>
              <w:bottom w:val="single" w:sz="8" w:color="CCECFF"/>
            </w:tcBorders>
            <w:shd w:val="clear" w:color="auto" w:fill="CCECFF"/>
          </w:tcPr>
          <w:p>
            <w:pPr>
              <w:spacing w:after="0"/>
              <w:rPr>
                <w:sz w:val="11"/>
                <w:szCs w:val="11"/>
                <w:color w:val="auto"/>
              </w:rPr>
            </w:pPr>
          </w:p>
        </w:tc>
        <w:tc>
          <w:tcPr>
            <w:tcW w:w="140" w:type="dxa"/>
            <w:vAlign w:val="bottom"/>
            <w:tcBorders>
              <w:bottom w:val="single" w:sz="8" w:color="CCECFF"/>
            </w:tcBorders>
            <w:shd w:val="clear" w:color="auto" w:fill="CCECFF"/>
          </w:tcPr>
          <w:p>
            <w:pPr>
              <w:spacing w:after="0"/>
              <w:rPr>
                <w:sz w:val="11"/>
                <w:szCs w:val="11"/>
                <w:color w:val="auto"/>
              </w:rPr>
            </w:pPr>
          </w:p>
        </w:tc>
        <w:tc>
          <w:tcPr>
            <w:tcW w:w="23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880" w:type="dxa"/>
            <w:vAlign w:val="bottom"/>
            <w:tcBorders>
              <w:bottom w:val="single" w:sz="8" w:color="CCECFF"/>
            </w:tcBorders>
            <w:shd w:val="clear" w:color="auto" w:fill="CCECFF"/>
          </w:tcPr>
          <w:p>
            <w:pPr>
              <w:spacing w:after="0"/>
              <w:rPr>
                <w:sz w:val="11"/>
                <w:szCs w:val="11"/>
                <w:color w:val="auto"/>
              </w:rPr>
            </w:pPr>
          </w:p>
        </w:tc>
        <w:tc>
          <w:tcPr>
            <w:tcW w:w="260" w:type="dxa"/>
            <w:vAlign w:val="bottom"/>
            <w:tcBorders>
              <w:bottom w:val="single" w:sz="8" w:color="CCECFF"/>
            </w:tcBorders>
            <w:shd w:val="clear" w:color="auto" w:fill="CCECFF"/>
          </w:tcPr>
          <w:p>
            <w:pPr>
              <w:spacing w:after="0"/>
              <w:rPr>
                <w:sz w:val="11"/>
                <w:szCs w:val="11"/>
                <w:color w:val="auto"/>
              </w:rPr>
            </w:pPr>
          </w:p>
        </w:tc>
        <w:tc>
          <w:tcPr>
            <w:tcW w:w="86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440" w:type="dxa"/>
            <w:vAlign w:val="bottom"/>
            <w:tcBorders>
              <w:bottom w:val="single" w:sz="8" w:color="CCECFF"/>
            </w:tcBorders>
            <w:shd w:val="clear" w:color="auto" w:fill="CCECFF"/>
          </w:tcPr>
          <w:p>
            <w:pPr>
              <w:spacing w:after="0"/>
              <w:rPr>
                <w:sz w:val="11"/>
                <w:szCs w:val="11"/>
                <w:color w:val="auto"/>
              </w:rPr>
            </w:pPr>
          </w:p>
        </w:tc>
        <w:tc>
          <w:tcPr>
            <w:tcW w:w="22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auto"/>
            </w:tcBorders>
            <w:shd w:val="clear" w:color="auto" w:fill="CCECFF"/>
          </w:tcPr>
          <w:p>
            <w:pPr>
              <w:spacing w:after="0"/>
              <w:rPr>
                <w:sz w:val="11"/>
                <w:szCs w:val="11"/>
                <w:color w:val="auto"/>
              </w:rPr>
            </w:pP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Borders>
              <w:bottom w:val="single" w:sz="8" w:color="CCECFF"/>
            </w:tcBorders>
            <w:shd w:val="clear" w:color="auto" w:fill="CCECFF"/>
          </w:tcPr>
          <w:p>
            <w:pPr>
              <w:spacing w:after="0"/>
              <w:rPr>
                <w:sz w:val="11"/>
                <w:szCs w:val="11"/>
                <w:color w:val="auto"/>
              </w:rPr>
            </w:pPr>
          </w:p>
        </w:tc>
        <w:tc>
          <w:tcPr>
            <w:tcW w:w="100" w:type="dxa"/>
            <w:vAlign w:val="bottom"/>
            <w:tcBorders>
              <w:bottom w:val="single" w:sz="8" w:color="CCECFF"/>
            </w:tcBorders>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Borders>
              <w:bottom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 - 915.3%</w:t>
            </w:r>
          </w:p>
        </w:tc>
        <w:tc>
          <w:tcPr>
            <w:tcW w:w="30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3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gridSpan w:val="3"/>
            <w:shd w:val="clear" w:color="auto" w:fill="CCECFF"/>
          </w:tcPr>
          <w:p>
            <w:pPr>
              <w:spacing w:after="0"/>
              <w:rPr>
                <w:sz w:val="15"/>
                <w:szCs w:val="15"/>
                <w:color w:val="auto"/>
              </w:rPr>
            </w:pPr>
          </w:p>
        </w:tc>
        <w:tc>
          <w:tcPr>
            <w:tcW w:w="120" w:type="dxa"/>
            <w:vAlign w:val="bottom"/>
            <w:tcBorders>
              <w:bottom w:val="single" w:sz="8" w:color="auto"/>
            </w:tcBorders>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781,185</w:t>
            </w:r>
          </w:p>
        </w:tc>
        <w:tc>
          <w:tcPr>
            <w:tcW w:w="20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773,073</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32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 — (815.3)%</w:t>
            </w: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1"/>
                <w:szCs w:val="11"/>
                <w:color w:val="auto"/>
              </w:rPr>
              <w:t>(688,612 )</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30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3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8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CCECFF"/>
            </w:tcBorders>
            <w:shd w:val="clear" w:color="auto" w:fill="CCECFF"/>
          </w:tcPr>
          <w:p>
            <w:pPr>
              <w:spacing w:after="0"/>
              <w:rPr>
                <w:sz w:val="15"/>
                <w:szCs w:val="15"/>
                <w:color w:val="auto"/>
              </w:rPr>
            </w:pPr>
          </w:p>
        </w:tc>
        <w:tc>
          <w:tcPr>
            <w:tcW w:w="86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CCECFF"/>
            </w:tcBorders>
            <w:shd w:val="clear" w:color="auto" w:fill="CCECFF"/>
          </w:tcPr>
          <w:p>
            <w:pPr>
              <w:spacing w:after="0"/>
              <w:rPr>
                <w:sz w:val="15"/>
                <w:szCs w:val="15"/>
                <w:color w:val="auto"/>
              </w:rPr>
            </w:pPr>
          </w:p>
        </w:tc>
        <w:tc>
          <w:tcPr>
            <w:tcW w:w="44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460" w:type="dxa"/>
            <w:vAlign w:val="bottom"/>
            <w:tcBorders>
              <w:bottom w:val="single" w:sz="8" w:color="CCECFF"/>
            </w:tcBorders>
            <w:shd w:val="clear" w:color="auto" w:fill="CCECFF"/>
          </w:tcPr>
          <w:p>
            <w:pPr>
              <w:spacing w:after="0"/>
              <w:rPr>
                <w:sz w:val="15"/>
                <w:szCs w:val="15"/>
                <w:color w:val="auto"/>
              </w:rPr>
            </w:pPr>
          </w:p>
        </w:tc>
        <w:tc>
          <w:tcPr>
            <w:tcW w:w="200" w:type="dxa"/>
            <w:vAlign w:val="bottom"/>
            <w:tcBorders>
              <w:bottom w:val="single" w:sz="8" w:color="CCECFF"/>
            </w:tcBorders>
            <w:gridSpan w:val="2"/>
            <w:shd w:val="clear" w:color="auto" w:fill="CCECFF"/>
          </w:tcPr>
          <w:p>
            <w:pPr>
              <w:spacing w:after="0"/>
              <w:rPr>
                <w:sz w:val="15"/>
                <w:szCs w:val="15"/>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84,462</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6459855</wp:posOffset>
            </wp:positionH>
            <wp:positionV relativeFrom="paragraph">
              <wp:posOffset>-779145</wp:posOffset>
            </wp:positionV>
            <wp:extent cx="68580" cy="1028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1028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-419735</wp:posOffset>
            </wp:positionV>
            <wp:extent cx="68580" cy="1028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-419735</wp:posOffset>
            </wp:positionV>
            <wp:extent cx="68580" cy="1028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-230505</wp:posOffset>
            </wp:positionV>
            <wp:extent cx="677545" cy="1200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7545"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jc w:val="both"/>
        <w:ind w:left="1020" w:right="20" w:hanging="503"/>
        <w:spacing w:after="0" w:line="278" w:lineRule="auto"/>
        <w:tabs>
          <w:tab w:leader="none" w:pos="1020" w:val="left"/>
        </w:tabs>
        <w:numPr>
          <w:ilvl w:val="0"/>
          <w:numId w:val="7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4"/>
          <w:szCs w:val="4"/>
          <w:color w:val="auto"/>
        </w:rPr>
        <w:t>2.</w:t>
      </w:r>
    </w:p>
    <w:p>
      <w:pPr>
        <w:spacing w:after="0" w:line="90"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PSLF’s accounting policy.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2021 ($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Current</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4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140" w:type="dxa"/>
            <w:vAlign w:val="bottom"/>
          </w:tcPr>
          <w:p>
            <w:pPr>
              <w:spacing w:after="0"/>
              <w:rPr>
                <w:sz w:val="9"/>
                <w:szCs w:val="9"/>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Par</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9"/>
              </w:rPr>
              <w:t xml:space="preserve">Fair Value </w:t>
            </w:r>
            <w:r>
              <w:rPr>
                <w:rFonts w:ascii="Times New Roman" w:cs="Times New Roman" w:eastAsia="Times New Roman" w:hAnsi="Times New Roman"/>
                <w:sz w:val="14"/>
                <w:szCs w:val="14"/>
                <w:b w:val="1"/>
                <w:bCs w:val="1"/>
                <w:color w:val="auto"/>
                <w:w w:val="99"/>
                <w:vertAlign w:val="superscript"/>
              </w:rPr>
              <w:t>(2)</w:t>
            </w:r>
          </w:p>
        </w:tc>
        <w:tc>
          <w:tcPr>
            <w:tcW w:w="0" w:type="dxa"/>
            <w:vAlign w:val="bottom"/>
          </w:tcPr>
          <w:p>
            <w:pPr>
              <w:spacing w:after="0"/>
              <w:rPr>
                <w:sz w:val="1"/>
                <w:szCs w:val="1"/>
                <w:color w:val="auto"/>
              </w:rPr>
            </w:pPr>
          </w:p>
        </w:tc>
      </w:tr>
      <w:tr>
        <w:trPr>
          <w:trHeight w:val="149"/>
        </w:trPr>
        <w:tc>
          <w:tcPr>
            <w:tcW w:w="2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w w:val="93"/>
              </w:rPr>
              <w:t xml:space="preserve">Index </w:t>
            </w:r>
            <w:r>
              <w:rPr>
                <w:rFonts w:ascii="Times New Roman" w:cs="Times New Roman" w:eastAsia="Times New Roman" w:hAnsi="Times New Roman"/>
                <w:sz w:val="14"/>
                <w:szCs w:val="14"/>
                <w:b w:val="1"/>
                <w:bCs w:val="1"/>
                <w:color w:val="auto"/>
                <w:w w:val="93"/>
                <w:vertAlign w:val="superscript"/>
              </w:rPr>
              <w:t>(1)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First Lien Secured Debt - 595.6%</w:t>
            </w:r>
          </w:p>
        </w:tc>
        <w:tc>
          <w:tcPr>
            <w:tcW w:w="140" w:type="dxa"/>
            <w:vAlign w:val="bottom"/>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440" w:type="dxa"/>
            <w:vAlign w:val="bottom"/>
            <w:tcBorders>
              <w:top w:val="single" w:sz="8" w:color="auto"/>
            </w:tcBorders>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48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820" w:type="dxa"/>
            <w:vAlign w:val="bottom"/>
            <w:tcBorders>
              <w:top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Ad.net Acquisition,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05/06/26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4"/>
              </w:rPr>
              <w:t>3M L + 600</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4,988</w:t>
            </w:r>
          </w:p>
        </w:tc>
        <w:tc>
          <w:tcPr>
            <w:tcW w:w="40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Altamira Technologies,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07/24/25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12/21/23</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Any Hour Services</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07/21/27</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Apex Service Partners,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6,518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Apex Service Partners, LLC Term Loan B</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07/31/25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6.55%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3,347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Applied Technical Services,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12/29/26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7,336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7,295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Bottom Line Systems,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02/13/23</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Crash Champions,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08/05/25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Auto Sector</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5,873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DRS Holdings III,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11/03/25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13,428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13,334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ECL Entertainment,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03/31/28</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8.25%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4,604</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ECM Industries,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12/23/25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2,827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Global Holdings InterCo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03/16/26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Banking, Finance, Insurance &amp; Real Estate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Hancock Roofing and Construction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12/31/26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5,819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12/19/25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HW Holdco,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12/10/24</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14,499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IMIA Holdings,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04/09/27</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08/27/25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Insurance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7,868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7,803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7,829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12/22/21</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12/20/23</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L+700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14,199</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LAV Gear Holdings,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10/31/24</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8.50%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Lightspeed Buyer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02/03/26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12,273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Lombart Brothers,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04/13/23</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L+825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16,729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MAG DS Corp.</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04/01/27</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5,837</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5,581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5,253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Mars Acquisition Holdings Corp.</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05/14/26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MBS Holdings,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04/16/27</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7,481</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MeritDirect,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05/23/24</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PlayPower,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05/08/26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5.65%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3,805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Radius Aerospace,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03/31/25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Rancho Health MSO,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12/18/25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Recteq,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01/29/26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Research Now Group, LLC and Dynata,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L+600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14,695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Riverpoint Medical,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06/20/25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01/03/25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L+750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7,632</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7,442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Sargent &amp; Greenleaf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12/20/24</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05/03/24</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8.50%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Solutionreach, Inc.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01/17/24</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Communications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L+600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11,758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STV Group Incorporated</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12/11/26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5.33%</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L+450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12,099</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12,003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12,038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TAC LifePort Purchaser,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03/01/26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7.00%</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L+525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4,891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TeleGuam Holdings,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11/20/25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Teneo Holdings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07/18/25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L+575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11/24/25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7"/>
              </w:rPr>
              <w:t>Food</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L+625</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5,537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TVC Enterprises,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03/26/26</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Transportation</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L+550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06/16/25</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Education</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7.25%</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L+450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9,515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9,648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Tyto Athene, LLC</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04/03/28</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6.25%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1M L+675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UBEO, LLC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04/03/24</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5.50%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1M L+500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4,710</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4,676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4,687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880" w:type="dxa"/>
            <w:vAlign w:val="bottom"/>
            <w:gridSpan w:val="2"/>
          </w:tcPr>
          <w:p>
            <w:pPr>
              <w:jc w:val="center"/>
              <w:ind w:left="86"/>
              <w:spacing w:after="0"/>
              <w:rPr>
                <w:sz w:val="20"/>
                <w:szCs w:val="20"/>
                <w:color w:val="auto"/>
              </w:rPr>
            </w:pPr>
            <w:r>
              <w:rPr>
                <w:rFonts w:ascii="Times New Roman" w:cs="Times New Roman" w:eastAsia="Times New Roman" w:hAnsi="Times New Roman"/>
                <w:sz w:val="11"/>
                <w:szCs w:val="11"/>
                <w:color w:val="auto"/>
                <w:w w:val="97"/>
              </w:rPr>
              <w:t>06/10/25</w:t>
            </w:r>
          </w:p>
        </w:tc>
        <w:tc>
          <w:tcPr>
            <w:tcW w:w="140" w:type="dxa"/>
            <w:vAlign w:val="bottom"/>
          </w:tcPr>
          <w:p>
            <w:pPr>
              <w:spacing w:after="0"/>
              <w:rPr>
                <w:sz w:val="11"/>
                <w:szCs w:val="11"/>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Media</w:t>
            </w:r>
          </w:p>
        </w:tc>
        <w:tc>
          <w:tcPr>
            <w:tcW w:w="920" w:type="dxa"/>
            <w:vAlign w:val="bottom"/>
            <w:gridSpan w:val="2"/>
          </w:tcPr>
          <w:p>
            <w:pPr>
              <w:jc w:val="center"/>
              <w:ind w:left="106"/>
              <w:spacing w:after="0"/>
              <w:rPr>
                <w:sz w:val="20"/>
                <w:szCs w:val="20"/>
                <w:color w:val="auto"/>
              </w:rPr>
            </w:pPr>
            <w:r>
              <w:rPr>
                <w:rFonts w:ascii="Times New Roman" w:cs="Times New Roman" w:eastAsia="Times New Roman" w:hAnsi="Times New Roman"/>
                <w:sz w:val="11"/>
                <w:szCs w:val="11"/>
                <w:color w:val="auto"/>
                <w:w w:val="98"/>
              </w:rPr>
              <w:t>7.75%</w:t>
            </w: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3M L+675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14,035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Wildcat Buyerco, Inc.</w:t>
            </w:r>
          </w:p>
        </w:tc>
        <w:tc>
          <w:tcPr>
            <w:tcW w:w="880" w:type="dxa"/>
            <w:vAlign w:val="bottom"/>
            <w:gridSpan w:val="2"/>
            <w:shd w:val="clear" w:color="auto" w:fill="CCECFF"/>
          </w:tcPr>
          <w:p>
            <w:pPr>
              <w:jc w:val="center"/>
              <w:ind w:left="86"/>
              <w:spacing w:after="0"/>
              <w:rPr>
                <w:sz w:val="20"/>
                <w:szCs w:val="20"/>
                <w:color w:val="auto"/>
              </w:rPr>
            </w:pPr>
            <w:r>
              <w:rPr>
                <w:rFonts w:ascii="Times New Roman" w:cs="Times New Roman" w:eastAsia="Times New Roman" w:hAnsi="Times New Roman"/>
                <w:sz w:val="11"/>
                <w:szCs w:val="11"/>
                <w:color w:val="auto"/>
                <w:w w:val="97"/>
              </w:rPr>
              <w:t>02/27/26</w:t>
            </w: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Electronics</w:t>
            </w:r>
          </w:p>
        </w:tc>
        <w:tc>
          <w:tcPr>
            <w:tcW w:w="920" w:type="dxa"/>
            <w:vAlign w:val="bottom"/>
            <w:gridSpan w:val="2"/>
            <w:shd w:val="clear" w:color="auto" w:fill="CCECFF"/>
          </w:tcPr>
          <w:p>
            <w:pPr>
              <w:jc w:val="center"/>
              <w:ind w:left="106"/>
              <w:spacing w:after="0"/>
              <w:rPr>
                <w:sz w:val="20"/>
                <w:szCs w:val="20"/>
                <w:color w:val="auto"/>
              </w:rPr>
            </w:pPr>
            <w:r>
              <w:rPr>
                <w:rFonts w:ascii="Times New Roman" w:cs="Times New Roman" w:eastAsia="Times New Roman" w:hAnsi="Times New Roman"/>
                <w:sz w:val="11"/>
                <w:szCs w:val="11"/>
                <w:color w:val="auto"/>
                <w:w w:val="98"/>
              </w:rPr>
              <w:t>6.00%</w:t>
            </w: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6"/>
              </w:rPr>
              <w:t>3M L+500</w:t>
            </w: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7,425</w:t>
            </w: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7,388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820" w:type="dxa"/>
            <w:vAlign w:val="bottom"/>
            <w:shd w:val="clear" w:color="auto" w:fill="CCECFF"/>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40" w:type="dxa"/>
            <w:vAlign w:val="bottom"/>
            <w:shd w:val="clear" w:color="auto" w:fill="CCECFF"/>
          </w:tcPr>
          <w:p>
            <w:pPr>
              <w:spacing w:after="0"/>
              <w:rPr>
                <w:sz w:val="9"/>
                <w:szCs w:val="9"/>
                <w:color w:val="auto"/>
              </w:rPr>
            </w:pPr>
          </w:p>
        </w:tc>
        <w:tc>
          <w:tcPr>
            <w:tcW w:w="7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244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760" w:type="dxa"/>
            <w:vAlign w:val="bottom"/>
            <w:shd w:val="clear" w:color="auto" w:fill="CCECFF"/>
          </w:tcPr>
          <w:p>
            <w:pPr>
              <w:spacing w:after="0"/>
              <w:rPr>
                <w:sz w:val="9"/>
                <w:szCs w:val="9"/>
                <w:color w:val="auto"/>
              </w:rPr>
            </w:pPr>
          </w:p>
        </w:tc>
        <w:tc>
          <w:tcPr>
            <w:tcW w:w="12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480" w:type="dxa"/>
            <w:vAlign w:val="bottom"/>
            <w:shd w:val="clear" w:color="auto" w:fill="CCECFF"/>
          </w:tcPr>
          <w:p>
            <w:pPr>
              <w:jc w:val="right"/>
              <w:spacing w:after="0" w:line="113" w:lineRule="exact"/>
              <w:rPr>
                <w:sz w:val="20"/>
                <w:szCs w:val="20"/>
                <w:color w:val="auto"/>
              </w:rPr>
            </w:pPr>
            <w:r>
              <w:rPr>
                <w:rFonts w:ascii="Times New Roman" w:cs="Times New Roman" w:eastAsia="Times New Roman" w:hAnsi="Times New Roman"/>
                <w:sz w:val="11"/>
                <w:szCs w:val="11"/>
                <w:color w:val="auto"/>
              </w:rPr>
              <w:t>409,602</w:t>
            </w:r>
          </w:p>
        </w:tc>
        <w:tc>
          <w:tcPr>
            <w:tcW w:w="220" w:type="dxa"/>
            <w:vAlign w:val="bottom"/>
            <w:shd w:val="clear" w:color="auto" w:fill="CCECFF"/>
          </w:tcPr>
          <w:p>
            <w:pPr>
              <w:spacing w:after="0"/>
              <w:rPr>
                <w:sz w:val="9"/>
                <w:szCs w:val="9"/>
                <w:color w:val="auto"/>
              </w:rPr>
            </w:pPr>
          </w:p>
        </w:tc>
        <w:tc>
          <w:tcPr>
            <w:tcW w:w="180" w:type="dxa"/>
            <w:vAlign w:val="bottom"/>
            <w:shd w:val="clear" w:color="auto" w:fill="CCECFF"/>
          </w:tcPr>
          <w:p>
            <w:pPr>
              <w:spacing w:after="0"/>
              <w:rPr>
                <w:sz w:val="9"/>
                <w:szCs w:val="9"/>
                <w:color w:val="auto"/>
              </w:rPr>
            </w:pPr>
          </w:p>
        </w:tc>
        <w:tc>
          <w:tcPr>
            <w:tcW w:w="620" w:type="dxa"/>
            <w:vAlign w:val="bottom"/>
            <w:shd w:val="clear" w:color="auto" w:fill="CCECFF"/>
          </w:tcPr>
          <w:p>
            <w:pPr>
              <w:jc w:val="right"/>
              <w:spacing w:after="0" w:line="113" w:lineRule="exact"/>
              <w:rPr>
                <w:sz w:val="20"/>
                <w:szCs w:val="20"/>
                <w:color w:val="auto"/>
              </w:rPr>
            </w:pPr>
            <w:r>
              <w:rPr>
                <w:rFonts w:ascii="Times New Roman" w:cs="Times New Roman" w:eastAsia="Times New Roman" w:hAnsi="Times New Roman"/>
                <w:sz w:val="11"/>
                <w:szCs w:val="11"/>
                <w:color w:val="auto"/>
              </w:rPr>
              <w:t>405,009</w:t>
            </w: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820" w:type="dxa"/>
            <w:vAlign w:val="bottom"/>
            <w:shd w:val="clear" w:color="auto" w:fill="CCECFF"/>
          </w:tcPr>
          <w:p>
            <w:pPr>
              <w:jc w:val="right"/>
              <w:spacing w:after="0" w:line="113" w:lineRule="exact"/>
              <w:rPr>
                <w:sz w:val="20"/>
                <w:szCs w:val="20"/>
                <w:color w:val="auto"/>
              </w:rPr>
            </w:pPr>
            <w:r>
              <w:rPr>
                <w:rFonts w:ascii="Times New Roman" w:cs="Times New Roman" w:eastAsia="Times New Roman" w:hAnsi="Times New Roman"/>
                <w:sz w:val="11"/>
                <w:szCs w:val="11"/>
                <w:color w:val="auto"/>
              </w:rPr>
              <w:t>405,232</w:t>
            </w: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Cash and Cash Equivalents—16.2%</w:t>
            </w:r>
          </w:p>
        </w:tc>
        <w:tc>
          <w:tcPr>
            <w:tcW w:w="14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24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4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1"/>
                <w:szCs w:val="11"/>
                <w:color w:val="auto"/>
              </w:rPr>
              <w:t>US Bank Cash</w:t>
            </w:r>
          </w:p>
        </w:tc>
        <w:tc>
          <w:tcPr>
            <w:tcW w:w="14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8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4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8"/>
        </w:trPr>
        <w:tc>
          <w:tcPr>
            <w:tcW w:w="2820" w:type="dxa"/>
            <w:vAlign w:val="bottom"/>
            <w:tcBorders>
              <w:top w:val="single" w:sz="8" w:color="CCEC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40" w:type="dxa"/>
            <w:vAlign w:val="bottom"/>
            <w:tcBorders>
              <w:top w:val="single" w:sz="8" w:color="CCECFF"/>
            </w:tcBorders>
          </w:tcPr>
          <w:p>
            <w:pPr>
              <w:spacing w:after="0"/>
              <w:rPr>
                <w:sz w:val="11"/>
                <w:szCs w:val="11"/>
                <w:color w:val="auto"/>
              </w:rPr>
            </w:pPr>
          </w:p>
        </w:tc>
        <w:tc>
          <w:tcPr>
            <w:tcW w:w="74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2440" w:type="dxa"/>
            <w:vAlign w:val="bottom"/>
            <w:tcBorders>
              <w:top w:val="single" w:sz="8" w:color="CCECFF"/>
            </w:tcBorders>
          </w:tcPr>
          <w:p>
            <w:pPr>
              <w:spacing w:after="0"/>
              <w:rPr>
                <w:sz w:val="11"/>
                <w:szCs w:val="11"/>
                <w:color w:val="auto"/>
              </w:rPr>
            </w:pPr>
          </w:p>
        </w:tc>
        <w:tc>
          <w:tcPr>
            <w:tcW w:w="160" w:type="dxa"/>
            <w:vAlign w:val="bottom"/>
            <w:tcBorders>
              <w:top w:val="single" w:sz="8" w:color="CCECFF"/>
            </w:tcBorders>
          </w:tcPr>
          <w:p>
            <w:pPr>
              <w:spacing w:after="0"/>
              <w:rPr>
                <w:sz w:val="11"/>
                <w:szCs w:val="11"/>
                <w:color w:val="auto"/>
              </w:rPr>
            </w:pPr>
          </w:p>
        </w:tc>
        <w:tc>
          <w:tcPr>
            <w:tcW w:w="760" w:type="dxa"/>
            <w:vAlign w:val="bottom"/>
            <w:tcBorders>
              <w:top w:val="single" w:sz="8" w:color="CCECFF"/>
            </w:tcBorders>
          </w:tcPr>
          <w:p>
            <w:pPr>
              <w:spacing w:after="0"/>
              <w:rPr>
                <w:sz w:val="11"/>
                <w:szCs w:val="11"/>
                <w:color w:val="auto"/>
              </w:rPr>
            </w:pPr>
          </w:p>
        </w:tc>
        <w:tc>
          <w:tcPr>
            <w:tcW w:w="120" w:type="dxa"/>
            <w:vAlign w:val="bottom"/>
            <w:tcBorders>
              <w:top w:val="single" w:sz="8" w:color="CCECFF"/>
            </w:tcBorders>
          </w:tcPr>
          <w:p>
            <w:pPr>
              <w:spacing w:after="0"/>
              <w:rPr>
                <w:sz w:val="11"/>
                <w:szCs w:val="11"/>
                <w:color w:val="auto"/>
              </w:rPr>
            </w:pPr>
          </w:p>
        </w:tc>
        <w:tc>
          <w:tcPr>
            <w:tcW w:w="82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40" w:type="dxa"/>
            <w:vAlign w:val="bottom"/>
            <w:tcBorders>
              <w:top w:val="single" w:sz="8" w:color="CCECFF"/>
            </w:tcBorders>
          </w:tcPr>
          <w:p>
            <w:pPr>
              <w:spacing w:after="0"/>
              <w:rPr>
                <w:sz w:val="11"/>
                <w:szCs w:val="11"/>
                <w:color w:val="auto"/>
              </w:rPr>
            </w:pPr>
          </w:p>
        </w:tc>
        <w:tc>
          <w:tcPr>
            <w:tcW w:w="480" w:type="dxa"/>
            <w:vAlign w:val="bottom"/>
            <w:tcBorders>
              <w:top w:val="single" w:sz="8" w:color="CCECFF"/>
            </w:tcBorders>
          </w:tcPr>
          <w:p>
            <w:pPr>
              <w:spacing w:after="0"/>
              <w:rPr>
                <w:sz w:val="11"/>
                <w:szCs w:val="11"/>
                <w:color w:val="auto"/>
              </w:rPr>
            </w:pPr>
          </w:p>
        </w:tc>
        <w:tc>
          <w:tcPr>
            <w:tcW w:w="220" w:type="dxa"/>
            <w:vAlign w:val="bottom"/>
            <w:tcBorders>
              <w:top w:val="single" w:sz="8" w:color="CCEC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220" w:type="dxa"/>
            <w:vAlign w:val="bottom"/>
            <w:tcBorders>
              <w:top w:val="single" w:sz="8" w:color="CCEC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11,013</w:t>
            </w:r>
          </w:p>
        </w:tc>
        <w:tc>
          <w:tcPr>
            <w:tcW w:w="100" w:type="dxa"/>
            <w:vAlign w:val="bottom"/>
            <w:tcBorders>
              <w:top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Equivalents—611.8%</w:t>
            </w:r>
          </w:p>
        </w:tc>
        <w:tc>
          <w:tcPr>
            <w:tcW w:w="14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48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416,023</w:t>
            </w:r>
          </w:p>
        </w:tc>
        <w:tc>
          <w:tcPr>
            <w:tcW w:w="22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416,246</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82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Liabilities in Excess of Other Assets—(511.8)%</w:t>
            </w: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right"/>
              <w:ind w:right="60"/>
              <w:spacing w:after="0" w:line="102" w:lineRule="exact"/>
              <w:rPr>
                <w:sz w:val="20"/>
                <w:szCs w:val="20"/>
                <w:color w:val="auto"/>
              </w:rPr>
            </w:pPr>
            <w:r>
              <w:rPr>
                <w:rFonts w:ascii="Times New Roman" w:cs="Times New Roman" w:eastAsia="Times New Roman" w:hAnsi="Times New Roman"/>
                <w:sz w:val="11"/>
                <w:szCs w:val="11"/>
                <w:color w:val="auto"/>
              </w:rPr>
              <w:t>(348,213 )</w:t>
            </w:r>
          </w:p>
        </w:tc>
        <w:tc>
          <w:tcPr>
            <w:tcW w:w="0" w:type="dxa"/>
            <w:vAlign w:val="bottom"/>
          </w:tcPr>
          <w:p>
            <w:pPr>
              <w:spacing w:after="0"/>
              <w:rPr>
                <w:sz w:val="1"/>
                <w:szCs w:val="1"/>
                <w:color w:val="auto"/>
              </w:rPr>
            </w:pPr>
          </w:p>
        </w:tc>
      </w:tr>
      <w:tr>
        <w:trPr>
          <w:trHeight w:val="182"/>
        </w:trPr>
        <w:tc>
          <w:tcPr>
            <w:tcW w:w="28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140" w:type="dxa"/>
            <w:vAlign w:val="bottom"/>
            <w:tcBorders>
              <w:bottom w:val="single" w:sz="8" w:color="CCECFF"/>
            </w:tcBorders>
            <w:shd w:val="clear" w:color="auto" w:fill="CCECFF"/>
          </w:tcPr>
          <w:p>
            <w:pPr>
              <w:spacing w:after="0"/>
              <w:rPr>
                <w:sz w:val="15"/>
                <w:szCs w:val="15"/>
                <w:color w:val="auto"/>
              </w:rPr>
            </w:pPr>
          </w:p>
        </w:tc>
        <w:tc>
          <w:tcPr>
            <w:tcW w:w="74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244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CCECFF"/>
            </w:tcBorders>
            <w:shd w:val="clear" w:color="auto" w:fill="CCECFF"/>
          </w:tcPr>
          <w:p>
            <w:pPr>
              <w:spacing w:after="0"/>
              <w:rPr>
                <w:sz w:val="15"/>
                <w:szCs w:val="15"/>
                <w:color w:val="auto"/>
              </w:rPr>
            </w:pPr>
          </w:p>
        </w:tc>
        <w:tc>
          <w:tcPr>
            <w:tcW w:w="760" w:type="dxa"/>
            <w:vAlign w:val="bottom"/>
            <w:tcBorders>
              <w:bottom w:val="single" w:sz="8" w:color="CCECFF"/>
            </w:tcBorders>
            <w:shd w:val="clear" w:color="auto" w:fill="CCECFF"/>
          </w:tcPr>
          <w:p>
            <w:pPr>
              <w:spacing w:after="0"/>
              <w:rPr>
                <w:sz w:val="15"/>
                <w:szCs w:val="15"/>
                <w:color w:val="auto"/>
              </w:rPr>
            </w:pPr>
          </w:p>
        </w:tc>
        <w:tc>
          <w:tcPr>
            <w:tcW w:w="120" w:type="dxa"/>
            <w:vAlign w:val="bottom"/>
            <w:tcBorders>
              <w:bottom w:val="single" w:sz="8" w:color="CCECFF"/>
            </w:tcBorders>
            <w:shd w:val="clear" w:color="auto" w:fill="CCECFF"/>
          </w:tcPr>
          <w:p>
            <w:pPr>
              <w:spacing w:after="0"/>
              <w:rPr>
                <w:sz w:val="15"/>
                <w:szCs w:val="15"/>
                <w:color w:val="auto"/>
              </w:rPr>
            </w:pPr>
          </w:p>
        </w:tc>
        <w:tc>
          <w:tcPr>
            <w:tcW w:w="8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48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CCECFF"/>
            </w:tcBorders>
            <w:shd w:val="clear" w:color="auto" w:fill="CCECFF"/>
          </w:tcPr>
          <w:p>
            <w:pPr>
              <w:spacing w:after="0"/>
              <w:rPr>
                <w:sz w:val="15"/>
                <w:szCs w:val="15"/>
                <w:color w:val="auto"/>
              </w:rPr>
            </w:pPr>
          </w:p>
        </w:tc>
        <w:tc>
          <w:tcPr>
            <w:tcW w:w="620" w:type="dxa"/>
            <w:vAlign w:val="bottom"/>
            <w:tcBorders>
              <w:bottom w:val="single" w:sz="8" w:color="CCECFF"/>
            </w:tcBorders>
            <w:shd w:val="clear" w:color="auto" w:fill="CCECFF"/>
          </w:tcPr>
          <w:p>
            <w:pPr>
              <w:spacing w:after="0"/>
              <w:rPr>
                <w:sz w:val="15"/>
                <w:szCs w:val="15"/>
                <w:color w:val="auto"/>
              </w:rPr>
            </w:pPr>
          </w:p>
        </w:tc>
        <w:tc>
          <w:tcPr>
            <w:tcW w:w="22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68,032</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-419100</wp:posOffset>
            </wp:positionV>
            <wp:extent cx="68580" cy="1028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1028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-230505</wp:posOffset>
            </wp:positionV>
            <wp:extent cx="788670" cy="1200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886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11912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380" w:right="40" w:hanging="372"/>
        <w:spacing w:after="0" w:line="212" w:lineRule="auto"/>
        <w:tabs>
          <w:tab w:leader="none" w:pos="380" w:val="left"/>
        </w:tabs>
        <w:numPr>
          <w:ilvl w:val="0"/>
          <w:numId w:val="7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28" w:lineRule="auto"/>
        <w:tabs>
          <w:tab w:leader="none" w:pos="380" w:val="left"/>
        </w:tabs>
        <w:numPr>
          <w:ilvl w:val="0"/>
          <w:numId w:val="7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Valued based on PSLF’s accounting policy.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Below is the consolidated statements of assets and liabilities for PSLF ($ in thousands):</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6"/>
        </w:trPr>
        <w:tc>
          <w:tcPr>
            <w:tcW w:w="18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32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60" w:type="dxa"/>
            <w:vAlign w:val="bottom"/>
            <w:tcBorders>
              <w:top w:val="single" w:sz="8" w:color="auto"/>
            </w:tcBorders>
            <w:shd w:val="clear" w:color="auto" w:fill="CCECFF"/>
          </w:tcPr>
          <w:p>
            <w:pPr>
              <w:spacing w:after="0"/>
              <w:rPr>
                <w:sz w:val="14"/>
                <w:szCs w:val="14"/>
                <w:color w:val="auto"/>
              </w:rPr>
            </w:pPr>
          </w:p>
        </w:tc>
        <w:tc>
          <w:tcPr>
            <w:tcW w:w="420" w:type="dxa"/>
            <w:vAlign w:val="bottom"/>
            <w:tcBorders>
              <w:top w:val="single" w:sz="8" w:color="auto"/>
            </w:tcBorders>
            <w:shd w:val="clear" w:color="auto" w:fill="CCECFF"/>
          </w:tcPr>
          <w:p>
            <w:pPr>
              <w:spacing w:after="0"/>
              <w:rPr>
                <w:sz w:val="14"/>
                <w:szCs w:val="14"/>
                <w:color w:val="auto"/>
              </w:rPr>
            </w:pPr>
          </w:p>
        </w:tc>
        <w:tc>
          <w:tcPr>
            <w:tcW w:w="1120" w:type="dxa"/>
            <w:vAlign w:val="bottom"/>
            <w:tcBorders>
              <w:top w:val="single" w:sz="8" w:color="auto"/>
            </w:tcBorders>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120" w:type="dxa"/>
            <w:vAlign w:val="bottom"/>
            <w:tcBorders>
              <w:top w:val="single" w:sz="8" w:color="auto"/>
            </w:tcBorders>
            <w:shd w:val="clear" w:color="auto" w:fill="CCECFF"/>
          </w:tcPr>
          <w:p>
            <w:pPr>
              <w:spacing w:after="0"/>
              <w:rPr>
                <w:sz w:val="14"/>
                <w:szCs w:val="14"/>
                <w:color w:val="auto"/>
              </w:rPr>
            </w:pPr>
          </w:p>
        </w:tc>
        <w:tc>
          <w:tcPr>
            <w:tcW w:w="1640" w:type="dxa"/>
            <w:vAlign w:val="bottom"/>
            <w:tcBorders>
              <w:top w:val="single" w:sz="8" w:color="auto"/>
            </w:tcBorders>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Investments at fair value (cost—$738,219 and $405,009, respectively)</w:t>
            </w:r>
          </w:p>
        </w:tc>
        <w:tc>
          <w:tcPr>
            <w:tcW w:w="46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730,108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405,233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Cash and cash equivalents (cost—$42,966 and $11,013, respectively)</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42,966</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11,013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investments sold</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2,970</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gridSpan w:val="2"/>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6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781,287</w:t>
            </w:r>
          </w:p>
        </w:tc>
        <w:tc>
          <w:tcPr>
            <w:tcW w:w="2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Credit facility payable</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257,600</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224,000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2034 Asset-backed debt, net (par—$246,000)</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243,896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Notes payable to members</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145,472</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106,041</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credit facility and asset backed debt</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4,676</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Distribution payable to Members</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Interest payable on notes to members</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240" w:type="dxa"/>
            <w:vAlign w:val="bottom"/>
            <w:shd w:val="clear" w:color="auto" w:fill="CCECFF"/>
          </w:tcPr>
          <w:p>
            <w:pPr>
              <w:spacing w:after="0"/>
              <w:rPr>
                <w:sz w:val="15"/>
                <w:szCs w:val="15"/>
                <w:color w:val="auto"/>
              </w:rPr>
            </w:pP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4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gridSpan w:val="2"/>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6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696,825</w:t>
            </w:r>
          </w:p>
        </w:tc>
        <w:tc>
          <w:tcPr>
            <w:tcW w:w="2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349,389</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(See Note 11)</w:t>
            </w: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gridSpan w:val="2"/>
            <w:shd w:val="clear" w:color="auto" w:fill="CCECFF"/>
          </w:tcPr>
          <w:p>
            <w:pPr>
              <w:ind w:left="560"/>
              <w:spacing w:after="0"/>
              <w:rPr>
                <w:sz w:val="20"/>
                <w:szCs w:val="20"/>
                <w:color w:val="auto"/>
              </w:rPr>
            </w:pPr>
            <w:r>
              <w:rPr>
                <w:rFonts w:ascii="Times New Roman" w:cs="Times New Roman" w:eastAsia="Times New Roman" w:hAnsi="Times New Roman"/>
                <w:sz w:val="14"/>
                <w:szCs w:val="14"/>
                <w:b w:val="1"/>
                <w:bCs w:val="1"/>
                <w:color w:val="auto"/>
              </w:rPr>
              <w:t>Members' equity</w:t>
            </w:r>
          </w:p>
        </w:tc>
        <w:tc>
          <w:tcPr>
            <w:tcW w:w="460" w:type="dxa"/>
            <w:vAlign w:val="bottom"/>
            <w:tcBorders>
              <w:bottom w:val="single" w:sz="8" w:color="auto"/>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84,462</w:t>
            </w:r>
          </w:p>
        </w:tc>
        <w:tc>
          <w:tcPr>
            <w:tcW w:w="240" w:type="dxa"/>
            <w:vAlign w:val="bottom"/>
            <w:tcBorders>
              <w:bottom w:val="single" w:sz="8" w:color="CCECFF"/>
            </w:tcBorders>
            <w:shd w:val="clear" w:color="auto" w:fill="CCECFF"/>
          </w:tcPr>
          <w:p>
            <w:pPr>
              <w:spacing w:after="0"/>
              <w:rPr>
                <w:sz w:val="14"/>
                <w:szCs w:val="14"/>
                <w:color w:val="auto"/>
              </w:rPr>
            </w:pP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68,032</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781,287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tcBorders>
              <w:bottom w:val="single" w:sz="8" w:color="auto"/>
            </w:tcBorders>
          </w:tcPr>
          <w:p>
            <w:pPr>
              <w:spacing w:after="0"/>
              <w:rPr>
                <w:sz w:val="18"/>
                <w:szCs w:val="18"/>
                <w:color w:val="auto"/>
              </w:rPr>
            </w:pPr>
          </w:p>
        </w:tc>
        <w:tc>
          <w:tcPr>
            <w:tcW w:w="4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 the years ended of September 30, 2022 and 2021, PSLF did not have any unfunded commitments to fund investments.</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68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Below are the consolidated statements of operations for PSLF ($ in thousands):</w:t>
            </w: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6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880" w:type="dxa"/>
            <w:vAlign w:val="bottom"/>
            <w:gridSpan w:val="2"/>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37,905</w:t>
            </w:r>
          </w:p>
        </w:tc>
        <w:tc>
          <w:tcPr>
            <w:tcW w:w="80" w:type="dxa"/>
            <w:vAlign w:val="bottom"/>
            <w:shd w:val="clear" w:color="auto" w:fill="CCECFF"/>
          </w:tcPr>
          <w:p>
            <w:pPr>
              <w:spacing w:after="0"/>
              <w:rPr>
                <w:sz w:val="15"/>
                <w:szCs w:val="15"/>
                <w:color w:val="auto"/>
              </w:rPr>
            </w:pPr>
          </w:p>
        </w:tc>
        <w:tc>
          <w:tcPr>
            <w:tcW w:w="3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27,489</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income</w:t>
            </w:r>
          </w:p>
        </w:tc>
        <w:tc>
          <w:tcPr>
            <w:tcW w:w="4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460" w:type="dxa"/>
            <w:vAlign w:val="bottom"/>
            <w:tcBorders>
              <w:bottom w:val="single" w:sz="8" w:color="CCECFF"/>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38,151</w:t>
            </w: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29,292</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Interest expense on credit facility and asset-backed debt</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11,023</w:t>
            </w: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6,284</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Interest expense on notes to members</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11,692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shd w:val="clear" w:color="auto" w:fill="CCECFF"/>
          </w:tcPr>
          <w:p>
            <w:pPr>
              <w:ind w:left="20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3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1,171</w:t>
            </w:r>
          </w:p>
        </w:tc>
        <w:tc>
          <w:tcPr>
            <w:tcW w:w="8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4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bottom w:val="single" w:sz="8" w:color="CCECFF"/>
            </w:tcBorders>
            <w:gridSpan w:val="2"/>
            <w:shd w:val="clear" w:color="auto" w:fill="CCECFF"/>
          </w:tcPr>
          <w:p>
            <w:pPr>
              <w:ind w:left="200"/>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460" w:type="dxa"/>
            <w:vAlign w:val="bottom"/>
            <w:tcBorders>
              <w:bottom w:val="single" w:sz="8" w:color="CCECFF"/>
            </w:tcBorders>
            <w:shd w:val="clear" w:color="auto" w:fill="CCECFF"/>
          </w:tcPr>
          <w:p>
            <w:pPr>
              <w:spacing w:after="0"/>
              <w:rPr>
                <w:sz w:val="14"/>
                <w:szCs w:val="14"/>
                <w:color w:val="auto"/>
              </w:rPr>
            </w:pPr>
          </w:p>
        </w:tc>
        <w:tc>
          <w:tcPr>
            <w:tcW w:w="420" w:type="dxa"/>
            <w:vAlign w:val="bottom"/>
            <w:tcBorders>
              <w:bottom w:val="single" w:sz="8" w:color="auto"/>
            </w:tcBorders>
            <w:shd w:val="clear" w:color="auto" w:fill="CCECFF"/>
          </w:tcPr>
          <w:p>
            <w:pPr>
              <w:spacing w:after="0"/>
              <w:rPr>
                <w:sz w:val="14"/>
                <w:szCs w:val="14"/>
                <w:color w:val="auto"/>
              </w:rPr>
            </w:pPr>
          </w:p>
        </w:tc>
        <w:tc>
          <w:tcPr>
            <w:tcW w:w="1360" w:type="dxa"/>
            <w:vAlign w:val="bottom"/>
            <w:tcBorders>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24,333</w:t>
            </w: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17,436</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w:t>
            </w:r>
          </w:p>
        </w:tc>
        <w:tc>
          <w:tcPr>
            <w:tcW w:w="460" w:type="dxa"/>
            <w:vAlign w:val="bottom"/>
            <w:shd w:val="clear" w:color="auto" w:fill="CCECFF"/>
          </w:tcPr>
          <w:p>
            <w:pPr>
              <w:spacing w:after="0"/>
              <w:rPr>
                <w:sz w:val="14"/>
                <w:szCs w:val="14"/>
                <w:color w:val="auto"/>
              </w:rPr>
            </w:pPr>
          </w:p>
        </w:tc>
        <w:tc>
          <w:tcPr>
            <w:tcW w:w="420" w:type="dxa"/>
            <w:vAlign w:val="bottom"/>
            <w:shd w:val="clear" w:color="auto" w:fill="CCECFF"/>
          </w:tcPr>
          <w:p>
            <w:pPr>
              <w:spacing w:after="0"/>
              <w:rPr>
                <w:sz w:val="14"/>
                <w:szCs w:val="14"/>
                <w:color w:val="auto"/>
              </w:rPr>
            </w:pPr>
          </w:p>
        </w:tc>
        <w:tc>
          <w:tcPr>
            <w:tcW w:w="11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6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84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460" w:type="dxa"/>
            <w:vAlign w:val="bottom"/>
            <w:shd w:val="clear" w:color="auto" w:fill="CCECFF"/>
          </w:tcPr>
          <w:p>
            <w:pPr>
              <w:spacing w:after="0"/>
              <w:rPr>
                <w:sz w:val="15"/>
                <w:szCs w:val="15"/>
                <w:color w:val="auto"/>
              </w:rPr>
            </w:pPr>
          </w:p>
        </w:tc>
        <w:tc>
          <w:tcPr>
            <w:tcW w:w="420" w:type="dxa"/>
            <w:vAlign w:val="bottom"/>
            <w:shd w:val="clear" w:color="auto" w:fill="CCECFF"/>
          </w:tcPr>
          <w:p>
            <w:pPr>
              <w:spacing w:after="0"/>
              <w:rPr>
                <w:sz w:val="15"/>
                <w:szCs w:val="15"/>
                <w:color w:val="auto"/>
              </w:rPr>
            </w:pPr>
          </w:p>
        </w:tc>
        <w:tc>
          <w:tcPr>
            <w:tcW w:w="1440" w:type="dxa"/>
            <w:vAlign w:val="bottom"/>
            <w:gridSpan w:val="3"/>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(8,334 )</w:t>
            </w:r>
          </w:p>
        </w:tc>
        <w:tc>
          <w:tcPr>
            <w:tcW w:w="220" w:type="dxa"/>
            <w:vAlign w:val="bottom"/>
            <w:shd w:val="clear" w:color="auto" w:fill="CCECFF"/>
          </w:tcPr>
          <w:p>
            <w:pPr>
              <w:spacing w:after="0"/>
              <w:rPr>
                <w:sz w:val="15"/>
                <w:szCs w:val="15"/>
                <w:color w:val="auto"/>
              </w:rPr>
            </w:pPr>
          </w:p>
        </w:tc>
        <w:tc>
          <w:tcPr>
            <w:tcW w:w="120" w:type="dxa"/>
            <w:vAlign w:val="bottom"/>
            <w:shd w:val="clear" w:color="auto" w:fill="CCECFF"/>
          </w:tcPr>
          <w:p>
            <w:pPr>
              <w:spacing w:after="0"/>
              <w:rPr>
                <w:sz w:val="15"/>
                <w:szCs w:val="15"/>
                <w:color w:val="auto"/>
              </w:rPr>
            </w:pPr>
          </w:p>
        </w:tc>
        <w:tc>
          <w:tcPr>
            <w:tcW w:w="1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CECFF"/>
          </w:tcPr>
          <w:p>
            <w:pPr>
              <w:spacing w:after="0" w:line="20" w:lineRule="exact"/>
              <w:rPr>
                <w:sz w:val="1"/>
                <w:szCs w:val="1"/>
                <w:color w:val="auto"/>
              </w:rPr>
            </w:pPr>
          </w:p>
        </w:tc>
        <w:tc>
          <w:tcPr>
            <w:tcW w:w="4960" w:type="dxa"/>
            <w:vAlign w:val="bottom"/>
            <w:shd w:val="clear" w:color="auto" w:fill="CCECFF"/>
          </w:tcPr>
          <w:p>
            <w:pPr>
              <w:spacing w:after="0" w:line="20" w:lineRule="exact"/>
              <w:rPr>
                <w:sz w:val="1"/>
                <w:szCs w:val="1"/>
                <w:color w:val="auto"/>
              </w:rPr>
            </w:pPr>
          </w:p>
        </w:tc>
        <w:tc>
          <w:tcPr>
            <w:tcW w:w="460" w:type="dxa"/>
            <w:vAlign w:val="bottom"/>
            <w:shd w:val="clear" w:color="auto" w:fill="CCEC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 realized and unrealized gain (loss) from investments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(7,958 )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4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members' equity resulting from operations</w:t>
            </w:r>
          </w:p>
        </w:tc>
        <w:tc>
          <w:tcPr>
            <w:tcW w:w="460" w:type="dxa"/>
            <w:vAlign w:val="bottom"/>
            <w:tcBorders>
              <w:bottom w:val="single" w:sz="8" w:color="CCECFF"/>
            </w:tcBorders>
            <w:shd w:val="clear" w:color="auto" w:fill="CCECFF"/>
          </w:tcPr>
          <w:p>
            <w:pPr>
              <w:spacing w:after="0"/>
              <w:rPr>
                <w:sz w:val="18"/>
                <w:szCs w:val="18"/>
                <w:color w:val="auto"/>
              </w:rPr>
            </w:pPr>
          </w:p>
        </w:tc>
        <w:tc>
          <w:tcPr>
            <w:tcW w:w="420" w:type="dxa"/>
            <w:vAlign w:val="bottom"/>
            <w:tcBorders>
              <w:top w:val="single" w:sz="8" w:color="auto"/>
              <w:bottom w:val="single" w:sz="8" w:color="auto"/>
            </w:tcBorders>
            <w:shd w:val="clear" w:color="auto" w:fill="CCEC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5,860</w:t>
            </w:r>
          </w:p>
        </w:tc>
        <w:tc>
          <w:tcPr>
            <w:tcW w:w="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17,281</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-4139565</wp:posOffset>
            </wp:positionV>
            <wp:extent cx="77470" cy="1200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1200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-3007995</wp:posOffset>
            </wp:positionV>
            <wp:extent cx="77470" cy="1289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1289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-2767965</wp:posOffset>
            </wp:positionV>
            <wp:extent cx="77470" cy="1454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1454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-1414145</wp:posOffset>
            </wp:positionV>
            <wp:extent cx="77470" cy="1200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1200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-728345</wp:posOffset>
            </wp:positionV>
            <wp:extent cx="77470" cy="1289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1289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-265430</wp:posOffset>
            </wp:positionV>
            <wp:extent cx="77470" cy="1289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-265430</wp:posOffset>
            </wp:positionV>
            <wp:extent cx="68580" cy="1289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774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7747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No management or incentive fees are payable by PSLF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1912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152"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1: Inputs that are quoted prices (unadjusted) in active markets for identical assets or liabilities, accessible by us at the measurement date.</w:t>
      </w:r>
    </w:p>
    <w:p>
      <w:pPr>
        <w:spacing w:after="0" w:line="150" w:lineRule="exact"/>
        <w:rPr>
          <w:sz w:val="20"/>
          <w:szCs w:val="20"/>
          <w:color w:val="auto"/>
        </w:rPr>
      </w:pPr>
    </w:p>
    <w:p>
      <w:pPr>
        <w:ind w:left="580" w:right="180"/>
        <w:spacing w:after="0" w:line="282" w:lineRule="auto"/>
        <w:rPr>
          <w:sz w:val="20"/>
          <w:szCs w:val="20"/>
          <w:color w:val="auto"/>
        </w:rPr>
      </w:pPr>
      <w:r>
        <w:rPr>
          <w:rFonts w:ascii="Times New Roman" w:cs="Times New Roman" w:eastAsia="Times New Roman" w:hAnsi="Times New Roman"/>
          <w:sz w:val="14"/>
          <w:szCs w:val="14"/>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Level 3: Inputs that are unobservable for an asset or liability because they are based on our own assumptions about how market participants would price the asset or liability.</w:t>
      </w:r>
    </w:p>
    <w:p>
      <w:pPr>
        <w:spacing w:after="0" w:line="150" w:lineRule="exact"/>
        <w:rPr>
          <w:sz w:val="20"/>
          <w:szCs w:val="20"/>
          <w:color w:val="auto"/>
        </w:rPr>
      </w:pPr>
    </w:p>
    <w:p>
      <w:pPr>
        <w:ind w:right="40" w:firstLine="449"/>
        <w:spacing w:after="0" w:line="261"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Truist Credit Facility and our SBA debentures are classified as Level 3. Our 2024 Notes are classified as Level 1, and our 2026 Notes and 2026 Notes-2 are classified as Level 2, as they are financial instruments with readily observable market inputs. Due to the inherent uncertainty of determining the</w:t>
      </w:r>
    </w:p>
    <w:p>
      <w:pPr>
        <w:sectPr>
          <w:pgSz w:w="11900" w:h="16838" w:orient="portrait"/>
          <w:cols w:equalWidth="0" w:num="1">
            <w:col w:w="11240"/>
          </w:cols>
          <w:pgMar w:left="320" w:top="114"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5" w:name="page86"/>
    <w:bookmarkEnd w:id="85"/>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fair value of investments that do not have a readily available market value, the price used in an actual transaction may be different than our valuation and those differences may be material.</w:t>
      </w:r>
    </w:p>
    <w:p>
      <w:pPr>
        <w:spacing w:after="0" w:line="150"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3" w:lineRule="exact"/>
        <w:rPr>
          <w:sz w:val="20"/>
          <w:szCs w:val="20"/>
          <w:color w:val="auto"/>
        </w:rPr>
      </w:pPr>
    </w:p>
    <w:p>
      <w:pPr>
        <w:ind w:right="40" w:firstLine="449"/>
        <w:spacing w:after="0" w:line="256" w:lineRule="auto"/>
        <w:rPr>
          <w:sz w:val="20"/>
          <w:szCs w:val="20"/>
          <w:color w:val="auto"/>
        </w:rPr>
      </w:pPr>
      <w:r>
        <w:rPr>
          <w:rFonts w:ascii="Times New Roman" w:cs="Times New Roman" w:eastAsia="Times New Roman" w:hAnsi="Times New Roman"/>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3"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4" w:lineRule="exact"/>
        <w:rPr>
          <w:sz w:val="20"/>
          <w:szCs w:val="20"/>
          <w:color w:val="auto"/>
        </w:rPr>
      </w:pPr>
    </w:p>
    <w:p>
      <w:pPr>
        <w:ind w:right="160" w:firstLine="449"/>
        <w:spacing w:after="0" w:line="26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SBA debentures, our 2024 Notes, our 2026 Notes, our 2026-2 Notes and our Truist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77" w:lineRule="exact"/>
        <w:rPr>
          <w:sz w:val="20"/>
          <w:szCs w:val="20"/>
          <w:color w:val="auto"/>
        </w:rPr>
      </w:pPr>
    </w:p>
    <w:p>
      <w:pPr>
        <w:jc w:val="both"/>
        <w:ind w:right="140" w:firstLine="449"/>
        <w:spacing w:after="0" w:line="256"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within the fair value hierarchy.</w:t>
      </w:r>
    </w:p>
    <w:p>
      <w:pPr>
        <w:spacing w:after="0" w:line="113" w:lineRule="exact"/>
        <w:rPr>
          <w:sz w:val="20"/>
          <w:szCs w:val="20"/>
          <w:color w:val="auto"/>
        </w:rPr>
      </w:pPr>
    </w:p>
    <w:p>
      <w:pPr>
        <w:ind w:right="20" w:firstLine="449"/>
        <w:spacing w:after="0" w:line="249" w:lineRule="auto"/>
        <w:rPr>
          <w:sz w:val="20"/>
          <w:szCs w:val="20"/>
          <w:color w:val="auto"/>
        </w:rPr>
      </w:pPr>
      <w:r>
        <w:rPr>
          <w:rFonts w:ascii="Times New Roman" w:cs="Times New Roman" w:eastAsia="Times New Roman" w:hAnsi="Times New Roman"/>
          <w:sz w:val="14"/>
          <w:szCs w:val="14"/>
          <w:color w:val="auto"/>
        </w:rPr>
        <w:t>The remainder of our investment portfolio and our long-term Truist Credit Facility are valued using a market comparable or an enterprise market value technique. With respect to investments for which there is no readily available market value, the factors that our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 ($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30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64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540" w:type="dxa"/>
            <w:vAlign w:val="bottom"/>
            <w:vMerge w:val="restart"/>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44,530</w:t>
            </w:r>
          </w:p>
        </w:tc>
        <w:tc>
          <w:tcPr>
            <w:tcW w:w="30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640" w:type="dxa"/>
            <w:vAlign w:val="bottom"/>
            <w:shd w:val="clear" w:color="auto" w:fill="CCECFF"/>
          </w:tcPr>
          <w:p>
            <w:pPr>
              <w:jc w:val="center"/>
              <w:ind w:left="468"/>
              <w:spacing w:after="0"/>
              <w:rPr>
                <w:sz w:val="20"/>
                <w:szCs w:val="20"/>
                <w:color w:val="auto"/>
              </w:rPr>
            </w:pPr>
            <w:r>
              <w:rPr>
                <w:rFonts w:ascii="Times New Roman" w:cs="Times New Roman" w:eastAsia="Times New Roman" w:hAnsi="Times New Roman"/>
                <w:sz w:val="14"/>
                <w:szCs w:val="14"/>
                <w:color w:val="auto"/>
              </w:rPr>
              <w:t>N/A</w:t>
            </w:r>
          </w:p>
        </w:tc>
        <w:tc>
          <w:tcPr>
            <w:tcW w:w="5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569,488</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3"/>
          </w:tcPr>
          <w:p>
            <w:pPr>
              <w:jc w:val="center"/>
              <w:ind w:left="88"/>
              <w:spacing w:after="0"/>
              <w:rPr>
                <w:sz w:val="20"/>
                <w:szCs w:val="20"/>
                <w:color w:val="auto"/>
              </w:rPr>
            </w:pPr>
            <w:r>
              <w:rPr>
                <w:rFonts w:ascii="Times New Roman" w:cs="Times New Roman" w:eastAsia="Times New Roman" w:hAnsi="Times New Roman"/>
                <w:sz w:val="14"/>
                <w:szCs w:val="14"/>
                <w:color w:val="auto"/>
              </w:rPr>
              <w:t>7.0% - 20.2% (10.8%)</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16,946</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640" w:type="dxa"/>
            <w:vAlign w:val="bottom"/>
            <w:shd w:val="clear" w:color="auto" w:fill="CCECFF"/>
          </w:tcPr>
          <w:p>
            <w:pPr>
              <w:jc w:val="center"/>
              <w:ind w:left="488"/>
              <w:spacing w:after="0"/>
              <w:rPr>
                <w:sz w:val="20"/>
                <w:szCs w:val="20"/>
                <w:color w:val="auto"/>
              </w:rPr>
            </w:pPr>
            <w:r>
              <w:rPr>
                <w:rFonts w:ascii="Times New Roman" w:cs="Times New Roman" w:eastAsia="Times New Roman" w:hAnsi="Times New Roman"/>
                <w:sz w:val="14"/>
                <w:szCs w:val="14"/>
                <w:color w:val="auto"/>
              </w:rPr>
              <w:t>14.0x</w:t>
            </w:r>
          </w:p>
        </w:tc>
        <w:tc>
          <w:tcPr>
            <w:tcW w:w="54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21,600</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Pr>
          <w:p>
            <w:pPr>
              <w:spacing w:after="0"/>
              <w:rPr>
                <w:sz w:val="15"/>
                <w:szCs w:val="15"/>
                <w:color w:val="auto"/>
              </w:rPr>
            </w:pPr>
          </w:p>
        </w:tc>
        <w:tc>
          <w:tcPr>
            <w:tcW w:w="164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N/A</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108,336</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3"/>
            <w:shd w:val="clear" w:color="auto" w:fill="CCECFF"/>
          </w:tcPr>
          <w:p>
            <w:pPr>
              <w:jc w:val="center"/>
              <w:ind w:left="108"/>
              <w:spacing w:after="0"/>
              <w:rPr>
                <w:sz w:val="20"/>
                <w:szCs w:val="20"/>
                <w:color w:val="auto"/>
              </w:rPr>
            </w:pPr>
            <w:r>
              <w:rPr>
                <w:rFonts w:ascii="Times New Roman" w:cs="Times New Roman" w:eastAsia="Times New Roman" w:hAnsi="Times New Roman"/>
                <w:sz w:val="14"/>
                <w:szCs w:val="14"/>
                <w:color w:val="auto"/>
              </w:rPr>
              <w:t>13.3% - 17.0% (14.4%)</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64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6.0x</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141,265</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2340" w:type="dxa"/>
            <w:vAlign w:val="bottom"/>
            <w:gridSpan w:val="3"/>
            <w:shd w:val="clear" w:color="auto" w:fill="CCECFF"/>
          </w:tcPr>
          <w:p>
            <w:pPr>
              <w:jc w:val="center"/>
              <w:ind w:left="108"/>
              <w:spacing w:after="0"/>
              <w:rPr>
                <w:sz w:val="20"/>
                <w:szCs w:val="20"/>
                <w:color w:val="auto"/>
              </w:rPr>
            </w:pPr>
            <w:r>
              <w:rPr>
                <w:rFonts w:ascii="Times New Roman" w:cs="Times New Roman" w:eastAsia="Times New Roman" w:hAnsi="Times New Roman"/>
                <w:sz w:val="14"/>
                <w:szCs w:val="14"/>
                <w:color w:val="auto"/>
              </w:rPr>
              <w:t>10.8% - 17.2% (12.3%)</w:t>
            </w: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215,131</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tcPr>
          <w:p>
            <w:pPr>
              <w:spacing w:after="0"/>
              <w:rPr>
                <w:sz w:val="15"/>
                <w:szCs w:val="15"/>
                <w:color w:val="auto"/>
              </w:rPr>
            </w:pPr>
          </w:p>
        </w:tc>
        <w:tc>
          <w:tcPr>
            <w:tcW w:w="164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3.3x - 21.4x (9.1x)</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42,031</w:t>
            </w:r>
          </w:p>
        </w:tc>
        <w:tc>
          <w:tcPr>
            <w:tcW w:w="30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jc w:val="center"/>
              <w:spacing w:after="0" w:line="175" w:lineRule="exact"/>
              <w:rPr>
                <w:sz w:val="20"/>
                <w:szCs w:val="20"/>
                <w:color w:val="auto"/>
              </w:rPr>
            </w:pPr>
            <w:r>
              <w:rPr>
                <w:rFonts w:ascii="Times New Roman" w:cs="Times New Roman" w:eastAsia="Times New Roman" w:hAnsi="Times New Roman"/>
                <w:sz w:val="14"/>
                <w:szCs w:val="14"/>
                <w:color w:val="auto"/>
                <w:w w:val="96"/>
              </w:rPr>
              <w:t>DLOM</w:t>
            </w:r>
            <w:r>
              <w:rPr>
                <w:rFonts w:ascii="Times New Roman" w:cs="Times New Roman" w:eastAsia="Times New Roman" w:hAnsi="Times New Roman"/>
                <w:sz w:val="19"/>
                <w:szCs w:val="19"/>
                <w:color w:val="auto"/>
                <w:w w:val="96"/>
                <w:vertAlign w:val="superscript"/>
              </w:rPr>
              <w:t>(2)</w:t>
            </w:r>
          </w:p>
        </w:tc>
        <w:tc>
          <w:tcPr>
            <w:tcW w:w="1800" w:type="dxa"/>
            <w:vAlign w:val="bottom"/>
            <w:tcBorders>
              <w:bottom w:val="single" w:sz="8" w:color="CCECFF"/>
            </w:tcBorders>
            <w:gridSpan w:val="2"/>
            <w:shd w:val="clear" w:color="auto" w:fill="CCECFF"/>
          </w:tcPr>
          <w:p>
            <w:pPr>
              <w:jc w:val="center"/>
              <w:ind w:left="648"/>
              <w:spacing w:after="0"/>
              <w:rPr>
                <w:sz w:val="20"/>
                <w:szCs w:val="20"/>
                <w:color w:val="auto"/>
              </w:rPr>
            </w:pPr>
            <w:r>
              <w:rPr>
                <w:rFonts w:ascii="Times New Roman" w:cs="Times New Roman" w:eastAsia="Times New Roman" w:hAnsi="Times New Roman"/>
                <w:sz w:val="14"/>
                <w:szCs w:val="14"/>
                <w:color w:val="auto"/>
                <w:w w:val="99"/>
              </w:rPr>
              <w:t>11.8%</w:t>
            </w:r>
          </w:p>
        </w:tc>
        <w:tc>
          <w:tcPr>
            <w:tcW w:w="54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1,159,327</w:t>
            </w:r>
          </w:p>
        </w:tc>
        <w:tc>
          <w:tcPr>
            <w:tcW w:w="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500" w:type="dxa"/>
            <w:vAlign w:val="bottom"/>
            <w:tcBorders>
              <w:bottom w:val="single" w:sz="8" w:color="auto"/>
            </w:tcBorders>
            <w:shd w:val="clear" w:color="auto" w:fill="CCECFF"/>
          </w:tcPr>
          <w:p>
            <w:pPr>
              <w:spacing w:after="0"/>
              <w:rPr>
                <w:sz w:val="17"/>
                <w:szCs w:val="17"/>
                <w:color w:val="auto"/>
              </w:rPr>
            </w:pPr>
          </w:p>
        </w:tc>
        <w:tc>
          <w:tcPr>
            <w:tcW w:w="300" w:type="dxa"/>
            <w:vAlign w:val="bottom"/>
            <w:tcBorders>
              <w:bottom w:val="single" w:sz="8" w:color="CCECFF"/>
            </w:tcBorders>
            <w:shd w:val="clear" w:color="auto" w:fill="CCECFF"/>
          </w:tcPr>
          <w:p>
            <w:pPr>
              <w:spacing w:after="0"/>
              <w:rPr>
                <w:sz w:val="17"/>
                <w:szCs w:val="17"/>
                <w:color w:val="auto"/>
              </w:rPr>
            </w:pPr>
          </w:p>
        </w:tc>
        <w:tc>
          <w:tcPr>
            <w:tcW w:w="20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020" w:type="dxa"/>
            <w:vAlign w:val="bottom"/>
            <w:tcBorders>
              <w:bottom w:val="single" w:sz="8" w:color="CCECFF"/>
            </w:tcBorders>
            <w:shd w:val="clear" w:color="auto" w:fill="CCECFF"/>
          </w:tcPr>
          <w:p>
            <w:pPr>
              <w:spacing w:after="0"/>
              <w:rPr>
                <w:sz w:val="17"/>
                <w:szCs w:val="17"/>
                <w:color w:val="auto"/>
              </w:rPr>
            </w:pPr>
          </w:p>
        </w:tc>
        <w:tc>
          <w:tcPr>
            <w:tcW w:w="1800" w:type="dxa"/>
            <w:vAlign w:val="bottom"/>
            <w:tcBorders>
              <w:bottom w:val="single" w:sz="8" w:color="CCECFF"/>
            </w:tcBorders>
            <w:gridSpan w:val="2"/>
            <w:shd w:val="clear" w:color="auto" w:fill="CCECFF"/>
          </w:tcPr>
          <w:p>
            <w:pPr>
              <w:spacing w:after="0"/>
              <w:rPr>
                <w:sz w:val="17"/>
                <w:szCs w:val="17"/>
                <w:color w:val="auto"/>
              </w:rPr>
            </w:pPr>
          </w:p>
        </w:tc>
        <w:tc>
          <w:tcPr>
            <w:tcW w:w="54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3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376,687</w:t>
            </w:r>
          </w:p>
        </w:tc>
        <w:tc>
          <w:tcPr>
            <w:tcW w:w="30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800" w:type="dxa"/>
            <w:vAlign w:val="bottom"/>
            <w:gridSpan w:val="2"/>
          </w:tcPr>
          <w:p>
            <w:pPr>
              <w:jc w:val="center"/>
              <w:ind w:left="628"/>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-419735</wp:posOffset>
            </wp:positionV>
            <wp:extent cx="76835" cy="1460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-162560</wp:posOffset>
            </wp:positionV>
            <wp:extent cx="76835" cy="1631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74"/>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37" w:lineRule="exact"/>
        <w:rPr>
          <w:rFonts w:ascii="Times New Roman" w:cs="Times New Roman" w:eastAsia="Times New Roman" w:hAnsi="Times New Roman"/>
          <w:sz w:val="16"/>
          <w:szCs w:val="16"/>
          <w:b w:val="1"/>
          <w:bCs w:val="1"/>
          <w:color w:val="auto"/>
          <w:vertAlign w:val="superscript"/>
        </w:rPr>
      </w:pPr>
    </w:p>
    <w:p>
      <w:pPr>
        <w:ind w:left="380" w:hanging="372"/>
        <w:spacing w:after="0" w:line="180" w:lineRule="auto"/>
        <w:tabs>
          <w:tab w:leader="none" w:pos="380" w:val="left"/>
        </w:tabs>
        <w:numPr>
          <w:ilvl w:val="0"/>
          <w:numId w:val="74"/>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DLOM is defined as discount for lack of marketability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6" w:name="page87"/>
    <w:bookmarkEnd w:id="86"/>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30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3"/>
                <w:szCs w:val="13"/>
                <w:color w:val="auto"/>
              </w:rPr>
            </w:pPr>
          </w:p>
        </w:tc>
        <w:tc>
          <w:tcPr>
            <w:tcW w:w="2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60" w:type="dxa"/>
            <w:vAlign w:val="bottom"/>
          </w:tcPr>
          <w:p>
            <w:pPr>
              <w:spacing w:after="0"/>
              <w:rPr>
                <w:sz w:val="13"/>
                <w:szCs w:val="13"/>
                <w:color w:val="auto"/>
              </w:rPr>
            </w:pPr>
          </w:p>
        </w:tc>
        <w:tc>
          <w:tcPr>
            <w:tcW w:w="166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520" w:type="dxa"/>
            <w:vAlign w:val="bottom"/>
            <w:vMerge w:val="restart"/>
          </w:tcPr>
          <w:p>
            <w:pPr>
              <w:jc w:val="right"/>
              <w:ind w:right="378"/>
              <w:spacing w:after="0"/>
              <w:rPr>
                <w:sz w:val="20"/>
                <w:szCs w:val="20"/>
                <w:color w:val="auto"/>
              </w:rPr>
            </w:pPr>
            <w:r>
              <w:rPr>
                <w:rFonts w:ascii="Times New Roman" w:cs="Times New Roman" w:eastAsia="Times New Roman" w:hAnsi="Times New Roman"/>
                <w:sz w:val="8"/>
                <w:szCs w:val="8"/>
                <w:b w:val="1"/>
                <w:bCs w:val="1"/>
                <w:color w:val="auto"/>
                <w:w w:val="85"/>
              </w:rPr>
              <w:t>(1)</w:t>
            </w:r>
          </w:p>
        </w:tc>
        <w:tc>
          <w:tcPr>
            <w:tcW w:w="0" w:type="dxa"/>
            <w:vAlign w:val="bottom"/>
          </w:tcPr>
          <w:p>
            <w:pPr>
              <w:spacing w:after="0"/>
              <w:rPr>
                <w:sz w:val="1"/>
                <w:szCs w:val="1"/>
                <w:color w:val="auto"/>
              </w:rPr>
            </w:pPr>
          </w:p>
        </w:tc>
      </w:tr>
      <w:tr>
        <w:trPr>
          <w:trHeight w:val="189"/>
        </w:trPr>
        <w:tc>
          <w:tcPr>
            <w:tcW w:w="25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30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90,266</w:t>
            </w:r>
          </w:p>
        </w:tc>
        <w:tc>
          <w:tcPr>
            <w:tcW w:w="30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4"/>
                <w:szCs w:val="14"/>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4"/>
                <w:szCs w:val="14"/>
                <w:color w:val="auto"/>
              </w:rPr>
            </w:pPr>
          </w:p>
        </w:tc>
        <w:tc>
          <w:tcPr>
            <w:tcW w:w="1660" w:type="dxa"/>
            <w:vAlign w:val="bottom"/>
            <w:shd w:val="clear" w:color="auto" w:fill="CCECFF"/>
          </w:tcPr>
          <w:p>
            <w:pPr>
              <w:jc w:val="center"/>
              <w:ind w:left="448"/>
              <w:spacing w:after="0"/>
              <w:rPr>
                <w:sz w:val="20"/>
                <w:szCs w:val="20"/>
                <w:color w:val="auto"/>
              </w:rPr>
            </w:pPr>
            <w:r>
              <w:rPr>
                <w:rFonts w:ascii="Times New Roman" w:cs="Times New Roman" w:eastAsia="Times New Roman" w:hAnsi="Times New Roman"/>
                <w:sz w:val="14"/>
                <w:szCs w:val="14"/>
                <w:color w:val="auto"/>
              </w:rPr>
              <w:t>N/A</w:t>
            </w:r>
          </w:p>
        </w:tc>
        <w:tc>
          <w:tcPr>
            <w:tcW w:w="5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462,264</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6.1% – 13.1% (8.1%)</w:t>
            </w:r>
          </w:p>
        </w:tc>
        <w:tc>
          <w:tcPr>
            <w:tcW w:w="0" w:type="dxa"/>
            <w:vAlign w:val="bottom"/>
          </w:tcPr>
          <w:p>
            <w:pPr>
              <w:spacing w:after="0"/>
              <w:rPr>
                <w:sz w:val="1"/>
                <w:szCs w:val="1"/>
                <w:color w:val="auto"/>
              </w:rPr>
            </w:pPr>
          </w:p>
        </w:tc>
      </w:tr>
      <w:tr>
        <w:trPr>
          <w:trHeight w:val="176"/>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39,298</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shd w:val="clear" w:color="auto" w:fill="CCECFF"/>
          </w:tcPr>
          <w:p>
            <w:pPr>
              <w:spacing w:after="0"/>
              <w:rPr>
                <w:sz w:val="15"/>
                <w:szCs w:val="15"/>
                <w:color w:val="auto"/>
              </w:rPr>
            </w:pPr>
          </w:p>
        </w:tc>
        <w:tc>
          <w:tcPr>
            <w:tcW w:w="1660" w:type="dxa"/>
            <w:vAlign w:val="bottom"/>
            <w:shd w:val="clear" w:color="auto" w:fill="CCECFF"/>
          </w:tcPr>
          <w:p>
            <w:pPr>
              <w:jc w:val="center"/>
              <w:ind w:left="448"/>
              <w:spacing w:after="0"/>
              <w:rPr>
                <w:sz w:val="20"/>
                <w:szCs w:val="20"/>
                <w:color w:val="auto"/>
              </w:rPr>
            </w:pPr>
            <w:r>
              <w:rPr>
                <w:rFonts w:ascii="Times New Roman" w:cs="Times New Roman" w:eastAsia="Times New Roman" w:hAnsi="Times New Roman"/>
                <w:sz w:val="14"/>
                <w:szCs w:val="14"/>
                <w:color w:val="auto"/>
              </w:rPr>
              <w:t>N/A</w:t>
            </w:r>
          </w:p>
        </w:tc>
        <w:tc>
          <w:tcPr>
            <w:tcW w:w="5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126,509</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10.3% – 11.5% (10.7%)</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11,087</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660" w:type="dxa"/>
            <w:vAlign w:val="bottom"/>
            <w:shd w:val="clear" w:color="auto" w:fill="CCECFF"/>
          </w:tcPr>
          <w:p>
            <w:pPr>
              <w:jc w:val="center"/>
              <w:ind w:left="448"/>
              <w:spacing w:after="0"/>
              <w:rPr>
                <w:sz w:val="20"/>
                <w:szCs w:val="20"/>
                <w:color w:val="auto"/>
              </w:rPr>
            </w:pPr>
            <w:r>
              <w:rPr>
                <w:rFonts w:ascii="Times New Roman" w:cs="Times New Roman" w:eastAsia="Times New Roman" w:hAnsi="Times New Roman"/>
                <w:sz w:val="14"/>
                <w:szCs w:val="14"/>
                <w:color w:val="auto"/>
              </w:rPr>
              <w:t>5.4x</w:t>
            </w:r>
          </w:p>
        </w:tc>
        <w:tc>
          <w:tcPr>
            <w:tcW w:w="5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121,170</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60" w:type="dxa"/>
            <w:vAlign w:val="bottom"/>
          </w:tcPr>
          <w:p>
            <w:pPr>
              <w:spacing w:after="0"/>
              <w:rPr>
                <w:sz w:val="15"/>
                <w:szCs w:val="15"/>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9.6% – 17.1% (12.5%)</w:t>
            </w:r>
          </w:p>
        </w:tc>
        <w:tc>
          <w:tcPr>
            <w:tcW w:w="0" w:type="dxa"/>
            <w:vAlign w:val="bottom"/>
          </w:tcPr>
          <w:p>
            <w:pPr>
              <w:spacing w:after="0"/>
              <w:rPr>
                <w:sz w:val="1"/>
                <w:szCs w:val="1"/>
                <w:color w:val="auto"/>
              </w:rPr>
            </w:pPr>
          </w:p>
        </w:tc>
      </w:tr>
      <w:tr>
        <w:trPr>
          <w:trHeight w:val="175"/>
        </w:trPr>
        <w:tc>
          <w:tcPr>
            <w:tcW w:w="258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CFF"/>
          </w:tcPr>
          <w:p>
            <w:pPr>
              <w:spacing w:after="0"/>
              <w:rPr>
                <w:sz w:val="15"/>
                <w:szCs w:val="15"/>
                <w:color w:val="auto"/>
              </w:rPr>
            </w:pPr>
          </w:p>
        </w:tc>
        <w:tc>
          <w:tcPr>
            <w:tcW w:w="160" w:type="dxa"/>
            <w:vAlign w:val="bottom"/>
            <w:shd w:val="clear" w:color="auto" w:fill="CCECFF"/>
          </w:tcPr>
          <w:p>
            <w:pPr>
              <w:spacing w:after="0"/>
              <w:rPr>
                <w:sz w:val="15"/>
                <w:szCs w:val="15"/>
                <w:color w:val="auto"/>
              </w:rPr>
            </w:pPr>
          </w:p>
        </w:tc>
        <w:tc>
          <w:tcPr>
            <w:tcW w:w="15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278,486</w:t>
            </w:r>
          </w:p>
        </w:tc>
        <w:tc>
          <w:tcPr>
            <w:tcW w:w="30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shd w:val="clear" w:color="auto" w:fill="CCECFF"/>
          </w:tcPr>
          <w:p>
            <w:pPr>
              <w:spacing w:after="0"/>
              <w:rPr>
                <w:sz w:val="15"/>
                <w:szCs w:val="15"/>
                <w:color w:val="auto"/>
              </w:rPr>
            </w:pPr>
          </w:p>
        </w:tc>
        <w:tc>
          <w:tcPr>
            <w:tcW w:w="20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EBITDA multiple</w:t>
            </w:r>
          </w:p>
        </w:tc>
        <w:tc>
          <w:tcPr>
            <w:tcW w:w="160" w:type="dxa"/>
            <w:vAlign w:val="bottom"/>
            <w:shd w:val="clear" w:color="auto" w:fill="CCECFF"/>
          </w:tcPr>
          <w:p>
            <w:pPr>
              <w:spacing w:after="0"/>
              <w:rPr>
                <w:sz w:val="15"/>
                <w:szCs w:val="15"/>
                <w:color w:val="auto"/>
              </w:rPr>
            </w:pPr>
          </w:p>
        </w:tc>
        <w:tc>
          <w:tcPr>
            <w:tcW w:w="1660" w:type="dxa"/>
            <w:vAlign w:val="bottom"/>
            <w:shd w:val="clear" w:color="auto" w:fill="CCECFF"/>
          </w:tcPr>
          <w:p>
            <w:pPr>
              <w:jc w:val="center"/>
              <w:ind w:left="448"/>
              <w:spacing w:after="0"/>
              <w:rPr>
                <w:sz w:val="20"/>
                <w:szCs w:val="20"/>
                <w:color w:val="auto"/>
              </w:rPr>
            </w:pPr>
            <w:r>
              <w:rPr>
                <w:rFonts w:ascii="Times New Roman" w:cs="Times New Roman" w:eastAsia="Times New Roman" w:hAnsi="Times New Roman"/>
                <w:sz w:val="14"/>
                <w:szCs w:val="14"/>
                <w:color w:val="auto"/>
              </w:rPr>
              <w:t>2.6x – 18.5x (8.5x)</w:t>
            </w:r>
          </w:p>
        </w:tc>
        <w:tc>
          <w:tcPr>
            <w:tcW w:w="52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60,808</w:t>
            </w:r>
          </w:p>
        </w:tc>
        <w:tc>
          <w:tcPr>
            <w:tcW w:w="3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Enterprise Market Value</w:t>
            </w:r>
          </w:p>
        </w:tc>
        <w:tc>
          <w:tcPr>
            <w:tcW w:w="16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Times New Roman" w:cs="Times New Roman" w:eastAsia="Times New Roman" w:hAnsi="Times New Roman"/>
                <w:sz w:val="14"/>
                <w:szCs w:val="14"/>
                <w:color w:val="auto"/>
                <w:w w:val="96"/>
              </w:rPr>
              <w:t>DLOM</w:t>
            </w:r>
            <w:r>
              <w:rPr>
                <w:rFonts w:ascii="Times New Roman" w:cs="Times New Roman" w:eastAsia="Times New Roman" w:hAnsi="Times New Roman"/>
                <w:sz w:val="19"/>
                <w:szCs w:val="19"/>
                <w:color w:val="auto"/>
                <w:w w:val="96"/>
                <w:vertAlign w:val="superscript"/>
              </w:rPr>
              <w:t>(2)</w:t>
            </w:r>
          </w:p>
        </w:tc>
        <w:tc>
          <w:tcPr>
            <w:tcW w:w="182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color w:val="auto"/>
              </w:rPr>
              <w:t>9.3%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CCECFF"/>
            </w:tcBorders>
            <w:shd w:val="clear" w:color="auto" w:fill="CCECFF"/>
          </w:tcPr>
          <w:p>
            <w:pPr>
              <w:spacing w:after="0"/>
              <w:rPr>
                <w:sz w:val="15"/>
                <w:szCs w:val="15"/>
                <w:color w:val="auto"/>
              </w:rPr>
            </w:pPr>
          </w:p>
        </w:tc>
        <w:tc>
          <w:tcPr>
            <w:tcW w:w="160" w:type="dxa"/>
            <w:vAlign w:val="bottom"/>
            <w:tcBorders>
              <w:bottom w:val="single" w:sz="8" w:color="auto"/>
            </w:tcBorders>
            <w:shd w:val="clear" w:color="auto" w:fill="CCECFF"/>
          </w:tcPr>
          <w:p>
            <w:pPr>
              <w:spacing w:after="0"/>
              <w:rPr>
                <w:sz w:val="15"/>
                <w:szCs w:val="15"/>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21,133</w:t>
            </w:r>
          </w:p>
        </w:tc>
        <w:tc>
          <w:tcPr>
            <w:tcW w:w="30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bottom w:val="single" w:sz="8" w:color="CCECFF"/>
            </w:tcBorders>
            <w:shd w:val="clear" w:color="auto" w:fill="CCECFF"/>
          </w:tcPr>
          <w:p>
            <w:pPr>
              <w:spacing w:after="0"/>
              <w:rPr>
                <w:sz w:val="15"/>
                <w:szCs w:val="15"/>
                <w:color w:val="auto"/>
              </w:rPr>
            </w:pPr>
          </w:p>
        </w:tc>
        <w:tc>
          <w:tcPr>
            <w:tcW w:w="2020" w:type="dxa"/>
            <w:vAlign w:val="bottom"/>
            <w:tcBorders>
              <w:bottom w:val="single" w:sz="8" w:color="CCECFF"/>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Market yield</w:t>
            </w:r>
          </w:p>
        </w:tc>
        <w:tc>
          <w:tcPr>
            <w:tcW w:w="1820" w:type="dxa"/>
            <w:vAlign w:val="bottom"/>
            <w:tcBorders>
              <w:bottom w:val="single" w:sz="8" w:color="CCECFF"/>
            </w:tcBorders>
            <w:gridSpan w:val="2"/>
            <w:shd w:val="clear" w:color="auto" w:fill="CCECFF"/>
          </w:tcPr>
          <w:p>
            <w:pPr>
              <w:jc w:val="center"/>
              <w:ind w:left="608"/>
              <w:spacing w:after="0"/>
              <w:rPr>
                <w:sz w:val="20"/>
                <w:szCs w:val="20"/>
                <w:color w:val="auto"/>
              </w:rPr>
            </w:pPr>
            <w:r>
              <w:rPr>
                <w:rFonts w:ascii="Times New Roman" w:cs="Times New Roman" w:eastAsia="Times New Roman" w:hAnsi="Times New Roman"/>
                <w:sz w:val="14"/>
                <w:szCs w:val="14"/>
                <w:color w:val="auto"/>
              </w:rPr>
              <w:t>20.4%</w:t>
            </w:r>
          </w:p>
        </w:tc>
        <w:tc>
          <w:tcPr>
            <w:tcW w:w="52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3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500" w:type="dxa"/>
            <w:vAlign w:val="bottom"/>
            <w:tcBorders>
              <w:bottom w:val="single" w:sz="8" w:color="auto"/>
            </w:tcBorders>
            <w:shd w:val="clear" w:color="auto" w:fill="CCECFF"/>
          </w:tcPr>
          <w:p>
            <w:pPr>
              <w:spacing w:after="0"/>
              <w:rPr>
                <w:sz w:val="17"/>
                <w:szCs w:val="17"/>
                <w:color w:val="auto"/>
              </w:rPr>
            </w:pPr>
          </w:p>
        </w:tc>
        <w:tc>
          <w:tcPr>
            <w:tcW w:w="300" w:type="dxa"/>
            <w:vAlign w:val="bottom"/>
            <w:tcBorders>
              <w:bottom w:val="single" w:sz="8" w:color="CCECFF"/>
            </w:tcBorders>
            <w:shd w:val="clear" w:color="auto" w:fill="CCECFF"/>
          </w:tcPr>
          <w:p>
            <w:pPr>
              <w:spacing w:after="0"/>
              <w:rPr>
                <w:sz w:val="17"/>
                <w:szCs w:val="17"/>
                <w:color w:val="auto"/>
              </w:rPr>
            </w:pPr>
          </w:p>
        </w:tc>
        <w:tc>
          <w:tcPr>
            <w:tcW w:w="20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020" w:type="dxa"/>
            <w:vAlign w:val="bottom"/>
            <w:tcBorders>
              <w:bottom w:val="single" w:sz="8" w:color="CCECFF"/>
            </w:tcBorders>
            <w:shd w:val="clear" w:color="auto" w:fill="CCECFF"/>
          </w:tcPr>
          <w:p>
            <w:pPr>
              <w:spacing w:after="0"/>
              <w:rPr>
                <w:sz w:val="17"/>
                <w:szCs w:val="17"/>
                <w:color w:val="auto"/>
              </w:rPr>
            </w:pPr>
          </w:p>
        </w:tc>
        <w:tc>
          <w:tcPr>
            <w:tcW w:w="1820" w:type="dxa"/>
            <w:vAlign w:val="bottom"/>
            <w:tcBorders>
              <w:bottom w:val="single" w:sz="8" w:color="CCECFF"/>
            </w:tcBorders>
            <w:gridSpan w:val="2"/>
            <w:shd w:val="clear" w:color="auto" w:fill="CCECFF"/>
          </w:tcPr>
          <w:p>
            <w:pPr>
              <w:spacing w:after="0"/>
              <w:rPr>
                <w:sz w:val="17"/>
                <w:szCs w:val="17"/>
                <w:color w:val="auto"/>
              </w:rPr>
            </w:pPr>
          </w:p>
        </w:tc>
        <w:tc>
          <w:tcPr>
            <w:tcW w:w="52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5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3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314,813</w:t>
            </w:r>
          </w:p>
        </w:tc>
        <w:tc>
          <w:tcPr>
            <w:tcW w:w="30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yield</w:t>
            </w:r>
          </w:p>
        </w:tc>
        <w:tc>
          <w:tcPr>
            <w:tcW w:w="1820" w:type="dxa"/>
            <w:vAlign w:val="bottom"/>
            <w:gridSpan w:val="2"/>
          </w:tcPr>
          <w:p>
            <w:pPr>
              <w:jc w:val="center"/>
              <w:ind w:left="608"/>
              <w:spacing w:after="0" w:line="155" w:lineRule="exact"/>
              <w:rPr>
                <w:sz w:val="20"/>
                <w:szCs w:val="20"/>
                <w:color w:val="auto"/>
              </w:rPr>
            </w:pPr>
            <w:r>
              <w:rPr>
                <w:rFonts w:ascii="Times New Roman" w:cs="Times New Roman" w:eastAsia="Times New Roman" w:hAnsi="Times New Roman"/>
                <w:sz w:val="14"/>
                <w:szCs w:val="14"/>
                <w:color w:val="auto"/>
              </w:rPr>
              <w:t>2.4%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-419735</wp:posOffset>
            </wp:positionV>
            <wp:extent cx="76835" cy="146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-162560</wp:posOffset>
            </wp:positionV>
            <wp:extent cx="76835" cy="16319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75"/>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37" w:lineRule="exact"/>
        <w:rPr>
          <w:rFonts w:ascii="Times New Roman" w:cs="Times New Roman" w:eastAsia="Times New Roman" w:hAnsi="Times New Roman"/>
          <w:sz w:val="16"/>
          <w:szCs w:val="16"/>
          <w:b w:val="1"/>
          <w:bCs w:val="1"/>
          <w:color w:val="auto"/>
          <w:vertAlign w:val="superscript"/>
        </w:rPr>
      </w:pPr>
    </w:p>
    <w:p>
      <w:pPr>
        <w:ind w:left="380" w:hanging="372"/>
        <w:spacing w:after="0" w:line="180" w:lineRule="auto"/>
        <w:tabs>
          <w:tab w:leader="none" w:pos="380" w:val="left"/>
        </w:tabs>
        <w:numPr>
          <w:ilvl w:val="0"/>
          <w:numId w:val="75"/>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DLOM is defined as discount for lack of marketability</w:t>
      </w:r>
    </w:p>
    <w:p>
      <w:pPr>
        <w:spacing w:after="0" w:line="186" w:lineRule="exact"/>
        <w:rPr>
          <w:sz w:val="20"/>
          <w:szCs w:val="20"/>
          <w:color w:val="auto"/>
        </w:rPr>
      </w:pPr>
    </w:p>
    <w:p>
      <w:pPr>
        <w:ind w:right="380" w:firstLine="449"/>
        <w:spacing w:after="0" w:line="282" w:lineRule="auto"/>
        <w:rPr>
          <w:sz w:val="20"/>
          <w:szCs w:val="20"/>
          <w:color w:val="auto"/>
        </w:rPr>
      </w:pPr>
      <w:r>
        <w:rPr>
          <w:rFonts w:ascii="Times New Roman" w:cs="Times New Roman" w:eastAsia="Times New Roman" w:hAnsi="Times New Roman"/>
          <w:sz w:val="14"/>
          <w:szCs w:val="14"/>
          <w:color w:val="auto"/>
        </w:rPr>
        <w:t>Our investments, cash and cash equivalents, Credit Facility, SBA debentures, 2024 Notes, 2026 Notes and 2026 Notes-2 were categorized as follows in the fair value hierarchy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Fair Value at September 30, 2022</w:t>
            </w: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6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7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902,165</w:t>
            </w:r>
          </w:p>
        </w:tc>
        <w:tc>
          <w:tcPr>
            <w:tcW w:w="26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902,165</w:t>
            </w:r>
          </w:p>
        </w:tc>
        <w:tc>
          <w:tcPr>
            <w:tcW w:w="24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324,136</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257,162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1,226,301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1,159,327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66,670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52,666</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200" w:type="dxa"/>
            <w:vAlign w:val="bottom"/>
            <w:tcBorders>
              <w:bottom w:val="single" w:sz="8" w:color="auto"/>
            </w:tcBorders>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1,278,967</w:t>
            </w:r>
          </w:p>
        </w:tc>
        <w:tc>
          <w:tcPr>
            <w:tcW w:w="2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52,970</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280" w:type="dxa"/>
            <w:vAlign w:val="bottom"/>
            <w:tcBorders>
              <w:bottom w:val="single" w:sz="8" w:color="auto"/>
            </w:tcBorders>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1,159,327</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66,670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Truist Credit Facility</w:t>
            </w:r>
          </w:p>
        </w:tc>
        <w:tc>
          <w:tcPr>
            <w:tcW w:w="200" w:type="dxa"/>
            <w:vAlign w:val="bottom"/>
          </w:tcPr>
          <w:p>
            <w:pPr>
              <w:jc w:val="right"/>
              <w:ind w:right="2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376,687</w:t>
            </w:r>
          </w:p>
        </w:tc>
        <w:tc>
          <w:tcPr>
            <w:tcW w:w="50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08"/>
              <w:spacing w:after="0" w:line="15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376,687</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SBA Debentures </w:t>
            </w:r>
            <w:r>
              <w:rPr>
                <w:rFonts w:ascii="Times New Roman" w:cs="Times New Roman" w:eastAsia="Times New Roman" w:hAnsi="Times New Roman"/>
                <w:sz w:val="19"/>
                <w:szCs w:val="19"/>
                <w:color w:val="auto"/>
                <w:vertAlign w:val="superscript"/>
              </w:rPr>
              <w:t>(2)</w:t>
            </w:r>
          </w:p>
        </w:tc>
        <w:tc>
          <w:tcPr>
            <w:tcW w:w="20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26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19,686</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w:t>
            </w:r>
            <w:r>
              <w:rPr>
                <w:rFonts w:ascii="Times New Roman" w:cs="Times New Roman" w:eastAsia="Times New Roman" w:hAnsi="Times New Roman"/>
                <w:sz w:val="19"/>
                <w:szCs w:val="19"/>
                <w:color w:val="auto"/>
                <w:vertAlign w:val="superscript"/>
              </w:rPr>
              <w:t>(2)</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tcBorders>
              <w:bottom w:val="single" w:sz="8" w:color="CCECFF"/>
            </w:tcBorders>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2026-2 Notes </w:t>
            </w:r>
            <w:r>
              <w:rPr>
                <w:rFonts w:ascii="Times New Roman" w:cs="Times New Roman" w:eastAsia="Times New Roman" w:hAnsi="Times New Roman"/>
                <w:sz w:val="19"/>
                <w:szCs w:val="19"/>
                <w:color w:val="auto"/>
                <w:vertAlign w:val="superscript"/>
              </w:rPr>
              <w:t>(2)</w:t>
            </w:r>
          </w:p>
        </w:tc>
        <w:tc>
          <w:tcPr>
            <w:tcW w:w="200" w:type="dxa"/>
            <w:vAlign w:val="bottom"/>
            <w:tcBorders>
              <w:bottom w:val="single" w:sz="8" w:color="auto"/>
            </w:tcBorders>
            <w:shd w:val="clear" w:color="auto" w:fill="CCECFF"/>
          </w:tcPr>
          <w:p>
            <w:pPr>
              <w:spacing w:after="0"/>
              <w:rPr>
                <w:sz w:val="15"/>
                <w:szCs w:val="15"/>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161,373</w:t>
            </w:r>
          </w:p>
        </w:tc>
        <w:tc>
          <w:tcPr>
            <w:tcW w:w="26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161,373</w:t>
            </w:r>
          </w:p>
        </w:tc>
        <w:tc>
          <w:tcPr>
            <w:tcW w:w="240" w:type="dxa"/>
            <w:vAlign w:val="bottom"/>
            <w:tcBorders>
              <w:bottom w:val="single" w:sz="8" w:color="CCECFF"/>
            </w:tcBorders>
            <w:shd w:val="clear" w:color="auto" w:fill="CCECFF"/>
          </w:tcPr>
          <w:p>
            <w:pPr>
              <w:spacing w:after="0"/>
              <w:rPr>
                <w:sz w:val="15"/>
                <w:szCs w:val="15"/>
                <w:color w:val="auto"/>
              </w:rPr>
            </w:pPr>
          </w:p>
        </w:tc>
        <w:tc>
          <w:tcPr>
            <w:tcW w:w="280" w:type="dxa"/>
            <w:vAlign w:val="bottom"/>
            <w:tcBorders>
              <w:bottom w:val="single" w:sz="8" w:color="auto"/>
            </w:tcBorders>
            <w:shd w:val="clear" w:color="auto" w:fill="CCECFF"/>
          </w:tcPr>
          <w:p>
            <w:pPr>
              <w:spacing w:after="0"/>
              <w:rPr>
                <w:sz w:val="15"/>
                <w:szCs w:val="15"/>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704,513</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308,140</w:t>
            </w:r>
          </w:p>
        </w:tc>
        <w:tc>
          <w:tcPr>
            <w:tcW w:w="5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396,373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-616585</wp:posOffset>
            </wp:positionV>
            <wp:extent cx="3865880" cy="1371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65880" cy="13716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-145415</wp:posOffset>
            </wp:positionV>
            <wp:extent cx="76835" cy="1460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-145415</wp:posOffset>
            </wp:positionV>
            <wp:extent cx="68580" cy="146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-145415</wp:posOffset>
            </wp:positionV>
            <wp:extent cx="68580" cy="146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-145415</wp:posOffset>
            </wp:positionV>
            <wp:extent cx="68580" cy="1460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8" w:lineRule="exact"/>
        <w:rPr>
          <w:sz w:val="20"/>
          <w:szCs w:val="20"/>
          <w:color w:val="auto"/>
        </w:rPr>
      </w:pPr>
    </w:p>
    <w:p>
      <w:pPr>
        <w:ind w:left="380" w:right="80" w:hanging="372"/>
        <w:spacing w:after="0" w:line="212" w:lineRule="auto"/>
        <w:tabs>
          <w:tab w:leader="none" w:pos="380" w:val="left"/>
        </w:tabs>
        <w:numPr>
          <w:ilvl w:val="0"/>
          <w:numId w:val="76"/>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spacing w:after="0" w:line="26" w:lineRule="exact"/>
        <w:rPr>
          <w:rFonts w:ascii="Times New Roman" w:cs="Times New Roman" w:eastAsia="Times New Roman" w:hAnsi="Times New Roman"/>
          <w:sz w:val="16"/>
          <w:szCs w:val="16"/>
          <w:b w:val="1"/>
          <w:bCs w:val="1"/>
          <w:color w:val="auto"/>
          <w:vertAlign w:val="superscript"/>
        </w:rPr>
      </w:pPr>
    </w:p>
    <w:p>
      <w:pPr>
        <w:ind w:left="380" w:right="280" w:hanging="372"/>
        <w:spacing w:after="0" w:line="202" w:lineRule="auto"/>
        <w:tabs>
          <w:tab w:leader="none" w:pos="380" w:val="left"/>
        </w:tabs>
        <w:numPr>
          <w:ilvl w:val="0"/>
          <w:numId w:val="76"/>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We elected not to apply ASC 825-10 to the SBA debentures or the 2024 Notes, the 2026 Notes, and the 2026 Notes-2 and thus the balance reported in the Consolidated Statement of Assets and Liabilities represents the carrying value. As of September 30, 2022, the carrying value of the SBA debentures approximates the fair value.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Fair Value at September 30, 2021</w:t>
            </w: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1"/>
                <w:szCs w:val="11"/>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ind w:right="108"/>
              <w:spacing w:after="0" w:line="129"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188"/>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14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80" w:type="dxa"/>
            <w:vAlign w:val="bottom"/>
            <w:shd w:val="clear" w:color="auto" w:fill="CCECFF"/>
          </w:tcPr>
          <w:p>
            <w:pPr>
              <w:spacing w:after="0"/>
              <w:rPr>
                <w:sz w:val="14"/>
                <w:szCs w:val="14"/>
                <w:color w:val="auto"/>
              </w:rPr>
            </w:pPr>
          </w:p>
        </w:tc>
        <w:tc>
          <w:tcPr>
            <w:tcW w:w="24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260" w:type="dxa"/>
            <w:vAlign w:val="bottom"/>
            <w:tcBorders>
              <w:top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18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4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investments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404,697</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360,428</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0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1,255,290</w:t>
            </w:r>
          </w:p>
        </w:tc>
        <w:tc>
          <w:tcPr>
            <w:tcW w:w="28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3,109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20,357</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00" w:type="dxa"/>
            <w:vAlign w:val="bottom"/>
            <w:tcBorders>
              <w:bottom w:val="single" w:sz="8" w:color="CCECFF"/>
            </w:tcBorders>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20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1,275,647</w:t>
            </w:r>
          </w:p>
        </w:tc>
        <w:tc>
          <w:tcPr>
            <w:tcW w:w="28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23,466</w:t>
            </w:r>
          </w:p>
        </w:tc>
        <w:tc>
          <w:tcPr>
            <w:tcW w:w="24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8"/>
                <w:szCs w:val="18"/>
                <w:color w:val="auto"/>
              </w:rPr>
            </w:pPr>
          </w:p>
        </w:tc>
        <w:tc>
          <w:tcPr>
            <w:tcW w:w="180" w:type="dxa"/>
            <w:vAlign w:val="bottom"/>
            <w:tcBorders>
              <w:bottom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1,211,021</w:t>
            </w:r>
          </w:p>
        </w:tc>
        <w:tc>
          <w:tcPr>
            <w:tcW w:w="2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41,160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Truist Credit Facility</w:t>
            </w:r>
          </w:p>
        </w:tc>
        <w:tc>
          <w:tcPr>
            <w:tcW w:w="200" w:type="dxa"/>
            <w:vAlign w:val="bottom"/>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314,813</w:t>
            </w:r>
          </w:p>
        </w:tc>
        <w:tc>
          <w:tcPr>
            <w:tcW w:w="52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314,813</w:t>
            </w:r>
          </w:p>
        </w:tc>
        <w:tc>
          <w:tcPr>
            <w:tcW w:w="34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000" w:type="dxa"/>
            <w:vAlign w:val="bottom"/>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SBA Debentures </w:t>
            </w:r>
            <w:r>
              <w:rPr>
                <w:rFonts w:ascii="Times New Roman" w:cs="Times New Roman" w:eastAsia="Times New Roman" w:hAnsi="Times New Roman"/>
                <w:sz w:val="19"/>
                <w:szCs w:val="19"/>
                <w:color w:val="auto"/>
                <w:vertAlign w:val="superscript"/>
              </w:rPr>
              <w:t>(2)</w:t>
            </w:r>
          </w:p>
        </w:tc>
        <w:tc>
          <w:tcPr>
            <w:tcW w:w="200" w:type="dxa"/>
            <w:vAlign w:val="bottom"/>
            <w:shd w:val="clear" w:color="auto" w:fill="CCECFF"/>
          </w:tcPr>
          <w:p>
            <w:pPr>
              <w:spacing w:after="0"/>
              <w:rPr>
                <w:sz w:val="15"/>
                <w:szCs w:val="15"/>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28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26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5"/>
                <w:szCs w:val="15"/>
                <w:color w:val="auto"/>
              </w:rPr>
            </w:pPr>
          </w:p>
        </w:tc>
        <w:tc>
          <w:tcPr>
            <w:tcW w:w="180" w:type="dxa"/>
            <w:vAlign w:val="bottom"/>
            <w:shd w:val="clear" w:color="auto" w:fill="CCECFF"/>
          </w:tcPr>
          <w:p>
            <w:pPr>
              <w:spacing w:after="0"/>
              <w:rPr>
                <w:sz w:val="15"/>
                <w:szCs w:val="15"/>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62,159</w:t>
            </w:r>
          </w:p>
        </w:tc>
        <w:tc>
          <w:tcPr>
            <w:tcW w:w="2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2024 Notes </w:t>
            </w:r>
            <w:r>
              <w:rPr>
                <w:rFonts w:ascii="Times New Roman" w:cs="Times New Roman" w:eastAsia="Times New Roman" w:hAnsi="Times New Roman"/>
                <w:sz w:val="19"/>
                <w:szCs w:val="19"/>
                <w:color w:val="auto"/>
                <w:vertAlign w:val="superscript"/>
              </w:rPr>
              <w:t>(2)</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tcBorders>
              <w:bottom w:val="single" w:sz="8" w:color="CCECFF"/>
            </w:tcBorders>
            <w:gridSpan w:val="2"/>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2026 Notes </w:t>
            </w:r>
            <w:r>
              <w:rPr>
                <w:rFonts w:ascii="Times New Roman" w:cs="Times New Roman" w:eastAsia="Times New Roman" w:hAnsi="Times New Roman"/>
                <w:sz w:val="19"/>
                <w:szCs w:val="19"/>
                <w:color w:val="auto"/>
                <w:vertAlign w:val="superscript"/>
              </w:rPr>
              <w:t>(2)</w:t>
            </w:r>
          </w:p>
        </w:tc>
        <w:tc>
          <w:tcPr>
            <w:tcW w:w="200" w:type="dxa"/>
            <w:vAlign w:val="bottom"/>
            <w:tcBorders>
              <w:bottom w:val="single" w:sz="8" w:color="auto"/>
            </w:tcBorders>
            <w:shd w:val="clear" w:color="auto" w:fill="CCECFF"/>
          </w:tcPr>
          <w:p>
            <w:pPr>
              <w:spacing w:after="0"/>
              <w:rPr>
                <w:sz w:val="15"/>
                <w:szCs w:val="15"/>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280" w:type="dxa"/>
            <w:vAlign w:val="bottom"/>
            <w:tcBorders>
              <w:bottom w:val="single" w:sz="8" w:color="CCECFF"/>
            </w:tcBorders>
            <w:shd w:val="clear" w:color="auto" w:fill="CCECFF"/>
          </w:tcPr>
          <w:p>
            <w:pPr>
              <w:spacing w:after="0"/>
              <w:rPr>
                <w:sz w:val="15"/>
                <w:szCs w:val="15"/>
                <w:color w:val="auto"/>
              </w:rPr>
            </w:pPr>
          </w:p>
        </w:tc>
        <w:tc>
          <w:tcPr>
            <w:tcW w:w="240" w:type="dxa"/>
            <w:vAlign w:val="bottom"/>
            <w:tcBorders>
              <w:bottom w:val="single" w:sz="8" w:color="auto"/>
            </w:tcBorders>
            <w:shd w:val="clear" w:color="auto" w:fill="CCECFF"/>
          </w:tcPr>
          <w:p>
            <w:pPr>
              <w:spacing w:after="0"/>
              <w:rPr>
                <w:sz w:val="15"/>
                <w:szCs w:val="15"/>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260" w:type="dxa"/>
            <w:vAlign w:val="bottom"/>
            <w:tcBorders>
              <w:bottom w:val="single" w:sz="8" w:color="auto"/>
            </w:tcBorders>
            <w:shd w:val="clear" w:color="auto" w:fill="CCECFF"/>
          </w:tcPr>
          <w:p>
            <w:pPr>
              <w:spacing w:after="0"/>
              <w:rPr>
                <w:sz w:val="15"/>
                <w:szCs w:val="15"/>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240" w:type="dxa"/>
            <w:vAlign w:val="bottom"/>
            <w:tcBorders>
              <w:bottom w:val="single" w:sz="8" w:color="CCECFF"/>
            </w:tcBorders>
            <w:shd w:val="clear" w:color="auto" w:fill="CCECFF"/>
          </w:tcPr>
          <w:p>
            <w:pPr>
              <w:spacing w:after="0"/>
              <w:rPr>
                <w:sz w:val="15"/>
                <w:szCs w:val="15"/>
                <w:color w:val="auto"/>
              </w:rPr>
            </w:pPr>
          </w:p>
        </w:tc>
        <w:tc>
          <w:tcPr>
            <w:tcW w:w="180" w:type="dxa"/>
            <w:vAlign w:val="bottom"/>
            <w:tcBorders>
              <w:bottom w:val="single" w:sz="8" w:color="auto"/>
            </w:tcBorders>
            <w:shd w:val="clear" w:color="auto" w:fill="CCECFF"/>
          </w:tcPr>
          <w:p>
            <w:pPr>
              <w:spacing w:after="0"/>
              <w:rPr>
                <w:sz w:val="15"/>
                <w:szCs w:val="15"/>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CFF"/>
            </w:tcBorders>
            <w:shd w:val="clear" w:color="auto" w:fill="CCECFF"/>
          </w:tcPr>
          <w:p>
            <w:pPr>
              <w:spacing w:after="0"/>
              <w:rPr>
                <w:sz w:val="15"/>
                <w:szCs w:val="15"/>
                <w:color w:val="auto"/>
              </w:rPr>
            </w:pPr>
          </w:p>
        </w:tc>
        <w:tc>
          <w:tcPr>
            <w:tcW w:w="10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0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Total debt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607,340</w:t>
            </w:r>
          </w:p>
        </w:tc>
        <w:tc>
          <w:tcPr>
            <w:tcW w:w="5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84,503</w:t>
            </w:r>
          </w:p>
        </w:tc>
        <w:tc>
          <w:tcPr>
            <w:tcW w:w="5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145,865</w:t>
            </w:r>
          </w:p>
        </w:tc>
        <w:tc>
          <w:tcPr>
            <w:tcW w:w="4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376,972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-616585</wp:posOffset>
            </wp:positionV>
            <wp:extent cx="3780155"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780155" cy="13716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-145415</wp:posOffset>
            </wp:positionV>
            <wp:extent cx="76835" cy="1460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-145415</wp:posOffset>
            </wp:positionV>
            <wp:extent cx="68580" cy="1460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-145415</wp:posOffset>
            </wp:positionV>
            <wp:extent cx="68580" cy="1460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-145415</wp:posOffset>
            </wp:positionV>
            <wp:extent cx="68580" cy="1460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28" w:lineRule="exact"/>
        <w:rPr>
          <w:sz w:val="20"/>
          <w:szCs w:val="20"/>
          <w:color w:val="auto"/>
        </w:rPr>
      </w:pPr>
    </w:p>
    <w:p>
      <w:pPr>
        <w:ind w:left="380" w:right="80" w:hanging="372"/>
        <w:spacing w:after="0" w:line="212" w:lineRule="auto"/>
        <w:tabs>
          <w:tab w:leader="none" w:pos="380" w:val="left"/>
        </w:tabs>
        <w:numPr>
          <w:ilvl w:val="0"/>
          <w:numId w:val="77"/>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spacing w:after="0" w:line="26" w:lineRule="exact"/>
        <w:rPr>
          <w:rFonts w:ascii="Times New Roman" w:cs="Times New Roman" w:eastAsia="Times New Roman" w:hAnsi="Times New Roman"/>
          <w:sz w:val="16"/>
          <w:szCs w:val="16"/>
          <w:b w:val="1"/>
          <w:bCs w:val="1"/>
          <w:color w:val="auto"/>
          <w:vertAlign w:val="superscript"/>
        </w:rPr>
      </w:pPr>
    </w:p>
    <w:p>
      <w:pPr>
        <w:ind w:left="380" w:right="280" w:hanging="372"/>
        <w:spacing w:after="0" w:line="212" w:lineRule="auto"/>
        <w:tabs>
          <w:tab w:leader="none" w:pos="380" w:val="left"/>
        </w:tabs>
        <w:numPr>
          <w:ilvl w:val="0"/>
          <w:numId w:val="77"/>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We elected not to apply ASC 825-10 to the SBA debentures or the 2024 Notes, the 2026 Notes, and the 2026 Notes-2 and thus the balance reported in the Consolidated Statement of Assets and Liabilities represents the carrying value. As of September 30, 2022, the carrying value of the SBA debentures approximates the fair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investments measured at fair value using significant unobservable inputs (Level 3) ($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7"/>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Year Ended September 30, 2022</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6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460" w:type="dxa"/>
            <w:vAlign w:val="bottom"/>
            <w:gridSpan w:val="3"/>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2"/>
                <w:szCs w:val="12"/>
                <w:color w:val="auto"/>
              </w:rPr>
            </w:pPr>
          </w:p>
        </w:tc>
        <w:tc>
          <w:tcPr>
            <w:tcW w:w="142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300" w:type="dxa"/>
            <w:vAlign w:val="bottom"/>
          </w:tcPr>
          <w:p>
            <w:pPr>
              <w:spacing w:after="0"/>
              <w:rPr>
                <w:sz w:val="12"/>
                <w:szCs w:val="12"/>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96"/>
        </w:trPr>
        <w:tc>
          <w:tcPr>
            <w:tcW w:w="640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8"/>
                <w:szCs w:val="8"/>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64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26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4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360,427</w:t>
            </w:r>
          </w:p>
        </w:tc>
        <w:tc>
          <w:tcPr>
            <w:tcW w:w="24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Net realized gain (loss)</w:t>
            </w:r>
          </w:p>
        </w:tc>
        <w:tc>
          <w:tcPr>
            <w:tcW w:w="2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(10,262 )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22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(38,617 )</w:t>
            </w:r>
          </w:p>
        </w:tc>
        <w:tc>
          <w:tcPr>
            <w:tcW w:w="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(65,743 )</w:t>
            </w:r>
          </w:p>
        </w:tc>
        <w:tc>
          <w:tcPr>
            <w:tcW w:w="30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(104,360 )</w:t>
            </w:r>
          </w:p>
        </w:tc>
        <w:tc>
          <w:tcPr>
            <w:tcW w:w="0" w:type="dxa"/>
            <w:vAlign w:val="bottom"/>
          </w:tcPr>
          <w:p>
            <w:pPr>
              <w:spacing w:after="0"/>
              <w:rPr>
                <w:sz w:val="1"/>
                <w:szCs w:val="1"/>
                <w:color w:val="auto"/>
              </w:rPr>
            </w:pPr>
          </w:p>
        </w:tc>
      </w:tr>
      <w:tr>
        <w:trPr>
          <w:trHeight w:val="175"/>
        </w:trPr>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870,284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86,821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957,105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22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(769,833 )</w:t>
            </w:r>
          </w:p>
        </w:tc>
        <w:tc>
          <w:tcPr>
            <w:tcW w:w="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(178,408 )</w:t>
            </w:r>
          </w:p>
        </w:tc>
        <w:tc>
          <w:tcPr>
            <w:tcW w:w="30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(948,241 )</w:t>
            </w:r>
          </w:p>
        </w:tc>
        <w:tc>
          <w:tcPr>
            <w:tcW w:w="0" w:type="dxa"/>
            <w:vAlign w:val="bottom"/>
          </w:tcPr>
          <w:p>
            <w:pPr>
              <w:spacing w:after="0"/>
              <w:rPr>
                <w:sz w:val="1"/>
                <w:szCs w:val="1"/>
                <w:color w:val="auto"/>
              </w:rPr>
            </w:pPr>
          </w:p>
        </w:tc>
      </w:tr>
      <w:tr>
        <w:trPr>
          <w:trHeight w:val="176"/>
        </w:trPr>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Transfers in to / out of Level 3</w:t>
            </w:r>
          </w:p>
        </w:tc>
        <w:tc>
          <w:tcPr>
            <w:tcW w:w="220" w:type="dxa"/>
            <w:vAlign w:val="bottom"/>
          </w:tcPr>
          <w:p>
            <w:pPr>
              <w:spacing w:after="0"/>
              <w:rPr>
                <w:sz w:val="15"/>
                <w:szCs w:val="15"/>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902,165</w:t>
            </w:r>
          </w:p>
        </w:tc>
        <w:tc>
          <w:tcPr>
            <w:tcW w:w="24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257,162</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1,159,327</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6400" w:type="dxa"/>
            <w:vAlign w:val="bottom"/>
            <w:gridSpan w:val="3"/>
          </w:tcPr>
          <w:p>
            <w:pPr>
              <w:ind w:left="20"/>
              <w:spacing w:after="0" w:line="133" w:lineRule="exact"/>
              <w:rPr>
                <w:sz w:val="20"/>
                <w:szCs w:val="20"/>
                <w:color w:val="auto"/>
              </w:rPr>
            </w:pPr>
            <w:r>
              <w:rPr>
                <w:rFonts w:ascii="Times New Roman" w:cs="Times New Roman" w:eastAsia="Times New Roman" w:hAnsi="Times New Roman"/>
                <w:sz w:val="14"/>
                <w:szCs w:val="14"/>
                <w:color w:val="auto"/>
              </w:rPr>
              <w:t>Net change in unrealized depreciation reported within the net change in unrealized</w:t>
            </w: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on investments in our Consolidated Statements of Operations</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(33,393 )</w:t>
            </w:r>
          </w:p>
        </w:tc>
        <w:tc>
          <w:tcPr>
            <w:tcW w:w="20" w:type="dxa"/>
            <w:vAlign w:val="bottom"/>
          </w:tcPr>
          <w:p>
            <w:pPr>
              <w:spacing w:after="0"/>
              <w:rPr>
                <w:sz w:val="12"/>
                <w:szCs w:val="12"/>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(66,254 )</w:t>
            </w: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(99,647 )</w:t>
            </w:r>
          </w:p>
        </w:tc>
        <w:tc>
          <w:tcPr>
            <w:tcW w:w="0" w:type="dxa"/>
            <w:vAlign w:val="bottom"/>
          </w:tcPr>
          <w:p>
            <w:pPr>
              <w:spacing w:after="0"/>
              <w:rPr>
                <w:sz w:val="1"/>
                <w:szCs w:val="1"/>
                <w:color w:val="auto"/>
              </w:rPr>
            </w:pPr>
          </w:p>
        </w:tc>
      </w:tr>
      <w:tr>
        <w:trPr>
          <w:trHeight w:val="144"/>
        </w:trPr>
        <w:tc>
          <w:tcPr>
            <w:tcW w:w="6400" w:type="dxa"/>
            <w:vAlign w:val="bottom"/>
            <w:gridSpan w:val="3"/>
          </w:tcPr>
          <w:p>
            <w:pPr>
              <w:ind w:left="120"/>
              <w:spacing w:after="0" w:line="125"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220" w:type="dxa"/>
            <w:vAlign w:val="bottom"/>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Year Ended September 30, 2021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3"/>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220" w:type="dxa"/>
            <w:vAlign w:val="bottom"/>
          </w:tcPr>
          <w:p>
            <w:pPr>
              <w:spacing w:after="0"/>
              <w:rPr>
                <w:sz w:val="11"/>
                <w:szCs w:val="11"/>
                <w:color w:val="auto"/>
              </w:rPr>
            </w:pPr>
          </w:p>
        </w:tc>
        <w:tc>
          <w:tcPr>
            <w:tcW w:w="142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09"/>
        </w:trPr>
        <w:tc>
          <w:tcPr>
            <w:tcW w:w="6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9"/>
                <w:szCs w:val="9"/>
                <w:color w:val="auto"/>
              </w:rPr>
            </w:pPr>
          </w:p>
        </w:tc>
        <w:tc>
          <w:tcPr>
            <w:tcW w:w="146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9"/>
                <w:szCs w:val="9"/>
                <w:color w:val="auto"/>
              </w:rPr>
            </w:pPr>
          </w:p>
        </w:tc>
        <w:tc>
          <w:tcPr>
            <w:tcW w:w="14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4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62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60" w:type="dxa"/>
            <w:vAlign w:val="bottom"/>
            <w:gridSpan w:val="2"/>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773,426</w:t>
            </w:r>
          </w:p>
        </w:tc>
        <w:tc>
          <w:tcPr>
            <w:tcW w:w="240" w:type="dxa"/>
            <w:vAlign w:val="bottom"/>
            <w:shd w:val="clear" w:color="auto" w:fill="CCECFF"/>
          </w:tcPr>
          <w:p>
            <w:pPr>
              <w:spacing w:after="0"/>
              <w:rPr>
                <w:sz w:val="14"/>
                <w:szCs w:val="14"/>
                <w:color w:val="auto"/>
              </w:rPr>
            </w:pPr>
          </w:p>
        </w:tc>
        <w:tc>
          <w:tcPr>
            <w:tcW w:w="20" w:type="dxa"/>
            <w:vAlign w:val="bottom"/>
            <w:tcBorders>
              <w:top w:val="single" w:sz="8" w:color="auto"/>
            </w:tcBorders>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270,754</w:t>
            </w:r>
          </w:p>
        </w:tc>
        <w:tc>
          <w:tcPr>
            <w:tcW w:w="240" w:type="dxa"/>
            <w:vAlign w:val="bottom"/>
            <w:shd w:val="clear" w:color="auto" w:fill="CCECFF"/>
          </w:tcPr>
          <w:p>
            <w:pPr>
              <w:spacing w:after="0"/>
              <w:rPr>
                <w:sz w:val="14"/>
                <w:szCs w:val="14"/>
                <w:color w:val="auto"/>
              </w:rPr>
            </w:pPr>
          </w:p>
        </w:tc>
        <w:tc>
          <w:tcPr>
            <w:tcW w:w="300" w:type="dxa"/>
            <w:vAlign w:val="bottom"/>
            <w:tcBorders>
              <w:top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1,044,180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Net realized gain (loss)</w:t>
            </w:r>
          </w:p>
        </w:tc>
        <w:tc>
          <w:tcPr>
            <w:tcW w:w="2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(2,770 )</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gridSpan w:val="3"/>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22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32,159</w:t>
            </w:r>
          </w:p>
        </w:tc>
        <w:tc>
          <w:tcPr>
            <w:tcW w:w="24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79,804</w:t>
            </w:r>
          </w:p>
        </w:tc>
        <w:tc>
          <w:tcPr>
            <w:tcW w:w="24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111,963</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414,127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45,270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459,397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gridSpan w:val="3"/>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220" w:type="dxa"/>
            <w:vAlign w:val="bottom"/>
            <w:shd w:val="clear" w:color="auto" w:fill="CCECFF"/>
          </w:tcPr>
          <w:p>
            <w:pPr>
              <w:spacing w:after="0"/>
              <w:rPr>
                <w:sz w:val="15"/>
                <w:szCs w:val="15"/>
                <w:color w:val="auto"/>
              </w:rPr>
            </w:pPr>
          </w:p>
        </w:tc>
        <w:tc>
          <w:tcPr>
            <w:tcW w:w="14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(366,349 )</w:t>
            </w:r>
          </w:p>
        </w:tc>
        <w:tc>
          <w:tcPr>
            <w:tcW w:w="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14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(68,124 )</w:t>
            </w:r>
          </w:p>
        </w:tc>
        <w:tc>
          <w:tcPr>
            <w:tcW w:w="300" w:type="dxa"/>
            <w:vAlign w:val="bottom"/>
            <w:shd w:val="clear" w:color="auto" w:fill="CCECFF"/>
          </w:tcPr>
          <w:p>
            <w:pPr>
              <w:spacing w:after="0"/>
              <w:rPr>
                <w:sz w:val="15"/>
                <w:szCs w:val="15"/>
                <w:color w:val="auto"/>
              </w:rPr>
            </w:pPr>
          </w:p>
        </w:tc>
        <w:tc>
          <w:tcPr>
            <w:tcW w:w="12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(434,473 )</w:t>
            </w:r>
          </w:p>
        </w:tc>
        <w:tc>
          <w:tcPr>
            <w:tcW w:w="0" w:type="dxa"/>
            <w:vAlign w:val="bottom"/>
          </w:tcPr>
          <w:p>
            <w:pPr>
              <w:spacing w:after="0"/>
              <w:rPr>
                <w:sz w:val="1"/>
                <w:szCs w:val="1"/>
                <w:color w:val="auto"/>
              </w:rPr>
            </w:pPr>
          </w:p>
        </w:tc>
      </w:tr>
      <w:tr>
        <w:trPr>
          <w:trHeight w:val="175"/>
        </w:trPr>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Transfers in to / out of Level 3</w:t>
            </w:r>
          </w:p>
        </w:tc>
        <w:tc>
          <w:tcPr>
            <w:tcW w:w="220" w:type="dxa"/>
            <w:vAlign w:val="bottom"/>
          </w:tcPr>
          <w:p>
            <w:pPr>
              <w:spacing w:after="0"/>
              <w:rPr>
                <w:sz w:val="15"/>
                <w:szCs w:val="15"/>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CECFF"/>
            </w:tcBorders>
            <w:gridSpan w:val="3"/>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850,593</w:t>
            </w:r>
          </w:p>
        </w:tc>
        <w:tc>
          <w:tcPr>
            <w:tcW w:w="24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top w:val="single" w:sz="8" w:color="auto"/>
              <w:bottom w:val="single" w:sz="8" w:color="auto"/>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360,427</w:t>
            </w:r>
          </w:p>
        </w:tc>
        <w:tc>
          <w:tcPr>
            <w:tcW w:w="240" w:type="dxa"/>
            <w:vAlign w:val="bottom"/>
            <w:tcBorders>
              <w:bottom w:val="single" w:sz="8" w:color="CCECFF"/>
            </w:tcBorders>
            <w:shd w:val="clear" w:color="auto" w:fill="CCECFF"/>
          </w:tcPr>
          <w:p>
            <w:pPr>
              <w:spacing w:after="0"/>
              <w:rPr>
                <w:sz w:val="18"/>
                <w:szCs w:val="18"/>
                <w:color w:val="auto"/>
              </w:rPr>
            </w:pPr>
          </w:p>
        </w:tc>
        <w:tc>
          <w:tcPr>
            <w:tcW w:w="300" w:type="dxa"/>
            <w:vAlign w:val="bottom"/>
            <w:tcBorders>
              <w:top w:val="single" w:sz="8" w:color="auto"/>
              <w:bottom w:val="single" w:sz="8" w:color="auto"/>
            </w:tcBorders>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1,211,020</w:t>
            </w: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6400" w:type="dxa"/>
            <w:vAlign w:val="bottom"/>
            <w:gridSpan w:val="3"/>
          </w:tcPr>
          <w:p>
            <w:pPr>
              <w:ind w:left="20"/>
              <w:spacing w:after="0" w:line="120" w:lineRule="exact"/>
              <w:rPr>
                <w:sz w:val="20"/>
                <w:szCs w:val="20"/>
                <w:color w:val="auto"/>
              </w:rPr>
            </w:pPr>
            <w:r>
              <w:rPr>
                <w:rFonts w:ascii="Times New Roman" w:cs="Times New Roman" w:eastAsia="Times New Roman" w:hAnsi="Times New Roman"/>
                <w:sz w:val="13"/>
                <w:szCs w:val="13"/>
                <w:color w:val="auto"/>
              </w:rPr>
              <w:t>Net change in unrealized depreciation reported within the net change in unrealized</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on investments in our Consolidated Statements of Operations</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29,959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85,913</w:t>
            </w:r>
          </w:p>
        </w:tc>
        <w:tc>
          <w:tcPr>
            <w:tcW w:w="240" w:type="dxa"/>
            <w:vAlign w:val="bottom"/>
          </w:tcPr>
          <w:p>
            <w:pPr>
              <w:spacing w:after="0"/>
              <w:rPr>
                <w:sz w:val="12"/>
                <w:szCs w:val="12"/>
                <w:color w:val="auto"/>
              </w:rPr>
            </w:pPr>
          </w:p>
        </w:tc>
        <w:tc>
          <w:tcPr>
            <w:tcW w:w="3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115,872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400" w:type="dxa"/>
            <w:vAlign w:val="bottom"/>
            <w:gridSpan w:val="3"/>
          </w:tcPr>
          <w:p>
            <w:pPr>
              <w:ind w:left="120"/>
              <w:spacing w:after="0" w:line="158" w:lineRule="exact"/>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22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-1928495</wp:posOffset>
            </wp:positionV>
            <wp:extent cx="2168525" cy="3346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68525" cy="3346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-333375</wp:posOffset>
            </wp:positionV>
            <wp:extent cx="2177415" cy="3340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77415" cy="334010"/>
                    </a:xfrm>
                    <a:prstGeom prst="rect">
                      <a:avLst/>
                    </a:prstGeom>
                    <a:noFill/>
                  </pic:spPr>
                </pic:pic>
              </a:graphicData>
            </a:graphic>
          </wp:anchor>
        </w:drawing>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table below shows a reconciliation of the beginning and ending balances for liabilities measured at fair value using significant unobservable inputs (Level 3) ($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Credit Facility</w:t>
            </w:r>
          </w:p>
        </w:tc>
        <w:tc>
          <w:tcPr>
            <w:tcW w:w="340" w:type="dxa"/>
            <w:vAlign w:val="bottom"/>
          </w:tcPr>
          <w:p>
            <w:pPr>
              <w:spacing w:after="0"/>
              <w:rPr>
                <w:sz w:val="16"/>
                <w:szCs w:val="16"/>
                <w:color w:val="auto"/>
              </w:rPr>
            </w:pPr>
          </w:p>
        </w:tc>
        <w:tc>
          <w:tcPr>
            <w:tcW w:w="312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0" w:type="dxa"/>
            <w:vAlign w:val="bottom"/>
          </w:tcPr>
          <w:p>
            <w:pPr>
              <w:spacing w:after="0"/>
              <w:rPr>
                <w:sz w:val="1"/>
                <w:szCs w:val="1"/>
                <w:color w:val="auto"/>
              </w:rPr>
            </w:pPr>
          </w:p>
        </w:tc>
      </w:tr>
      <w:tr>
        <w:trPr>
          <w:trHeight w:val="169"/>
        </w:trPr>
        <w:tc>
          <w:tcPr>
            <w:tcW w:w="7780" w:type="dxa"/>
            <w:vAlign w:val="bottom"/>
            <w:gridSpan w:val="2"/>
            <w:vMerge w:val="continue"/>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8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Beginning Balance (cost – $316,545 and $388,252, respectively)</w:t>
            </w:r>
          </w:p>
        </w:tc>
        <w:tc>
          <w:tcPr>
            <w:tcW w:w="200" w:type="dxa"/>
            <w:vAlign w:val="bottom"/>
            <w:shd w:val="clear" w:color="auto" w:fill="CCECFF"/>
          </w:tcPr>
          <w:p>
            <w:pPr>
              <w:spacing w:after="0"/>
              <w:rPr>
                <w:sz w:val="14"/>
                <w:szCs w:val="14"/>
                <w:color w:val="auto"/>
              </w:rPr>
            </w:pPr>
          </w:p>
        </w:tc>
        <w:tc>
          <w:tcPr>
            <w:tcW w:w="340" w:type="dxa"/>
            <w:vAlign w:val="bottom"/>
            <w:tcBorders>
              <w:top w:val="single" w:sz="8" w:color="auto"/>
            </w:tcBorders>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280" w:type="dxa"/>
            <w:vAlign w:val="bottom"/>
            <w:shd w:val="clear" w:color="auto" w:fill="CCECFF"/>
          </w:tcPr>
          <w:p>
            <w:pPr>
              <w:spacing w:after="0"/>
              <w:rPr>
                <w:sz w:val="14"/>
                <w:szCs w:val="14"/>
                <w:color w:val="auto"/>
              </w:rPr>
            </w:pPr>
          </w:p>
        </w:tc>
        <w:tc>
          <w:tcPr>
            <w:tcW w:w="360" w:type="dxa"/>
            <w:vAlign w:val="bottom"/>
            <w:tcBorders>
              <w:top w:val="single" w:sz="8" w:color="auto"/>
            </w:tcBorders>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360,702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Net change in unrealized (depreciation) appreciation included in earnings</w:t>
            </w:r>
          </w:p>
        </w:tc>
        <w:tc>
          <w:tcPr>
            <w:tcW w:w="34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(7,501 )</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gridSpan w:val="2"/>
            <w:shd w:val="clear" w:color="auto" w:fill="CCECFF"/>
          </w:tcPr>
          <w:p>
            <w:pPr>
              <w:ind w:left="380"/>
              <w:spacing w:after="0" w:line="175" w:lineRule="exact"/>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9"/>
                <w:szCs w:val="19"/>
                <w:color w:val="auto"/>
                <w:vertAlign w:val="superscript"/>
              </w:rPr>
              <w:t>(1)</w:t>
            </w:r>
          </w:p>
        </w:tc>
        <w:tc>
          <w:tcPr>
            <w:tcW w:w="340" w:type="dxa"/>
            <w:vAlign w:val="bottom"/>
            <w:shd w:val="clear" w:color="auto" w:fill="CCECFF"/>
          </w:tcPr>
          <w:p>
            <w:pPr>
              <w:spacing w:after="0"/>
              <w:rPr>
                <w:sz w:val="15"/>
                <w:szCs w:val="15"/>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860,841</w:t>
            </w:r>
          </w:p>
        </w:tc>
        <w:tc>
          <w:tcPr>
            <w:tcW w:w="28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310,312</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80" w:type="dxa"/>
            <w:vAlign w:val="bottom"/>
            <w:gridSpan w:val="2"/>
          </w:tcPr>
          <w:p>
            <w:pPr>
              <w:ind w:left="380"/>
              <w:spacing w:after="0" w:line="175" w:lineRule="exact"/>
              <w:rPr>
                <w:sz w:val="20"/>
                <w:szCs w:val="20"/>
                <w:color w:val="auto"/>
              </w:rPr>
            </w:pPr>
            <w:r>
              <w:rPr>
                <w:rFonts w:ascii="Times New Roman" w:cs="Times New Roman" w:eastAsia="Times New Roman" w:hAnsi="Times New Roman"/>
                <w:sz w:val="14"/>
                <w:szCs w:val="14"/>
                <w:color w:val="auto"/>
              </w:rPr>
              <w:t xml:space="preserve">Repayments </w:t>
            </w:r>
            <w:r>
              <w:rPr>
                <w:rFonts w:ascii="Times New Roman" w:cs="Times New Roman" w:eastAsia="Times New Roman" w:hAnsi="Times New Roman"/>
                <w:sz w:val="19"/>
                <w:szCs w:val="19"/>
                <w:color w:val="auto"/>
                <w:vertAlign w:val="superscript"/>
              </w:rPr>
              <w:t>(1)</w:t>
            </w:r>
          </w:p>
        </w:tc>
        <w:tc>
          <w:tcPr>
            <w:tcW w:w="340" w:type="dxa"/>
            <w:vAlign w:val="bottom"/>
          </w:tcPr>
          <w:p>
            <w:pPr>
              <w:spacing w:after="0"/>
              <w:rPr>
                <w:sz w:val="15"/>
                <w:szCs w:val="15"/>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(791,466 )</w:t>
            </w:r>
          </w:p>
        </w:tc>
        <w:tc>
          <w:tcPr>
            <w:tcW w:w="36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(374,019 )</w:t>
            </w:r>
          </w:p>
        </w:tc>
        <w:tc>
          <w:tcPr>
            <w:tcW w:w="0" w:type="dxa"/>
            <w:vAlign w:val="bottom"/>
          </w:tcPr>
          <w:p>
            <w:pPr>
              <w:spacing w:after="0"/>
              <w:rPr>
                <w:sz w:val="1"/>
                <w:szCs w:val="1"/>
                <w:color w:val="auto"/>
              </w:rPr>
            </w:pPr>
          </w:p>
        </w:tc>
      </w:tr>
      <w:tr>
        <w:trPr>
          <w:trHeight w:val="175"/>
        </w:trPr>
        <w:tc>
          <w:tcPr>
            <w:tcW w:w="778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34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 (cost – $385,920 and $316,545, respectively)</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376,687</w:t>
            </w:r>
          </w:p>
        </w:tc>
        <w:tc>
          <w:tcPr>
            <w:tcW w:w="280" w:type="dxa"/>
            <w:vAlign w:val="bottom"/>
            <w:tcBorders>
              <w:top w:val="single" w:sz="8" w:color="CCECFF"/>
            </w:tcBorders>
          </w:tcPr>
          <w:p>
            <w:pPr>
              <w:spacing w:after="0"/>
              <w:rPr>
                <w:sz w:val="14"/>
                <w:szCs w:val="14"/>
                <w:color w:val="auto"/>
              </w:rPr>
            </w:pPr>
          </w:p>
        </w:tc>
        <w:tc>
          <w:tcPr>
            <w:tcW w:w="3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80" w:type="dxa"/>
            <w:vAlign w:val="bottom"/>
            <w:gridSpan w:val="2"/>
            <w:shd w:val="clear" w:color="auto" w:fill="CCECFF"/>
          </w:tcPr>
          <w:p>
            <w:pPr>
              <w:ind w:left="380"/>
              <w:spacing w:after="0"/>
              <w:rPr>
                <w:sz w:val="20"/>
                <w:szCs w:val="20"/>
                <w:color w:val="auto"/>
              </w:rPr>
            </w:pPr>
            <w:r>
              <w:rPr>
                <w:rFonts w:ascii="Times New Roman" w:cs="Times New Roman" w:eastAsia="Times New Roman" w:hAnsi="Times New Roman"/>
                <w:sz w:val="14"/>
                <w:szCs w:val="14"/>
                <w:color w:val="auto"/>
              </w:rPr>
              <w:t>Temporary draws outstanding, at cost</w:t>
            </w:r>
          </w:p>
        </w:tc>
        <w:tc>
          <w:tcPr>
            <w:tcW w:w="340" w:type="dxa"/>
            <w:vAlign w:val="bottom"/>
            <w:shd w:val="clear" w:color="auto" w:fill="CCECFF"/>
          </w:tcPr>
          <w:p>
            <w:pPr>
              <w:spacing w:after="0"/>
              <w:rPr>
                <w:sz w:val="15"/>
                <w:szCs w:val="15"/>
                <w:color w:val="auto"/>
              </w:rPr>
            </w:pPr>
          </w:p>
        </w:tc>
        <w:tc>
          <w:tcPr>
            <w:tcW w:w="146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CFF"/>
          </w:tcPr>
          <w:p>
            <w:pPr>
              <w:spacing w:after="0"/>
              <w:rPr>
                <w:sz w:val="15"/>
                <w:szCs w:val="15"/>
                <w:color w:val="auto"/>
              </w:rPr>
            </w:pPr>
          </w:p>
        </w:tc>
        <w:tc>
          <w:tcPr>
            <w:tcW w:w="13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80" w:type="dxa"/>
            <w:vAlign w:val="bottom"/>
            <w:tcBorders>
              <w:top w:val="single" w:sz="8" w:color="CCEC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 (cost – $385,920 and $316,545, respectively)</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376,687</w:t>
            </w:r>
          </w:p>
        </w:tc>
        <w:tc>
          <w:tcPr>
            <w:tcW w:w="280" w:type="dxa"/>
            <w:vAlign w:val="bottom"/>
            <w:tcBorders>
              <w:top w:val="single" w:sz="8" w:color="CCEC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314,813</w:t>
            </w:r>
          </w:p>
        </w:tc>
        <w:tc>
          <w:tcPr>
            <w:tcW w:w="100" w:type="dxa"/>
            <w:vAlign w:val="bottom"/>
            <w:tcBorders>
              <w:top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-376555</wp:posOffset>
            </wp:positionV>
            <wp:extent cx="68580" cy="1200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1200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-145415</wp:posOffset>
            </wp:positionV>
            <wp:extent cx="68580" cy="1460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1912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95" w:lineRule="exact"/>
        <w:rPr>
          <w:sz w:val="20"/>
          <w:szCs w:val="20"/>
          <w:color w:val="auto"/>
        </w:rPr>
      </w:pPr>
    </w:p>
    <w:p>
      <w:pPr>
        <w:ind w:left="380" w:hanging="372"/>
        <w:spacing w:after="0"/>
        <w:tabs>
          <w:tab w:leader="none" w:pos="380" w:val="left"/>
        </w:tabs>
        <w:numPr>
          <w:ilvl w:val="0"/>
          <w:numId w:val="78"/>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Excludes temporary draws.</w:t>
      </w:r>
    </w:p>
    <w:p>
      <w:pPr>
        <w:spacing w:after="0" w:line="186" w:lineRule="exact"/>
        <w:rPr>
          <w:sz w:val="20"/>
          <w:szCs w:val="20"/>
          <w:color w:val="auto"/>
        </w:rPr>
      </w:pPr>
    </w:p>
    <w:p>
      <w:pPr>
        <w:ind w:right="660" w:firstLine="449"/>
        <w:spacing w:after="0" w:line="282" w:lineRule="auto"/>
        <w:rPr>
          <w:sz w:val="20"/>
          <w:szCs w:val="20"/>
          <w:color w:val="auto"/>
        </w:rPr>
      </w:pPr>
      <w:r>
        <w:rPr>
          <w:rFonts w:ascii="Times New Roman" w:cs="Times New Roman" w:eastAsia="Times New Roman" w:hAnsi="Times New Roman"/>
          <w:sz w:val="14"/>
          <w:szCs w:val="14"/>
          <w:color w:val="auto"/>
        </w:rPr>
        <w:t>As of September 30, 2022, we had outstanding non-U.S. dollar borrowings on our Truist Credit Facility. Net change in fair value on foreign currency translation on outstanding borrowings is listed below (£ and $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69"/>
        </w:trPr>
        <w:tc>
          <w:tcPr>
            <w:tcW w:w="192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32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49,420</w:t>
            </w:r>
          </w:p>
        </w:tc>
        <w:tc>
          <w:tcPr>
            <w:tcW w:w="28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40,187</w:t>
            </w:r>
          </w:p>
        </w:tc>
        <w:tc>
          <w:tcPr>
            <w:tcW w:w="280" w:type="dxa"/>
            <w:vAlign w:val="bottom"/>
            <w:shd w:val="clear" w:color="auto" w:fill="CCECFF"/>
          </w:tcPr>
          <w:p>
            <w:pPr>
              <w:spacing w:after="0"/>
              <w:rPr>
                <w:sz w:val="14"/>
                <w:szCs w:val="14"/>
                <w:color w:val="auto"/>
              </w:rPr>
            </w:pPr>
          </w:p>
        </w:tc>
        <w:tc>
          <w:tcPr>
            <w:tcW w:w="168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December 31, 2022</w:t>
            </w:r>
          </w:p>
        </w:tc>
        <w:tc>
          <w:tcPr>
            <w:tcW w:w="1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(9,233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180" w:lineRule="exact"/>
        <w:rPr>
          <w:sz w:val="20"/>
          <w:szCs w:val="20"/>
          <w:color w:val="auto"/>
        </w:rPr>
      </w:pPr>
    </w:p>
    <w:p>
      <w:pPr>
        <w:ind w:right="660" w:firstLine="449"/>
        <w:spacing w:after="0" w:line="302" w:lineRule="auto"/>
        <w:rPr>
          <w:sz w:val="20"/>
          <w:szCs w:val="20"/>
          <w:color w:val="auto"/>
        </w:rPr>
      </w:pPr>
      <w:r>
        <w:rPr>
          <w:rFonts w:ascii="Times New Roman" w:cs="Times New Roman" w:eastAsia="Times New Roman" w:hAnsi="Times New Roman"/>
          <w:sz w:val="14"/>
          <w:szCs w:val="14"/>
          <w:color w:val="auto"/>
        </w:rPr>
        <w:t>As of September 30, 2021, we had outstanding non-U.S. dollar borrowings on our Truist Credit Facility. Net change in fair value on foreign currency translation on outstanding borrowings is listed below (£ and $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28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69"/>
        </w:trPr>
        <w:tc>
          <w:tcPr>
            <w:tcW w:w="190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shd w:val="clear" w:color="auto" w:fill="CCECFF"/>
          </w:tcPr>
          <w:p>
            <w:pPr>
              <w:spacing w:after="0"/>
              <w:rPr>
                <w:sz w:val="14"/>
                <w:szCs w:val="14"/>
                <w:color w:val="auto"/>
              </w:rPr>
            </w:pPr>
          </w:p>
        </w:tc>
        <w:tc>
          <w:tcPr>
            <w:tcW w:w="1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29,000</w:t>
            </w:r>
          </w:p>
        </w:tc>
        <w:tc>
          <w:tcPr>
            <w:tcW w:w="320" w:type="dxa"/>
            <w:vAlign w:val="bottom"/>
            <w:shd w:val="clear" w:color="auto" w:fill="CCECFF"/>
          </w:tcPr>
          <w:p>
            <w:pPr>
              <w:spacing w:after="0"/>
              <w:rPr>
                <w:sz w:val="14"/>
                <w:szCs w:val="14"/>
                <w:color w:val="auto"/>
              </w:rPr>
            </w:pPr>
          </w:p>
        </w:tc>
        <w:tc>
          <w:tcPr>
            <w:tcW w:w="20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40,045</w:t>
            </w:r>
          </w:p>
        </w:tc>
        <w:tc>
          <w:tcPr>
            <w:tcW w:w="28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39,102</w:t>
            </w:r>
          </w:p>
        </w:tc>
        <w:tc>
          <w:tcPr>
            <w:tcW w:w="280" w:type="dxa"/>
            <w:vAlign w:val="bottom"/>
            <w:shd w:val="clear" w:color="auto" w:fill="CCECFF"/>
          </w:tcPr>
          <w:p>
            <w:pPr>
              <w:spacing w:after="0"/>
              <w:rPr>
                <w:sz w:val="14"/>
                <w:szCs w:val="14"/>
                <w:color w:val="auto"/>
              </w:rPr>
            </w:pPr>
          </w:p>
        </w:tc>
        <w:tc>
          <w:tcPr>
            <w:tcW w:w="1660" w:type="dxa"/>
            <w:vAlign w:val="bottom"/>
            <w:tcBorders>
              <w:top w:val="single" w:sz="8" w:color="auto"/>
            </w:tcBorders>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December 17, 2021</w:t>
            </w:r>
          </w:p>
        </w:tc>
        <w:tc>
          <w:tcPr>
            <w:tcW w:w="18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bl>
    <w:p>
      <w:pPr>
        <w:spacing w:after="0" w:line="180" w:lineRule="exact"/>
        <w:rPr>
          <w:sz w:val="20"/>
          <w:szCs w:val="20"/>
          <w:color w:val="auto"/>
        </w:rPr>
      </w:pPr>
    </w:p>
    <w:p>
      <w:pPr>
        <w:ind w:right="80" w:firstLine="449"/>
        <w:spacing w:after="0" w:line="302"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w:t>
      </w:r>
    </w:p>
    <w:p>
      <w:pPr>
        <w:sectPr>
          <w:pgSz w:w="11900" w:h="16838" w:orient="portrait"/>
          <w:cols w:equalWidth="0" w:num="1">
            <w:col w:w="11240"/>
          </w:cols>
          <w:pgMar w:left="320" w:top="114"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8" w:name="page89"/>
    <w:bookmarkEnd w:id="88"/>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apply ASC 825-10 to our Truist Credit Facility. We elected to use the fair value option for the Truist Credit Facility to align the measurement attributes of both our assets and liabilities while mitigating volatility in earnings from using different measurement attributes. Due to that election and in accordance with GAAP, we incurred expenses of $5.1 million, zero, and zero relating to amendment costs on the Truist Credit Facility during the years ended September 30, 2022, 2021, and 2020,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Truist Credit Facility are reported in our Consolidated Statements of Operations. We did not elect to apply ASC 825-10 to any other financial assets or liabilities, including the 2024 Notes, the 2026 Notes, the 2026 Notes-2 and the SBA debentures.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For the year ended September 30, 2022, the Truist Credit Facility had a net change in unrealized depreciation of $7.5 million. For the year ended September 30, 2021 and 2020, the Truist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Facility had a net change in unrealized appreciation of $17.8 million, For the year ended September 30, 2020, the Truist Credit Facility had a net change in unrealized depreciation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$12.3 million. As of September 30, 2022, the net unrealized depreciation on Truist Credit Facility totaled $9.2 million. As of September 30, 2021, the net unrealized depreciation on Truist Credit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Facility totaled $1.7 million. We use an independent valuation service to measure the fair value of our Truist Credit Facility in a manner consistent with the valuation process that our board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directors uses to value our investments.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152" w:lineRule="exact"/>
        <w:rPr>
          <w:sz w:val="20"/>
          <w:szCs w:val="20"/>
          <w:color w:val="auto"/>
        </w:rPr>
      </w:pPr>
    </w:p>
    <w:p>
      <w:pPr>
        <w:ind w:right="420" w:firstLine="449"/>
        <w:spacing w:after="0" w:line="27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2022 were as follows ($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2"/>
              </w:rPr>
              <w:t>Net</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restart"/>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Net Change in</w:t>
            </w:r>
          </w:p>
        </w:tc>
        <w:tc>
          <w:tcPr>
            <w:tcW w:w="140" w:type="dxa"/>
            <w:vAlign w:val="bottom"/>
          </w:tcPr>
          <w:p>
            <w:pPr>
              <w:spacing w:after="0"/>
              <w:rPr>
                <w:sz w:val="11"/>
                <w:szCs w:val="11"/>
                <w:color w:val="auto"/>
              </w:rPr>
            </w:pPr>
          </w:p>
        </w:tc>
        <w:tc>
          <w:tcPr>
            <w:tcW w:w="98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Fair Value at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2"/>
              </w:rPr>
              <w:t>Interest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PIK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0"/>
              </w:rPr>
              <w:t>Dividend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Realized</w:t>
            </w:r>
          </w:p>
        </w:tc>
        <w:tc>
          <w:tcPr>
            <w:tcW w:w="0" w:type="dxa"/>
            <w:vAlign w:val="bottom"/>
          </w:tcPr>
          <w:p>
            <w:pPr>
              <w:spacing w:after="0"/>
              <w:rPr>
                <w:sz w:val="1"/>
                <w:szCs w:val="1"/>
                <w:color w:val="auto"/>
              </w:rPr>
            </w:pPr>
          </w:p>
        </w:tc>
      </w:tr>
      <w:tr>
        <w:trPr>
          <w:trHeight w:val="128"/>
        </w:trPr>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2"/>
              </w:rPr>
              <w:t>Appreciation /</w:t>
            </w:r>
          </w:p>
        </w:tc>
        <w:tc>
          <w:tcPr>
            <w:tcW w:w="1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138"/>
              <w:spacing w:after="0" w:line="128" w:lineRule="exact"/>
              <w:rPr>
                <w:sz w:val="20"/>
                <w:szCs w:val="20"/>
                <w:color w:val="auto"/>
              </w:rPr>
            </w:pPr>
            <w:r>
              <w:rPr>
                <w:rFonts w:ascii="Times New Roman" w:cs="Times New Roman" w:eastAsia="Times New Roman" w:hAnsi="Times New Roman"/>
                <w:sz w:val="13"/>
                <w:szCs w:val="13"/>
                <w:b w:val="1"/>
                <w:bCs w:val="1"/>
                <w:color w:val="auto"/>
                <w:w w:val="92"/>
              </w:rPr>
              <w:t>Gains</w:t>
            </w:r>
          </w:p>
        </w:tc>
        <w:tc>
          <w:tcPr>
            <w:tcW w:w="0" w:type="dxa"/>
            <w:vAlign w:val="bottom"/>
          </w:tcPr>
          <w:p>
            <w:pPr>
              <w:spacing w:after="0"/>
              <w:rPr>
                <w:sz w:val="1"/>
                <w:szCs w:val="1"/>
                <w:color w:val="auto"/>
              </w:rPr>
            </w:pPr>
          </w:p>
        </w:tc>
      </w:tr>
      <w:tr>
        <w:trPr>
          <w:trHeight w:val="175"/>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of Investment</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September 30, 2021</w:t>
            </w:r>
          </w:p>
        </w:tc>
        <w:tc>
          <w:tcPr>
            <w:tcW w:w="260" w:type="dxa"/>
            <w:vAlign w:val="bottom"/>
          </w:tcPr>
          <w:p>
            <w:pPr>
              <w:spacing w:after="0"/>
              <w:rPr>
                <w:sz w:val="15"/>
                <w:szCs w:val="15"/>
                <w:color w:val="auto"/>
              </w:rPr>
            </w:pPr>
          </w:p>
        </w:tc>
        <w:tc>
          <w:tcPr>
            <w:tcW w:w="74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3"/>
                <w:szCs w:val="13"/>
                <w:b w:val="1"/>
                <w:bCs w:val="1"/>
                <w:color w:val="auto"/>
                <w:w w:val="98"/>
              </w:rPr>
              <w:t>Additions</w:t>
            </w:r>
            <w:r>
              <w:rPr>
                <w:rFonts w:ascii="Times New Roman" w:cs="Times New Roman" w:eastAsia="Times New Roman" w:hAnsi="Times New Roman"/>
                <w:sz w:val="16"/>
                <w:szCs w:val="16"/>
                <w:b w:val="1"/>
                <w:bCs w:val="1"/>
                <w:color w:val="auto"/>
                <w:w w:val="98"/>
                <w:vertAlign w:val="superscript"/>
              </w:rPr>
              <w:t>(1)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w w:val="99"/>
              </w:rPr>
              <w:t>Reductions</w:t>
            </w:r>
          </w:p>
        </w:tc>
        <w:tc>
          <w:tcPr>
            <w:tcW w:w="80" w:type="dxa"/>
            <w:vAlign w:val="bottom"/>
          </w:tcPr>
          <w:p>
            <w:pPr>
              <w:spacing w:after="0"/>
              <w:rPr>
                <w:sz w:val="15"/>
                <w:szCs w:val="15"/>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4"/>
              </w:rPr>
              <w:t>(Depreciation)</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September 30, 2022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5"/>
                <w:szCs w:val="15"/>
                <w:color w:val="auto"/>
              </w:rPr>
            </w:pP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w w:val="93"/>
              </w:rPr>
              <w:t>(Losses)</w:t>
            </w:r>
          </w:p>
        </w:tc>
        <w:tc>
          <w:tcPr>
            <w:tcW w:w="0" w:type="dxa"/>
            <w:vAlign w:val="bottom"/>
          </w:tcPr>
          <w:p>
            <w:pPr>
              <w:spacing w:after="0"/>
              <w:rPr>
                <w:sz w:val="1"/>
                <w:szCs w:val="1"/>
                <w:color w:val="auto"/>
              </w:rPr>
            </w:pPr>
          </w:p>
        </w:tc>
      </w:tr>
      <w:tr>
        <w:trPr>
          <w:trHeight w:val="156"/>
        </w:trPr>
        <w:tc>
          <w:tcPr>
            <w:tcW w:w="19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3"/>
                <w:szCs w:val="13"/>
                <w:b w:val="1"/>
                <w:bCs w:val="1"/>
                <w:color w:val="auto"/>
              </w:rPr>
              <w:t>Controlled Affiliates</w:t>
            </w:r>
          </w:p>
        </w:tc>
        <w:tc>
          <w:tcPr>
            <w:tcW w:w="120" w:type="dxa"/>
            <w:vAlign w:val="bottom"/>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600" w:type="dxa"/>
            <w:vAlign w:val="bottom"/>
            <w:tcBorders>
              <w:top w:val="single" w:sz="8" w:color="auto"/>
            </w:tcBorders>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52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560" w:type="dxa"/>
            <w:vAlign w:val="bottom"/>
            <w:tcBorders>
              <w:top w:val="single" w:sz="8" w:color="auto"/>
            </w:tcBorders>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AKW Holdings Limited</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41,379</w:t>
            </w:r>
          </w:p>
        </w:tc>
        <w:tc>
          <w:tcPr>
            <w:tcW w:w="400" w:type="dxa"/>
            <w:vAlign w:val="bottom"/>
            <w:gridSpan w:val="2"/>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10,403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(5,787 )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3,512</w:t>
            </w:r>
          </w:p>
        </w:tc>
        <w:tc>
          <w:tcPr>
            <w:tcW w:w="3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Mailsouth Inc.</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22,100</w:t>
            </w:r>
          </w:p>
        </w:tc>
        <w:tc>
          <w:tcPr>
            <w:tcW w:w="2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1,296</w:t>
            </w: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(23,396 )</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1,309</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gridSpan w:val="2"/>
            <w:shd w:val="clear" w:color="auto" w:fill="CCECFF"/>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9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w w:val="97"/>
              </w:rPr>
              <w:t>PennantPark Senior Loan Fund, LLC</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105,314</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39,325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(5,530 )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139,109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1940" w:type="dxa"/>
            <w:vAlign w:val="bottom"/>
            <w:shd w:val="clear" w:color="auto" w:fill="CCECFF"/>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PT Networks, LLC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134,125</w:t>
            </w:r>
          </w:p>
        </w:tc>
        <w:tc>
          <w:tcPr>
            <w:tcW w:w="2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9,917</w:t>
            </w: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17"/>
              <w:spacing w:after="0"/>
              <w:rPr>
                <w:sz w:val="20"/>
                <w:szCs w:val="20"/>
                <w:color w:val="auto"/>
              </w:rPr>
            </w:pPr>
            <w:r>
              <w:rPr>
                <w:rFonts w:ascii="Times New Roman" w:cs="Times New Roman" w:eastAsia="Times New Roman" w:hAnsi="Times New Roman"/>
                <w:sz w:val="13"/>
                <w:szCs w:val="13"/>
                <w:color w:val="auto"/>
              </w:rPr>
              <w:t>(234,974 )</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90,932</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2,674</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140,898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RAM Energy LLC</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81,710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(7,428 )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194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Total Controlled Affiliates</w:t>
            </w:r>
          </w:p>
        </w:tc>
        <w:tc>
          <w:tcPr>
            <w:tcW w:w="1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384,628</w:t>
            </w:r>
          </w:p>
        </w:tc>
        <w:tc>
          <w:tcPr>
            <w:tcW w:w="2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60,941</w:t>
            </w:r>
          </w:p>
        </w:tc>
        <w:tc>
          <w:tcPr>
            <w:tcW w:w="2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(234,974</w:t>
            </w:r>
          </w:p>
        </w:tc>
        <w:tc>
          <w:tcPr>
            <w:tcW w:w="240" w:type="dxa"/>
            <w:vAlign w:val="bottom"/>
            <w:tcBorders>
              <w:bottom w:val="single" w:sz="8" w:color="CCECFF"/>
            </w:tcBorders>
            <w:shd w:val="clear" w:color="auto" w:fill="CCEC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48,791</w:t>
            </w:r>
          </w:p>
        </w:tc>
        <w:tc>
          <w:tcPr>
            <w:tcW w:w="2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259,386</w:t>
            </w: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10,586</w:t>
            </w: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3,983</w:t>
            </w: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9,075</w:t>
            </w: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140,898</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Non-Controlled Affiliates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40" w:type="dxa"/>
            <w:vAlign w:val="bottom"/>
            <w:shd w:val="clear" w:color="auto" w:fill="CCECFF"/>
          </w:tcPr>
          <w:p>
            <w:pPr>
              <w:ind w:left="20"/>
              <w:spacing w:after="0" w:line="108" w:lineRule="exact"/>
              <w:rPr>
                <w:sz w:val="20"/>
                <w:szCs w:val="20"/>
                <w:color w:val="auto"/>
              </w:rPr>
            </w:pPr>
            <w:r>
              <w:rPr>
                <w:rFonts w:ascii="Times New Roman" w:cs="Times New Roman" w:eastAsia="Times New Roman" w:hAnsi="Times New Roman"/>
                <w:sz w:val="12"/>
                <w:szCs w:val="12"/>
                <w:color w:val="auto"/>
              </w:rPr>
              <w:t>Cascade Environmental Holdings,</w:t>
            </w:r>
          </w:p>
        </w:tc>
        <w:tc>
          <w:tcPr>
            <w:tcW w:w="1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100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60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8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8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40" w:type="dxa"/>
            <w:vAlign w:val="bottom"/>
            <w:shd w:val="clear" w:color="auto" w:fill="CCECFF"/>
          </w:tcPr>
          <w:p>
            <w:pPr>
              <w:spacing w:after="0"/>
              <w:rPr>
                <w:sz w:val="9"/>
                <w:szCs w:val="9"/>
                <w:color w:val="auto"/>
              </w:rPr>
            </w:pPr>
          </w:p>
        </w:tc>
        <w:tc>
          <w:tcPr>
            <w:tcW w:w="98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52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3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56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58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CECFF"/>
          </w:tcPr>
          <w:p>
            <w:pPr>
              <w:ind w:left="20"/>
              <w:spacing w:after="0" w:line="189" w:lineRule="exact"/>
              <w:rPr>
                <w:sz w:val="20"/>
                <w:szCs w:val="20"/>
                <w:color w:val="auto"/>
              </w:rPr>
            </w:pPr>
            <w:r>
              <w:rPr>
                <w:rFonts w:ascii="Times New Roman" w:cs="Times New Roman" w:eastAsia="Times New Roman" w:hAnsi="Times New Roman"/>
                <w:sz w:val="21"/>
                <w:szCs w:val="21"/>
                <w:color w:val="auto"/>
                <w:vertAlign w:val="subscript"/>
              </w:rPr>
              <w:t>LLC</w:t>
            </w:r>
            <w:r>
              <w:rPr>
                <w:rFonts w:ascii="Times New Roman" w:cs="Times New Roman" w:eastAsia="Times New Roman" w:hAnsi="Times New Roman"/>
                <w:sz w:val="8"/>
                <w:szCs w:val="8"/>
                <w:color w:val="auto"/>
              </w:rPr>
              <w:t xml:space="preserve"> (2)</w:t>
            </w:r>
          </w:p>
        </w:tc>
        <w:tc>
          <w:tcPr>
            <w:tcW w:w="26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64,292</w:t>
            </w:r>
          </w:p>
        </w:tc>
        <w:tc>
          <w:tcPr>
            <w:tcW w:w="400" w:type="dxa"/>
            <w:vAlign w:val="bottom"/>
            <w:gridSpan w:val="2"/>
            <w:shd w:val="clear" w:color="auto" w:fill="CCECFF"/>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34,201</w:t>
            </w:r>
          </w:p>
        </w:tc>
        <w:tc>
          <w:tcPr>
            <w:tcW w:w="3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CFF"/>
          </w:tcPr>
          <w:p>
            <w:pPr>
              <w:jc w:val="right"/>
              <w:ind w:right="117"/>
              <w:spacing w:after="0"/>
              <w:rPr>
                <w:sz w:val="20"/>
                <w:szCs w:val="20"/>
                <w:color w:val="auto"/>
              </w:rPr>
            </w:pPr>
            <w:r>
              <w:rPr>
                <w:rFonts w:ascii="Times New Roman" w:cs="Times New Roman" w:eastAsia="Times New Roman" w:hAnsi="Times New Roman"/>
                <w:sz w:val="13"/>
                <w:szCs w:val="13"/>
                <w:color w:val="auto"/>
              </w:rPr>
              <w:t>(61,168 )</w:t>
            </w:r>
          </w:p>
        </w:tc>
        <w:tc>
          <w:tcPr>
            <w:tcW w:w="80" w:type="dxa"/>
            <w:vAlign w:val="bottom"/>
            <w:shd w:val="clear" w:color="auto" w:fill="CCECFF"/>
          </w:tcPr>
          <w:p>
            <w:pPr>
              <w:spacing w:after="0"/>
              <w:rPr>
                <w:sz w:val="16"/>
                <w:szCs w:val="16"/>
                <w:color w:val="auto"/>
              </w:rPr>
            </w:pPr>
          </w:p>
        </w:tc>
        <w:tc>
          <w:tcPr>
            <w:tcW w:w="106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3"/>
                <w:szCs w:val="13"/>
                <w:color w:val="auto"/>
              </w:rPr>
              <w:t>(4,534 )</w:t>
            </w: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32,791</w:t>
            </w:r>
          </w:p>
        </w:tc>
        <w:tc>
          <w:tcPr>
            <w:tcW w:w="3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32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CFF"/>
          </w:tcPr>
          <w:p>
            <w:pPr>
              <w:jc w:val="right"/>
              <w:ind w:right="18"/>
              <w:spacing w:after="0"/>
              <w:rPr>
                <w:sz w:val="20"/>
                <w:szCs w:val="20"/>
                <w:color w:val="auto"/>
              </w:rPr>
            </w:pPr>
            <w:r>
              <w:rPr>
                <w:rFonts w:ascii="Times New Roman" w:cs="Times New Roman" w:eastAsia="Times New Roman" w:hAnsi="Times New Roman"/>
                <w:sz w:val="13"/>
                <w:szCs w:val="13"/>
                <w:color w:val="auto"/>
              </w:rPr>
              <w:t>(28,208 )</w:t>
            </w: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ETX Energy, LLC</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(38,541 )</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38,541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(37,447 )</w:t>
            </w:r>
          </w:p>
        </w:tc>
        <w:tc>
          <w:tcPr>
            <w:tcW w:w="0" w:type="dxa"/>
            <w:vAlign w:val="bottom"/>
          </w:tcPr>
          <w:p>
            <w:pPr>
              <w:spacing w:after="0"/>
              <w:rPr>
                <w:sz w:val="1"/>
                <w:szCs w:val="1"/>
                <w:color w:val="auto"/>
              </w:rPr>
            </w:pPr>
          </w:p>
        </w:tc>
      </w:tr>
      <w:tr>
        <w:trPr>
          <w:trHeight w:val="162"/>
        </w:trPr>
        <w:tc>
          <w:tcPr>
            <w:tcW w:w="19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rPr>
              <w:t>JF International</w:t>
            </w:r>
          </w:p>
        </w:tc>
        <w:tc>
          <w:tcPr>
            <w:tcW w:w="1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2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5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80" w:type="dxa"/>
            <w:vAlign w:val="bottom"/>
            <w:gridSpan w:val="2"/>
            <w:shd w:val="clear" w:color="auto" w:fill="CCECFF"/>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9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MidOcean JF Holdings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50,161</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(40,182 )</w:t>
            </w:r>
          </w:p>
        </w:tc>
        <w:tc>
          <w:tcPr>
            <w:tcW w:w="8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(9,979 )</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Corp.</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40" w:type="dxa"/>
            <w:vAlign w:val="bottom"/>
            <w:tcBorders>
              <w:bottom w:val="single" w:sz="8" w:color="CCECFF"/>
            </w:tcBorders>
            <w:shd w:val="clear" w:color="auto" w:fill="CCECFF"/>
          </w:tcPr>
          <w:p>
            <w:pPr>
              <w:ind w:left="120"/>
              <w:spacing w:after="0"/>
              <w:rPr>
                <w:sz w:val="20"/>
                <w:szCs w:val="20"/>
                <w:color w:val="auto"/>
              </w:rPr>
            </w:pPr>
            <w:r>
              <w:rPr>
                <w:rFonts w:ascii="Times New Roman" w:cs="Times New Roman" w:eastAsia="Times New Roman" w:hAnsi="Times New Roman"/>
                <w:sz w:val="13"/>
                <w:szCs w:val="13"/>
                <w:color w:val="auto"/>
              </w:rPr>
              <w:t>Total Non-Controlled Affiliates</w:t>
            </w:r>
          </w:p>
        </w:tc>
        <w:tc>
          <w:tcPr>
            <w:tcW w:w="1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114,453</w:t>
            </w:r>
          </w:p>
        </w:tc>
        <w:tc>
          <w:tcPr>
            <w:tcW w:w="26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ind w:right="24"/>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36,170</w:t>
            </w:r>
          </w:p>
        </w:tc>
        <w:tc>
          <w:tcPr>
            <w:tcW w:w="24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(139,891</w:t>
            </w:r>
          </w:p>
        </w:tc>
        <w:tc>
          <w:tcPr>
            <w:tcW w:w="240" w:type="dxa"/>
            <w:vAlign w:val="bottom"/>
            <w:tcBorders>
              <w:bottom w:val="single" w:sz="8" w:color="CCECFF"/>
            </w:tcBorders>
            <w:shd w:val="clear" w:color="auto" w:fill="CCEC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24,028</w:t>
            </w:r>
          </w:p>
        </w:tc>
        <w:tc>
          <w:tcPr>
            <w:tcW w:w="2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34,760</w:t>
            </w: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3"/>
                <w:szCs w:val="13"/>
                <w:color w:val="auto"/>
              </w:rPr>
              <w:t>(65,655</w:t>
            </w:r>
          </w:p>
        </w:tc>
        <w:tc>
          <w:tcPr>
            <w:tcW w:w="100" w:type="dxa"/>
            <w:vAlign w:val="bottom"/>
            <w:tcBorders>
              <w:bottom w:val="single" w:sz="8" w:color="CCECFF"/>
            </w:tcBorders>
            <w:shd w:val="clear" w:color="auto" w:fill="CCECFF"/>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08"/>
        </w:trPr>
        <w:tc>
          <w:tcPr>
            <w:tcW w:w="194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Controlled and Non-</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4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Controlled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499,081</w:t>
            </w:r>
          </w:p>
        </w:tc>
        <w:tc>
          <w:tcPr>
            <w:tcW w:w="40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97,111</w:t>
            </w: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rPr>
              <w:t>(374,865 )</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72,819</w:t>
            </w:r>
          </w:p>
        </w:tc>
        <w:tc>
          <w:tcPr>
            <w:tcW w:w="2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294,146</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11,947</w:t>
            </w:r>
          </w:p>
        </w:tc>
        <w:tc>
          <w:tcPr>
            <w:tcW w:w="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3,983</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9,075</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75,243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94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Affiliates</w:t>
            </w:r>
          </w:p>
        </w:tc>
        <w:tc>
          <w:tcPr>
            <w:tcW w:w="26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-1071245</wp:posOffset>
            </wp:positionV>
            <wp:extent cx="76835" cy="11176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-1071245</wp:posOffset>
            </wp:positionV>
            <wp:extent cx="76835" cy="1117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-1071245</wp:posOffset>
            </wp:positionV>
            <wp:extent cx="77470" cy="11176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-1071245</wp:posOffset>
            </wp:positionV>
            <wp:extent cx="68580" cy="1117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-1071245</wp:posOffset>
            </wp:positionV>
            <wp:extent cx="68580" cy="11176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-1071245</wp:posOffset>
            </wp:positionV>
            <wp:extent cx="68580" cy="1117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-1071245</wp:posOffset>
            </wp:positionV>
            <wp:extent cx="68580" cy="11176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-1071245</wp:posOffset>
            </wp:positionV>
            <wp:extent cx="68580" cy="1117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11176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2036445</wp:posOffset>
            </wp:positionH>
            <wp:positionV relativeFrom="paragraph">
              <wp:posOffset>-273685</wp:posOffset>
            </wp:positionV>
            <wp:extent cx="76835" cy="2743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-273685</wp:posOffset>
            </wp:positionV>
            <wp:extent cx="76835" cy="2743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-273685</wp:posOffset>
            </wp:positionV>
            <wp:extent cx="77470" cy="2743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470" cy="27432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-273685</wp:posOffset>
            </wp:positionV>
            <wp:extent cx="68580" cy="2743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-273685</wp:posOffset>
            </wp:positionV>
            <wp:extent cx="68580" cy="2743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-273685</wp:posOffset>
            </wp:positionV>
            <wp:extent cx="68580" cy="2743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-273685</wp:posOffset>
            </wp:positionV>
            <wp:extent cx="68580" cy="2743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-273685</wp:posOffset>
            </wp:positionV>
            <wp:extent cx="68580" cy="2743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2743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8" w:lineRule="exact"/>
        <w:rPr>
          <w:sz w:val="20"/>
          <w:szCs w:val="20"/>
          <w:color w:val="auto"/>
        </w:rPr>
      </w:pPr>
    </w:p>
    <w:p>
      <w:pPr>
        <w:ind w:left="380" w:hanging="372"/>
        <w:spacing w:after="0"/>
        <w:tabs>
          <w:tab w:leader="none" w:pos="380" w:val="left"/>
        </w:tabs>
        <w:numPr>
          <w:ilvl w:val="0"/>
          <w:numId w:val="7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Includes PIK.</w:t>
      </w:r>
    </w:p>
    <w:p>
      <w:pPr>
        <w:spacing w:after="0" w:line="23" w:lineRule="exact"/>
        <w:rPr>
          <w:rFonts w:ascii="Times New Roman" w:cs="Times New Roman" w:eastAsia="Times New Roman" w:hAnsi="Times New Roman"/>
          <w:sz w:val="16"/>
          <w:szCs w:val="16"/>
          <w:b w:val="1"/>
          <w:bCs w:val="1"/>
          <w:color w:val="auto"/>
          <w:vertAlign w:val="superscript"/>
        </w:rPr>
      </w:pPr>
    </w:p>
    <w:p>
      <w:pPr>
        <w:ind w:left="380" w:hanging="372"/>
        <w:spacing w:after="0" w:line="180" w:lineRule="auto"/>
        <w:tabs>
          <w:tab w:leader="none" w:pos="380" w:val="left"/>
        </w:tabs>
        <w:numPr>
          <w:ilvl w:val="0"/>
          <w:numId w:val="7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 xml:space="preserve">Cascade </w:t>
      </w:r>
      <w:r>
        <w:rPr>
          <w:rFonts w:ascii="Times New Roman" w:cs="Times New Roman" w:eastAsia="Times New Roman" w:hAnsi="Times New Roman"/>
          <w:sz w:val="10"/>
          <w:szCs w:val="10"/>
          <w:color w:val="auto"/>
        </w:rPr>
        <w:t>Environmental Holdings, LLC became a controlled affiliate during the year ended September 30, 2022.</w:t>
      </w:r>
    </w:p>
    <w:p>
      <w:pPr>
        <w:spacing w:after="0" w:line="45" w:lineRule="exact"/>
        <w:rPr>
          <w:rFonts w:ascii="Times New Roman" w:cs="Times New Roman" w:eastAsia="Times New Roman" w:hAnsi="Times New Roman"/>
          <w:sz w:val="16"/>
          <w:szCs w:val="16"/>
          <w:b w:val="1"/>
          <w:bCs w:val="1"/>
          <w:color w:val="auto"/>
          <w:vertAlign w:val="superscript"/>
        </w:rPr>
      </w:pPr>
    </w:p>
    <w:p>
      <w:pPr>
        <w:ind w:left="380" w:hanging="372"/>
        <w:spacing w:after="0" w:line="205" w:lineRule="auto"/>
        <w:tabs>
          <w:tab w:leader="none" w:pos="380" w:val="left"/>
        </w:tabs>
        <w:numPr>
          <w:ilvl w:val="0"/>
          <w:numId w:val="79"/>
        </w:numPr>
        <w:rPr>
          <w:rFonts w:ascii="Times New Roman" w:cs="Times New Roman" w:eastAsia="Times New Roman" w:hAnsi="Times New Roman"/>
          <w:sz w:val="13"/>
          <w:szCs w:val="13"/>
          <w:b w:val="1"/>
          <w:bCs w:val="1"/>
          <w:color w:val="auto"/>
          <w:vertAlign w:val="superscript"/>
        </w:rPr>
      </w:pPr>
      <w:r>
        <w:rPr>
          <w:rFonts w:ascii="Times New Roman" w:cs="Times New Roman" w:eastAsia="Times New Roman" w:hAnsi="Times New Roman"/>
          <w:sz w:val="9"/>
          <w:szCs w:val="9"/>
          <w:color w:val="auto"/>
        </w:rPr>
        <w:t>On February 14, 2022, we disposed of our equity interests in PT Networks, LLC.</w:t>
      </w:r>
    </w:p>
    <w:p>
      <w:pPr>
        <w:spacing w:after="0" w:line="26" w:lineRule="exact"/>
        <w:rPr>
          <w:sz w:val="20"/>
          <w:szCs w:val="20"/>
          <w:color w:val="auto"/>
        </w:rPr>
      </w:pPr>
    </w:p>
    <w:p>
      <w:pPr>
        <w:ind w:left="380" w:right="60"/>
        <w:spacing w:after="0" w:line="236" w:lineRule="auto"/>
        <w:rPr>
          <w:sz w:val="20"/>
          <w:szCs w:val="20"/>
          <w:color w:val="auto"/>
        </w:rPr>
      </w:pPr>
      <w:r>
        <w:rPr>
          <w:rFonts w:ascii="Times New Roman" w:cs="Times New Roman" w:eastAsia="Times New Roman" w:hAnsi="Times New Roman"/>
          <w:sz w:val="12"/>
          <w:szCs w:val="12"/>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in net assets resulting from operations ($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Numerator for net increase (decrease) in net assets resulting from operations</w:t>
            </w:r>
          </w:p>
        </w:tc>
        <w:tc>
          <w:tcPr>
            <w:tcW w:w="118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(24,740</w:t>
            </w:r>
          </w:p>
        </w:tc>
        <w:tc>
          <w:tcPr>
            <w:tcW w:w="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166,617</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(15,970</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66,254,150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100" w:type="dxa"/>
            <w:vAlign w:val="bottom"/>
          </w:tcPr>
          <w:p>
            <w:pPr>
              <w:spacing w:after="0"/>
              <w:rPr>
                <w:sz w:val="15"/>
                <w:szCs w:val="15"/>
                <w:color w:val="auto"/>
              </w:rPr>
            </w:pPr>
          </w:p>
        </w:tc>
      </w:tr>
      <w:tr>
        <w:trPr>
          <w:trHeight w:val="175"/>
        </w:trPr>
        <w:tc>
          <w:tcPr>
            <w:tcW w:w="5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Basic and diluted net increase (decrease) in net assets per share resulting from operations</w:t>
            </w:r>
          </w:p>
        </w:tc>
        <w:tc>
          <w:tcPr>
            <w:tcW w:w="148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(0.37 )</w:t>
            </w:r>
          </w:p>
        </w:tc>
        <w:tc>
          <w:tcPr>
            <w:tcW w:w="50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60" w:type="dxa"/>
            <w:vAlign w:val="bottom"/>
            <w:shd w:val="clear" w:color="auto" w:fill="CCECFF"/>
          </w:tcPr>
          <w:p>
            <w:pPr>
              <w:spacing w:after="0"/>
              <w:rPr>
                <w:sz w:val="15"/>
                <w:szCs w:val="15"/>
                <w:color w:val="auto"/>
              </w:rPr>
            </w:pP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(0.24 )</w:t>
            </w:r>
          </w:p>
        </w:tc>
      </w:tr>
      <w:tr>
        <w:trPr>
          <w:trHeight w:val="584"/>
        </w:trPr>
        <w:tc>
          <w:tcPr>
            <w:tcW w:w="5340" w:type="dxa"/>
            <w:vAlign w:val="bottom"/>
          </w:tcPr>
          <w:p>
            <w:pPr>
              <w:spacing w:after="0"/>
              <w:rPr>
                <w:sz w:val="24"/>
                <w:szCs w:val="24"/>
                <w:color w:val="auto"/>
              </w:rPr>
            </w:pPr>
          </w:p>
        </w:tc>
        <w:tc>
          <w:tcPr>
            <w:tcW w:w="118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89</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5"/>
        </w:trPr>
        <w:tc>
          <w:tcPr>
            <w:tcW w:w="5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TAXES AND DISTRIBUTIONS</w:t>
      </w:r>
    </w:p>
    <w:p>
      <w:pPr>
        <w:spacing w:after="0" w:line="152" w:lineRule="exact"/>
        <w:rPr>
          <w:sz w:val="20"/>
          <w:szCs w:val="20"/>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September 30, 2022 and 2021, the cost of investments for federal income tax purposes approximates the amortized cost reported in the Consolidated Schedule of Investments.</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amounts were reclassified for tax purposes ($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Decrease in paid-in capital</w:t>
            </w:r>
          </w:p>
        </w:tc>
        <w:tc>
          <w:tcPr>
            <w:tcW w:w="860" w:type="dxa"/>
            <w:vAlign w:val="bottom"/>
            <w:shd w:val="clear" w:color="auto" w:fill="CCEC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(25,577</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shd w:val="clear" w:color="auto" w:fill="CCECFF"/>
          </w:tcPr>
          <w:p>
            <w:pPr>
              <w:spacing w:after="0"/>
              <w:rPr>
                <w:sz w:val="14"/>
                <w:szCs w:val="14"/>
                <w:color w:val="auto"/>
              </w:rPr>
            </w:pP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8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4"/>
              </w:rPr>
              <w:t>)</w:t>
            </w: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 accumulated net realized gain</w:t>
            </w:r>
          </w:p>
        </w:tc>
        <w:tc>
          <w:tcPr>
            <w:tcW w:w="8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(1,773 )</w:t>
            </w:r>
          </w:p>
        </w:tc>
        <w:tc>
          <w:tcPr>
            <w:tcW w:w="32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(1,806 )</w:t>
            </w:r>
          </w:p>
        </w:tc>
      </w:tr>
      <w:tr>
        <w:trPr>
          <w:trHeight w:val="176"/>
        </w:trPr>
        <w:tc>
          <w:tcPr>
            <w:tcW w:w="65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Increase in undistributed net investment income</w:t>
            </w:r>
          </w:p>
        </w:tc>
        <w:tc>
          <w:tcPr>
            <w:tcW w:w="860" w:type="dxa"/>
            <w:vAlign w:val="bottom"/>
            <w:shd w:val="clear" w:color="auto" w:fill="CCECFF"/>
          </w:tcPr>
          <w:p>
            <w:pPr>
              <w:spacing w:after="0"/>
              <w:rPr>
                <w:sz w:val="15"/>
                <w:szCs w:val="15"/>
                <w:color w:val="auto"/>
              </w:rPr>
            </w:pPr>
          </w:p>
        </w:tc>
        <w:tc>
          <w:tcPr>
            <w:tcW w:w="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7,230</w:t>
            </w:r>
          </w:p>
        </w:tc>
        <w:tc>
          <w:tcPr>
            <w:tcW w:w="10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2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2,373</w:t>
            </w:r>
          </w:p>
        </w:tc>
        <w:tc>
          <w:tcPr>
            <w:tcW w:w="100" w:type="dxa"/>
            <w:vAlign w:val="bottom"/>
            <w:shd w:val="clear" w:color="auto" w:fill="CCEC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0" w:name="page91"/>
    <w:bookmarkEnd w:id="90"/>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reconciles net (decrease) increase in net assets resulting from operations to taxable income ($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540" w:type="dxa"/>
            <w:vAlign w:val="bottom"/>
          </w:tcPr>
          <w:p>
            <w:pPr>
              <w:spacing w:after="0"/>
              <w:rPr>
                <w:sz w:val="14"/>
                <w:szCs w:val="14"/>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5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1060" w:type="dxa"/>
            <w:vAlign w:val="bottom"/>
            <w:shd w:val="clear" w:color="auto" w:fill="CCECFF"/>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(24,740</w:t>
            </w: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CFF"/>
          </w:tcPr>
          <w:p>
            <w:pPr>
              <w:spacing w:after="0"/>
              <w:rPr>
                <w:sz w:val="14"/>
                <w:szCs w:val="14"/>
                <w:color w:val="auto"/>
              </w:rPr>
            </w:pPr>
          </w:p>
        </w:tc>
        <w:tc>
          <w:tcPr>
            <w:tcW w:w="38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166,617</w:t>
            </w:r>
          </w:p>
        </w:tc>
        <w:tc>
          <w:tcPr>
            <w:tcW w:w="320" w:type="dxa"/>
            <w:vAlign w:val="bottom"/>
            <w:shd w:val="clear" w:color="auto" w:fill="CCECFF"/>
          </w:tcPr>
          <w:p>
            <w:pPr>
              <w:spacing w:after="0"/>
              <w:rPr>
                <w:sz w:val="14"/>
                <w:szCs w:val="14"/>
                <w:color w:val="auto"/>
              </w:rPr>
            </w:pPr>
          </w:p>
        </w:tc>
        <w:tc>
          <w:tcPr>
            <w:tcW w:w="38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(15,970</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060" w:type="dxa"/>
            <w:vAlign w:val="bottom"/>
          </w:tcPr>
          <w:p>
            <w:pPr>
              <w:spacing w:after="0"/>
              <w:rPr>
                <w:sz w:val="15"/>
                <w:szCs w:val="15"/>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(34,756 )</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(30,021 )</w:t>
            </w: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20,827</w:t>
            </w:r>
          </w:p>
        </w:tc>
        <w:tc>
          <w:tcPr>
            <w:tcW w:w="100" w:type="dxa"/>
            <w:vAlign w:val="bottom"/>
          </w:tcPr>
          <w:p>
            <w:pPr>
              <w:spacing w:after="0"/>
              <w:rPr>
                <w:sz w:val="15"/>
                <w:szCs w:val="15"/>
                <w:color w:val="auto"/>
              </w:rPr>
            </w:pPr>
          </w:p>
        </w:tc>
      </w:tr>
      <w:tr>
        <w:trPr>
          <w:trHeight w:val="176"/>
        </w:trPr>
        <w:tc>
          <w:tcPr>
            <w:tcW w:w="55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 and debt</w:t>
            </w:r>
          </w:p>
        </w:tc>
        <w:tc>
          <w:tcPr>
            <w:tcW w:w="1060" w:type="dxa"/>
            <w:vAlign w:val="bottom"/>
            <w:shd w:val="clear" w:color="auto" w:fill="CCECFF"/>
          </w:tcPr>
          <w:p>
            <w:pPr>
              <w:spacing w:after="0"/>
              <w:rPr>
                <w:sz w:val="15"/>
                <w:szCs w:val="15"/>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103,439</w:t>
            </w:r>
          </w:p>
        </w:tc>
        <w:tc>
          <w:tcPr>
            <w:tcW w:w="200" w:type="dxa"/>
            <w:vAlign w:val="bottom"/>
            <w:shd w:val="clear" w:color="auto" w:fill="CCECFF"/>
          </w:tcPr>
          <w:p>
            <w:pPr>
              <w:spacing w:after="0"/>
              <w:rPr>
                <w:sz w:val="15"/>
                <w:szCs w:val="15"/>
                <w:color w:val="auto"/>
              </w:rPr>
            </w:pPr>
          </w:p>
        </w:tc>
        <w:tc>
          <w:tcPr>
            <w:tcW w:w="140" w:type="dxa"/>
            <w:vAlign w:val="bottom"/>
            <w:shd w:val="clear" w:color="auto" w:fill="CCECFF"/>
          </w:tcPr>
          <w:p>
            <w:pPr>
              <w:spacing w:after="0"/>
              <w:rPr>
                <w:sz w:val="15"/>
                <w:szCs w:val="15"/>
                <w:color w:val="auto"/>
              </w:rPr>
            </w:pPr>
          </w:p>
        </w:tc>
        <w:tc>
          <w:tcPr>
            <w:tcW w:w="380" w:type="dxa"/>
            <w:vAlign w:val="bottom"/>
            <w:shd w:val="clear" w:color="auto" w:fill="CCECFF"/>
          </w:tcPr>
          <w:p>
            <w:pPr>
              <w:spacing w:after="0"/>
              <w:rPr>
                <w:sz w:val="15"/>
                <w:szCs w:val="15"/>
                <w:color w:val="auto"/>
              </w:rPr>
            </w:pPr>
          </w:p>
        </w:tc>
        <w:tc>
          <w:tcPr>
            <w:tcW w:w="15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(100,120 )</w:t>
            </w:r>
          </w:p>
        </w:tc>
        <w:tc>
          <w:tcPr>
            <w:tcW w:w="380" w:type="dxa"/>
            <w:vAlign w:val="bottom"/>
            <w:shd w:val="clear" w:color="auto" w:fill="CCECFF"/>
          </w:tcPr>
          <w:p>
            <w:pPr>
              <w:spacing w:after="0"/>
              <w:rPr>
                <w:sz w:val="15"/>
                <w:szCs w:val="15"/>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33,873</w:t>
            </w:r>
          </w:p>
        </w:tc>
        <w:tc>
          <w:tcPr>
            <w:tcW w:w="100" w:type="dxa"/>
            <w:vAlign w:val="bottom"/>
            <w:shd w:val="clear" w:color="auto" w:fill="CCECFF"/>
          </w:tcPr>
          <w:p>
            <w:pPr>
              <w:spacing w:after="0"/>
              <w:rPr>
                <w:sz w:val="15"/>
                <w:szCs w:val="15"/>
                <w:color w:val="auto"/>
              </w:rPr>
            </w:pPr>
          </w:p>
        </w:tc>
      </w:tr>
      <w:tr>
        <w:trPr>
          <w:trHeight w:val="175"/>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book-to-tax differences</w:t>
            </w:r>
          </w:p>
        </w:tc>
        <w:tc>
          <w:tcPr>
            <w:tcW w:w="10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(5,333 )</w:t>
            </w:r>
          </w:p>
        </w:tc>
        <w:tc>
          <w:tcPr>
            <w:tcW w:w="3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00" w:type="dxa"/>
            <w:vAlign w:val="bottom"/>
          </w:tcPr>
          <w:p>
            <w:pPr>
              <w:spacing w:after="0"/>
              <w:rPr>
                <w:sz w:val="15"/>
                <w:szCs w:val="15"/>
                <w:color w:val="auto"/>
              </w:rPr>
            </w:pPr>
          </w:p>
        </w:tc>
      </w:tr>
      <w:tr>
        <w:trPr>
          <w:trHeight w:val="176"/>
        </w:trPr>
        <w:tc>
          <w:tcPr>
            <w:tcW w:w="55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Other non-deductible expenses</w:t>
            </w:r>
          </w:p>
        </w:tc>
        <w:tc>
          <w:tcPr>
            <w:tcW w:w="1060" w:type="dxa"/>
            <w:vAlign w:val="bottom"/>
            <w:tcBorders>
              <w:bottom w:val="single" w:sz="8" w:color="auto"/>
            </w:tcBorders>
            <w:shd w:val="clear" w:color="auto" w:fill="CCECFF"/>
          </w:tcPr>
          <w:p>
            <w:pPr>
              <w:spacing w:after="0"/>
              <w:rPr>
                <w:sz w:val="15"/>
                <w:szCs w:val="15"/>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200" w:type="dxa"/>
            <w:vAlign w:val="bottom"/>
            <w:tcBorders>
              <w:bottom w:val="single" w:sz="8" w:color="CCECFF"/>
            </w:tcBorders>
            <w:shd w:val="clear" w:color="auto" w:fill="CCECFF"/>
          </w:tcPr>
          <w:p>
            <w:pPr>
              <w:spacing w:after="0"/>
              <w:rPr>
                <w:sz w:val="15"/>
                <w:szCs w:val="15"/>
                <w:color w:val="auto"/>
              </w:rPr>
            </w:pPr>
          </w:p>
        </w:tc>
        <w:tc>
          <w:tcPr>
            <w:tcW w:w="140" w:type="dxa"/>
            <w:vAlign w:val="bottom"/>
            <w:tcBorders>
              <w:bottom w:val="single" w:sz="8" w:color="CCECFF"/>
            </w:tcBorders>
            <w:shd w:val="clear" w:color="auto" w:fill="CCECFF"/>
          </w:tcPr>
          <w:p>
            <w:pPr>
              <w:spacing w:after="0"/>
              <w:rPr>
                <w:sz w:val="15"/>
                <w:szCs w:val="15"/>
                <w:color w:val="auto"/>
              </w:rPr>
            </w:pPr>
          </w:p>
        </w:tc>
        <w:tc>
          <w:tcPr>
            <w:tcW w:w="380" w:type="dxa"/>
            <w:vAlign w:val="bottom"/>
            <w:tcBorders>
              <w:bottom w:val="single" w:sz="8" w:color="auto"/>
            </w:tcBorders>
            <w:shd w:val="clear" w:color="auto" w:fill="CCECFF"/>
          </w:tcPr>
          <w:p>
            <w:pPr>
              <w:spacing w:after="0"/>
              <w:rPr>
                <w:sz w:val="15"/>
                <w:szCs w:val="15"/>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2,647</w:t>
            </w:r>
          </w:p>
        </w:tc>
        <w:tc>
          <w:tcPr>
            <w:tcW w:w="320" w:type="dxa"/>
            <w:vAlign w:val="bottom"/>
            <w:tcBorders>
              <w:bottom w:val="single" w:sz="8" w:color="CCECFF"/>
            </w:tcBorders>
            <w:shd w:val="clear" w:color="auto" w:fill="CCECFF"/>
          </w:tcPr>
          <w:p>
            <w:pPr>
              <w:spacing w:after="0"/>
              <w:rPr>
                <w:sz w:val="15"/>
                <w:szCs w:val="15"/>
                <w:color w:val="auto"/>
              </w:rPr>
            </w:pPr>
          </w:p>
        </w:tc>
        <w:tc>
          <w:tcPr>
            <w:tcW w:w="380" w:type="dxa"/>
            <w:vAlign w:val="bottom"/>
            <w:tcBorders>
              <w:bottom w:val="single" w:sz="8" w:color="auto"/>
            </w:tcBorders>
            <w:shd w:val="clear" w:color="auto" w:fill="CCECFF"/>
          </w:tcPr>
          <w:p>
            <w:pPr>
              <w:spacing w:after="0"/>
              <w:rPr>
                <w:sz w:val="15"/>
                <w:szCs w:val="15"/>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2,838</w:t>
            </w:r>
          </w:p>
        </w:tc>
        <w:tc>
          <w:tcPr>
            <w:tcW w:w="100" w:type="dxa"/>
            <w:vAlign w:val="bottom"/>
            <w:tcBorders>
              <w:bottom w:val="single" w:sz="8" w:color="CCECFF"/>
            </w:tcBorders>
            <w:shd w:val="clear" w:color="auto" w:fill="CCECFF"/>
          </w:tcPr>
          <w:p>
            <w:pPr>
              <w:spacing w:after="0"/>
              <w:rPr>
                <w:sz w:val="15"/>
                <w:szCs w:val="15"/>
                <w:color w:val="auto"/>
              </w:rPr>
            </w:pPr>
          </w:p>
        </w:tc>
      </w:tr>
      <w:tr>
        <w:trPr>
          <w:trHeight w:val="169"/>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Taxable income before dividends paid deduction</w:t>
            </w:r>
          </w:p>
        </w:tc>
        <w:tc>
          <w:tcPr>
            <w:tcW w:w="1060" w:type="dxa"/>
            <w:vAlign w:val="bottom"/>
          </w:tcPr>
          <w:p>
            <w:pPr>
              <w:jc w:val="right"/>
              <w:ind w:right="90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57,124</w:t>
            </w:r>
          </w:p>
        </w:tc>
        <w:tc>
          <w:tcPr>
            <w:tcW w:w="200" w:type="dxa"/>
            <w:vAlign w:val="bottom"/>
          </w:tcPr>
          <w:p>
            <w:pPr>
              <w:spacing w:after="0"/>
              <w:rPr>
                <w:sz w:val="14"/>
                <w:szCs w:val="14"/>
                <w:color w:val="auto"/>
              </w:rPr>
            </w:pPr>
          </w:p>
        </w:tc>
        <w:tc>
          <w:tcPr>
            <w:tcW w:w="5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33,790</w:t>
            </w:r>
          </w:p>
        </w:tc>
        <w:tc>
          <w:tcPr>
            <w:tcW w:w="320" w:type="dxa"/>
            <w:vAlign w:val="bottom"/>
          </w:tcPr>
          <w:p>
            <w:pPr>
              <w:spacing w:after="0"/>
              <w:rPr>
                <w:sz w:val="14"/>
                <w:szCs w:val="14"/>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43,320</w:t>
            </w:r>
          </w:p>
        </w:tc>
        <w:tc>
          <w:tcPr>
            <w:tcW w:w="100" w:type="dxa"/>
            <w:vAlign w:val="bottom"/>
          </w:tcPr>
          <w:p>
            <w:pPr>
              <w:spacing w:after="0"/>
              <w:rPr>
                <w:sz w:val="14"/>
                <w:szCs w:val="14"/>
                <w:color w:val="auto"/>
              </w:rPr>
            </w:pPr>
          </w:p>
        </w:tc>
      </w:tr>
      <w:tr>
        <w:trPr>
          <w:trHeight w:val="20"/>
        </w:trPr>
        <w:tc>
          <w:tcPr>
            <w:tcW w:w="55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-144780</wp:posOffset>
            </wp:positionV>
            <wp:extent cx="76835" cy="1454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-144780</wp:posOffset>
            </wp:positionV>
            <wp:extent cx="68580" cy="1454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components of undistributed taxable income on a tax basis and reconciliation to accumulated deficit on a book basis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Borders>
              <w:right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Undistributed net investment income – tax basis</w:t>
            </w:r>
          </w:p>
        </w:tc>
        <w:tc>
          <w:tcPr>
            <w:tcW w:w="300" w:type="dxa"/>
            <w:vAlign w:val="bottom"/>
            <w:shd w:val="clear" w:color="auto" w:fill="CCECFF"/>
          </w:tcPr>
          <w:p>
            <w:pPr>
              <w:jc w:val="right"/>
              <w:ind w:right="17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46,283</w:t>
            </w:r>
          </w:p>
        </w:tc>
        <w:tc>
          <w:tcPr>
            <w:tcW w:w="80" w:type="dxa"/>
            <w:vAlign w:val="bottom"/>
            <w:shd w:val="clear" w:color="auto" w:fill="CCECFF"/>
          </w:tcPr>
          <w:p>
            <w:pPr>
              <w:spacing w:after="0"/>
              <w:rPr>
                <w:sz w:val="14"/>
                <w:szCs w:val="14"/>
                <w:color w:val="auto"/>
              </w:rPr>
            </w:pPr>
          </w:p>
        </w:tc>
        <w:tc>
          <w:tcPr>
            <w:tcW w:w="220" w:type="dxa"/>
            <w:vAlign w:val="bottom"/>
            <w:tcBorders>
              <w:right w:val="single" w:sz="8" w:color="CCECFF"/>
            </w:tcBorders>
            <w:shd w:val="clear" w:color="auto" w:fill="CCECFF"/>
          </w:tcPr>
          <w:p>
            <w:pPr>
              <w:spacing w:after="0"/>
              <w:rPr>
                <w:sz w:val="14"/>
                <w:szCs w:val="14"/>
                <w:color w:val="auto"/>
              </w:rPr>
            </w:pPr>
          </w:p>
        </w:tc>
        <w:tc>
          <w:tcPr>
            <w:tcW w:w="300" w:type="dxa"/>
            <w:vAlign w:val="bottom"/>
            <w:shd w:val="clear" w:color="auto" w:fill="CCECFF"/>
          </w:tcPr>
          <w:p>
            <w:pPr>
              <w:jc w:val="right"/>
              <w:ind w:right="171"/>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23,560</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21,934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realized loss carried forward</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(2,065 )</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(1,578 )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(2,528 )</w:t>
            </w:r>
          </w:p>
        </w:tc>
        <w:tc>
          <w:tcPr>
            <w:tcW w:w="0" w:type="dxa"/>
            <w:vAlign w:val="bottom"/>
          </w:tcPr>
          <w:p>
            <w:pPr>
              <w:spacing w:after="0"/>
              <w:rPr>
                <w:sz w:val="1"/>
                <w:szCs w:val="1"/>
                <w:color w:val="auto"/>
              </w:rPr>
            </w:pPr>
          </w:p>
        </w:tc>
      </w:tr>
      <w:tr>
        <w:trPr>
          <w:trHeight w:val="175"/>
        </w:trPr>
        <w:tc>
          <w:tcPr>
            <w:tcW w:w="6540" w:type="dxa"/>
            <w:vAlign w:val="bottom"/>
            <w:tcBorders>
              <w:right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Long-term realized loss carried forward</w:t>
            </w:r>
          </w:p>
        </w:tc>
        <w:tc>
          <w:tcPr>
            <w:tcW w:w="3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(103,119 )</w:t>
            </w:r>
          </w:p>
        </w:tc>
        <w:tc>
          <w:tcPr>
            <w:tcW w:w="520" w:type="dxa"/>
            <w:vAlign w:val="bottom"/>
            <w:gridSpan w:val="2"/>
            <w:shd w:val="clear" w:color="auto" w:fill="CCECFF"/>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(165,037 )</w:t>
            </w: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(198,741 )</w:t>
            </w:r>
          </w:p>
        </w:tc>
        <w:tc>
          <w:tcPr>
            <w:tcW w:w="0" w:type="dxa"/>
            <w:vAlign w:val="bottom"/>
          </w:tcPr>
          <w:p>
            <w:pPr>
              <w:spacing w:after="0"/>
              <w:rPr>
                <w:sz w:val="1"/>
                <w:szCs w:val="1"/>
                <w:color w:val="auto"/>
              </w:rPr>
            </w:pPr>
          </w:p>
        </w:tc>
      </w:tr>
      <w:tr>
        <w:trPr>
          <w:trHeight w:val="176"/>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payable and other book to tax differences</w:t>
            </w:r>
          </w:p>
        </w:tc>
        <w:tc>
          <w:tcPr>
            <w:tcW w:w="30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(37,103 )</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(15,368 )</w:t>
            </w:r>
          </w:p>
        </w:tc>
        <w:tc>
          <w:tcPr>
            <w:tcW w:w="32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(18,407 )</w:t>
            </w:r>
          </w:p>
        </w:tc>
        <w:tc>
          <w:tcPr>
            <w:tcW w:w="0" w:type="dxa"/>
            <w:vAlign w:val="bottom"/>
          </w:tcPr>
          <w:p>
            <w:pPr>
              <w:spacing w:after="0"/>
              <w:rPr>
                <w:sz w:val="1"/>
                <w:szCs w:val="1"/>
                <w:color w:val="auto"/>
              </w:rPr>
            </w:pPr>
          </w:p>
        </w:tc>
      </w:tr>
      <w:tr>
        <w:trPr>
          <w:trHeight w:val="175"/>
        </w:trPr>
        <w:tc>
          <w:tcPr>
            <w:tcW w:w="6540" w:type="dxa"/>
            <w:vAlign w:val="bottom"/>
            <w:tcBorders>
              <w:right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unrealized appreciation (depreciation) on investments and debt</w:t>
            </w:r>
          </w:p>
        </w:tc>
        <w:tc>
          <w:tcPr>
            <w:tcW w:w="300" w:type="dxa"/>
            <w:vAlign w:val="bottom"/>
            <w:shd w:val="clear" w:color="auto" w:fill="CCECFF"/>
          </w:tcPr>
          <w:p>
            <w:pPr>
              <w:spacing w:after="0"/>
              <w:rPr>
                <w:sz w:val="15"/>
                <w:szCs w:val="15"/>
                <w:color w:val="auto"/>
              </w:rPr>
            </w:pPr>
          </w:p>
        </w:tc>
        <w:tc>
          <w:tcPr>
            <w:tcW w:w="112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(66,665 )</w:t>
            </w:r>
          </w:p>
        </w:tc>
        <w:tc>
          <w:tcPr>
            <w:tcW w:w="220" w:type="dxa"/>
            <w:vAlign w:val="bottom"/>
            <w:tcBorders>
              <w:right w:val="single" w:sz="8" w:color="CCECFF"/>
            </w:tcBorders>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31,507</w:t>
            </w:r>
          </w:p>
        </w:tc>
        <w:tc>
          <w:tcPr>
            <w:tcW w:w="280" w:type="dxa"/>
            <w:vAlign w:val="bottom"/>
            <w:shd w:val="clear" w:color="auto" w:fill="CCECFF"/>
          </w:tcPr>
          <w:p>
            <w:pPr>
              <w:spacing w:after="0"/>
              <w:rPr>
                <w:sz w:val="15"/>
                <w:szCs w:val="15"/>
                <w:color w:val="auto"/>
              </w:rPr>
            </w:pPr>
          </w:p>
        </w:tc>
        <w:tc>
          <w:tcPr>
            <w:tcW w:w="320" w:type="dxa"/>
            <w:vAlign w:val="bottom"/>
            <w:shd w:val="clear" w:color="auto" w:fill="CCECFF"/>
          </w:tcPr>
          <w:p>
            <w:pPr>
              <w:spacing w:after="0"/>
              <w:rPr>
                <w:sz w:val="15"/>
                <w:szCs w:val="15"/>
                <w:color w:val="auto"/>
              </w:rPr>
            </w:pPr>
          </w:p>
        </w:tc>
        <w:tc>
          <w:tcPr>
            <w:tcW w:w="1160" w:type="dxa"/>
            <w:vAlign w:val="bottom"/>
            <w:gridSpan w:val="2"/>
            <w:shd w:val="clear" w:color="auto" w:fill="CCECFF"/>
          </w:tcPr>
          <w:p>
            <w:pPr>
              <w:jc w:val="right"/>
              <w:ind w:right="40"/>
              <w:spacing w:after="0"/>
              <w:rPr>
                <w:sz w:val="20"/>
                <w:szCs w:val="20"/>
                <w:color w:val="auto"/>
              </w:rPr>
            </w:pPr>
            <w:r>
              <w:rPr>
                <w:rFonts w:ascii="Times New Roman" w:cs="Times New Roman" w:eastAsia="Times New Roman" w:hAnsi="Times New Roman"/>
                <w:sz w:val="14"/>
                <w:szCs w:val="14"/>
                <w:color w:val="auto"/>
              </w:rPr>
              <w:t>(64,241 )</w:t>
            </w:r>
          </w:p>
        </w:tc>
        <w:tc>
          <w:tcPr>
            <w:tcW w:w="0" w:type="dxa"/>
            <w:vAlign w:val="bottom"/>
          </w:tcPr>
          <w:p>
            <w:pPr>
              <w:spacing w:after="0"/>
              <w:rPr>
                <w:sz w:val="1"/>
                <w:szCs w:val="1"/>
                <w:color w:val="auto"/>
              </w:rPr>
            </w:pPr>
          </w:p>
        </w:tc>
      </w:tr>
      <w:tr>
        <w:trPr>
          <w:trHeight w:val="20"/>
        </w:trPr>
        <w:tc>
          <w:tcPr>
            <w:tcW w:w="6540" w:type="dxa"/>
            <w:vAlign w:val="bottom"/>
            <w:tcBorders>
              <w:right w:val="single" w:sz="8" w:color="auto"/>
            </w:tcBorders>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tcBorders>
              <w:right w:val="single" w:sz="8" w:color="CCECFF"/>
            </w:tcBorders>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20" w:type="dxa"/>
            <w:vAlign w:val="bottom"/>
            <w:tcBorders>
              <w:right w:val="single" w:sz="8" w:color="auto"/>
            </w:tcBorders>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accumulated deficit – book basis</w:t>
            </w:r>
          </w:p>
        </w:tc>
        <w:tc>
          <w:tcPr>
            <w:tcW w:w="300" w:type="dxa"/>
            <w:vAlign w:val="bottom"/>
          </w:tcPr>
          <w:p>
            <w:pPr>
              <w:jc w:val="right"/>
              <w:ind w:right="17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(162,669 )</w:t>
            </w:r>
          </w:p>
        </w:tc>
        <w:tc>
          <w:tcPr>
            <w:tcW w:w="52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(126,916 )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(261,983 )</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The tax characteristics of distributions declared are as follows: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6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Borders>
              <w:right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Ordinary income (including short-term gains, if any)</w:t>
            </w:r>
          </w:p>
        </w:tc>
        <w:tc>
          <w:tcPr>
            <w:tcW w:w="300" w:type="dxa"/>
            <w:vAlign w:val="bottom"/>
            <w:shd w:val="clear" w:color="auto" w:fill="CCEC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36,590</w:t>
            </w:r>
          </w:p>
        </w:tc>
        <w:tc>
          <w:tcPr>
            <w:tcW w:w="80" w:type="dxa"/>
            <w:vAlign w:val="bottom"/>
            <w:shd w:val="clear" w:color="auto" w:fill="CCECFF"/>
          </w:tcPr>
          <w:p>
            <w:pPr>
              <w:spacing w:after="0"/>
              <w:rPr>
                <w:sz w:val="14"/>
                <w:szCs w:val="14"/>
                <w:color w:val="auto"/>
              </w:rPr>
            </w:pPr>
          </w:p>
        </w:tc>
        <w:tc>
          <w:tcPr>
            <w:tcW w:w="220" w:type="dxa"/>
            <w:vAlign w:val="bottom"/>
            <w:tcBorders>
              <w:right w:val="single" w:sz="8" w:color="CCECFF"/>
            </w:tcBorders>
            <w:shd w:val="clear" w:color="auto" w:fill="CCECFF"/>
          </w:tcPr>
          <w:p>
            <w:pPr>
              <w:spacing w:after="0"/>
              <w:rPr>
                <w:sz w:val="14"/>
                <w:szCs w:val="14"/>
                <w:color w:val="auto"/>
              </w:rPr>
            </w:pPr>
          </w:p>
        </w:tc>
        <w:tc>
          <w:tcPr>
            <w:tcW w:w="300" w:type="dxa"/>
            <w:vAlign w:val="bottom"/>
            <w:shd w:val="clear" w:color="auto" w:fill="CCEC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32,182</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40,227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capital gain</w:t>
            </w:r>
          </w:p>
        </w:tc>
        <w:tc>
          <w:tcPr>
            <w:tcW w:w="3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540" w:type="dxa"/>
            <w:vAlign w:val="bottom"/>
            <w:tcBorders>
              <w:bottom w:val="single" w:sz="8" w:color="CCECFF"/>
              <w:right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distributions</w:t>
            </w:r>
          </w:p>
        </w:tc>
        <w:tc>
          <w:tcPr>
            <w:tcW w:w="300" w:type="dxa"/>
            <w:vAlign w:val="bottom"/>
            <w:tcBorders>
              <w:top w:val="single" w:sz="8" w:color="auto"/>
              <w:bottom w:val="single" w:sz="8" w:color="auto"/>
            </w:tcBorders>
            <w:shd w:val="clear" w:color="auto" w:fill="CCECFF"/>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right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36,590</w:t>
            </w:r>
          </w:p>
        </w:tc>
        <w:tc>
          <w:tcPr>
            <w:tcW w:w="8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CCECFF"/>
              <w:right w:val="single" w:sz="8" w:color="CCECFF"/>
            </w:tcBorders>
            <w:shd w:val="clear" w:color="auto" w:fill="CCECFF"/>
          </w:tcPr>
          <w:p>
            <w:pPr>
              <w:spacing w:after="0"/>
              <w:rPr>
                <w:sz w:val="14"/>
                <w:szCs w:val="14"/>
                <w:color w:val="auto"/>
              </w:rPr>
            </w:pPr>
          </w:p>
        </w:tc>
        <w:tc>
          <w:tcPr>
            <w:tcW w:w="300" w:type="dxa"/>
            <w:vAlign w:val="bottom"/>
            <w:tcBorders>
              <w:top w:val="single" w:sz="8" w:color="auto"/>
              <w:bottom w:val="single" w:sz="8" w:color="auto"/>
            </w:tcBorders>
            <w:shd w:val="clear" w:color="auto" w:fill="CCEC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32,182</w:t>
            </w:r>
          </w:p>
        </w:tc>
        <w:tc>
          <w:tcPr>
            <w:tcW w:w="28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top w:val="single" w:sz="8" w:color="auto"/>
              <w:bottom w:val="single" w:sz="8" w:color="auto"/>
            </w:tcBorders>
            <w:shd w:val="clear" w:color="auto" w:fill="CCEC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40,227</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distributions declared per share</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-1225550</wp:posOffset>
            </wp:positionV>
            <wp:extent cx="76835" cy="146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-1225550</wp:posOffset>
            </wp:positionV>
            <wp:extent cx="68580" cy="1460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-1225550</wp:posOffset>
            </wp:positionV>
            <wp:extent cx="68580" cy="146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-128270</wp:posOffset>
            </wp:positionV>
            <wp:extent cx="76835" cy="1289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-128270</wp:posOffset>
            </wp:positionV>
            <wp:extent cx="68580" cy="1289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CASH AND CASH EQUIVALENTS</w:t>
      </w:r>
    </w:p>
    <w:p>
      <w:pPr>
        <w:spacing w:after="0" w:line="152" w:lineRule="exact"/>
        <w:rPr>
          <w:sz w:val="20"/>
          <w:szCs w:val="20"/>
          <w:color w:val="auto"/>
        </w:rPr>
      </w:pPr>
    </w:p>
    <w:p>
      <w:pPr>
        <w:ind w:right="80" w:firstLine="449"/>
        <w:spacing w:after="0" w:line="250"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Truist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2022 and 2021, cash and cash equivalents consisted of money market funds in the amounts of $52.7 million and $20.4 million at fair value, respectively.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1" w:name="page92"/>
    <w:bookmarkEnd w:id="91"/>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FINANCIAL HIGHLIGHTS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Below are the financial highlights for each of the years ended September 30 ($in thousands,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beginning of year</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4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9"/>
                <w:szCs w:val="19"/>
                <w:color w:val="auto"/>
                <w:vertAlign w:val="superscript"/>
              </w:rPr>
              <w:t>(1)</w:t>
            </w: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0.54</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220" w:type="dxa"/>
            <w:vAlign w:val="bottom"/>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Net realized and unrealized (loss) gain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5"/>
                <w:szCs w:val="15"/>
                <w:color w:val="auto"/>
              </w:rPr>
            </w:pP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(1.03 )</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(0.82 )</w:t>
            </w:r>
          </w:p>
        </w:tc>
        <w:tc>
          <w:tcPr>
            <w:tcW w:w="200" w:type="dxa"/>
            <w:vAlign w:val="bottom"/>
          </w:tcPr>
          <w:p>
            <w:pPr>
              <w:spacing w:after="0"/>
              <w:rPr>
                <w:sz w:val="15"/>
                <w:szCs w:val="15"/>
                <w:color w:val="auto"/>
              </w:rPr>
            </w:pPr>
          </w:p>
        </w:tc>
        <w:tc>
          <w:tcPr>
            <w:tcW w:w="10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(0.42 )</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Net (decrease) increase in net assets resulting from operations </w:t>
            </w:r>
            <w:r>
              <w:rPr>
                <w:rFonts w:ascii="Times New Roman" w:cs="Times New Roman" w:eastAsia="Times New Roman" w:hAnsi="Times New Roman"/>
                <w:sz w:val="19"/>
                <w:szCs w:val="19"/>
                <w:color w:val="auto"/>
                <w:vertAlign w:val="superscript"/>
              </w:rPr>
              <w:t>(1)</w:t>
            </w:r>
          </w:p>
        </w:tc>
        <w:tc>
          <w:tcPr>
            <w:tcW w:w="24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2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2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9"/>
                <w:szCs w:val="19"/>
                <w:color w:val="auto"/>
                <w:vertAlign w:val="superscript"/>
              </w:rPr>
              <w:t>(1), (2)</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4"/>
                <w:szCs w:val="14"/>
                <w:color w:val="auto"/>
              </w:rPr>
              <w:t>Distribution of net investment income</w:t>
            </w:r>
          </w:p>
        </w:tc>
        <w:tc>
          <w:tcPr>
            <w:tcW w:w="2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108"/>
              <w:spacing w:after="0"/>
              <w:rPr>
                <w:sz w:val="20"/>
                <w:szCs w:val="20"/>
                <w:color w:val="auto"/>
              </w:rPr>
            </w:pPr>
            <w:r>
              <w:rPr>
                <w:rFonts w:ascii="Times New Roman" w:cs="Times New Roman" w:eastAsia="Times New Roman" w:hAnsi="Times New Roman"/>
                <w:sz w:val="14"/>
                <w:szCs w:val="14"/>
                <w:color w:val="auto"/>
              </w:rPr>
              <w:t>(0.56 )</w:t>
            </w: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(0.48 )</w:t>
            </w:r>
          </w:p>
        </w:tc>
        <w:tc>
          <w:tcPr>
            <w:tcW w:w="22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(0.60 )</w:t>
            </w:r>
          </w:p>
        </w:tc>
        <w:tc>
          <w:tcPr>
            <w:tcW w:w="2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rPr>
              <w:t>(0.72 )</w:t>
            </w:r>
          </w:p>
        </w:tc>
        <w:tc>
          <w:tcPr>
            <w:tcW w:w="2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Distribution of realized gains</w:t>
            </w:r>
          </w:p>
        </w:tc>
        <w:tc>
          <w:tcPr>
            <w:tcW w:w="240" w:type="dxa"/>
            <w:vAlign w:val="bottom"/>
          </w:tcPr>
          <w:p>
            <w:pPr>
              <w:spacing w:after="0"/>
              <w:rPr>
                <w:sz w:val="15"/>
                <w:szCs w:val="15"/>
                <w:color w:val="auto"/>
              </w:rPr>
            </w:pP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distributions to stockholders</w:t>
            </w:r>
          </w:p>
        </w:tc>
        <w:tc>
          <w:tcPr>
            <w:tcW w:w="24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2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(0.48</w:t>
            </w: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2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2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CFF"/>
          </w:tcPr>
          <w:p>
            <w:pPr>
              <w:spacing w:after="0"/>
              <w:rPr>
                <w:sz w:val="14"/>
                <w:szCs w:val="14"/>
                <w:color w:val="auto"/>
              </w:rPr>
            </w:pPr>
          </w:p>
        </w:tc>
        <w:tc>
          <w:tcPr>
            <w:tcW w:w="8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1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Repurchase of common stock </w:t>
            </w:r>
            <w:r>
              <w:rPr>
                <w:rFonts w:ascii="Times New Roman" w:cs="Times New Roman" w:eastAsia="Times New Roman" w:hAnsi="Times New Roman"/>
                <w:sz w:val="19"/>
                <w:szCs w:val="19"/>
                <w:color w:val="auto"/>
                <w:vertAlign w:val="superscript"/>
              </w:rPr>
              <w:t>(1)</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asset value, end of year</w:t>
            </w: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8.98</w:t>
            </w:r>
          </w:p>
        </w:tc>
        <w:tc>
          <w:tcPr>
            <w:tcW w:w="24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220" w:type="dxa"/>
            <w:vAlign w:val="bottom"/>
            <w:tcBorders>
              <w:bottom w:val="single" w:sz="8" w:color="CCECFF"/>
            </w:tcBorders>
            <w:shd w:val="clear" w:color="auto" w:fill="CCECFF"/>
          </w:tcPr>
          <w:p>
            <w:pPr>
              <w:spacing w:after="0"/>
              <w:rPr>
                <w:sz w:val="18"/>
                <w:szCs w:val="18"/>
                <w:color w:val="auto"/>
              </w:rPr>
            </w:pPr>
          </w:p>
        </w:tc>
        <w:tc>
          <w:tcPr>
            <w:tcW w:w="200" w:type="dxa"/>
            <w:vAlign w:val="bottom"/>
            <w:tcBorders>
              <w:top w:val="single" w:sz="8" w:color="auto"/>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2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top w:val="single" w:sz="8" w:color="auto"/>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Borders>
              <w:bottom w:val="single" w:sz="8" w:color="CCECFF"/>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Per share market value, end of year</w:t>
            </w:r>
          </w:p>
        </w:tc>
        <w:tc>
          <w:tcPr>
            <w:tcW w:w="240" w:type="dxa"/>
            <w:vAlign w:val="bottom"/>
            <w:tcBorders>
              <w:bottom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5.46</w:t>
            </w:r>
          </w:p>
        </w:tc>
        <w:tc>
          <w:tcPr>
            <w:tcW w:w="240" w:type="dxa"/>
            <w:vAlign w:val="bottom"/>
          </w:tcPr>
          <w:p>
            <w:pPr>
              <w:spacing w:after="0"/>
              <w:rPr>
                <w:sz w:val="13"/>
                <w:szCs w:val="13"/>
                <w:color w:val="auto"/>
              </w:rPr>
            </w:pPr>
          </w:p>
        </w:tc>
        <w:tc>
          <w:tcPr>
            <w:tcW w:w="240" w:type="dxa"/>
            <w:vAlign w:val="bottom"/>
            <w:tcBorders>
              <w:bottom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6.49</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3.19</w:t>
            </w:r>
          </w:p>
        </w:tc>
        <w:tc>
          <w:tcPr>
            <w:tcW w:w="22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6.27</w:t>
            </w:r>
          </w:p>
        </w:tc>
        <w:tc>
          <w:tcPr>
            <w:tcW w:w="22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 xml:space="preserve">Total return </w:t>
            </w:r>
            <w:r>
              <w:rPr>
                <w:rFonts w:ascii="Times New Roman" w:cs="Times New Roman" w:eastAsia="Times New Roman" w:hAnsi="Times New Roman"/>
                <w:sz w:val="18"/>
                <w:szCs w:val="18"/>
                <w:color w:val="auto"/>
                <w:vertAlign w:val="superscript"/>
              </w:rPr>
              <w:t>(3)</w:t>
            </w:r>
          </w:p>
        </w:tc>
        <w:tc>
          <w:tcPr>
            <w:tcW w:w="2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(8.42</w:t>
            </w:r>
          </w:p>
        </w:tc>
        <w:tc>
          <w:tcPr>
            <w:tcW w:w="24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120.98</w:t>
            </w:r>
          </w:p>
        </w:tc>
        <w:tc>
          <w:tcPr>
            <w:tcW w:w="2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(39.62</w:t>
            </w:r>
          </w:p>
        </w:tc>
        <w:tc>
          <w:tcPr>
            <w:tcW w:w="220" w:type="dxa"/>
            <w:vAlign w:val="bottom"/>
            <w:shd w:val="clear" w:color="auto" w:fill="CCECFF"/>
          </w:tcPr>
          <w:p>
            <w:pPr>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(6.28</w:t>
            </w:r>
          </w:p>
        </w:tc>
        <w:tc>
          <w:tcPr>
            <w:tcW w:w="2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jc w:val="right"/>
              <w:spacing w:after="0" w:line="156" w:lineRule="exact"/>
              <w:rPr>
                <w:sz w:val="20"/>
                <w:szCs w:val="20"/>
                <w:color w:val="auto"/>
              </w:rPr>
            </w:pPr>
            <w:r>
              <w:rPr>
                <w:rFonts w:ascii="Times New Roman" w:cs="Times New Roman" w:eastAsia="Times New Roman" w:hAnsi="Times New Roman"/>
                <w:sz w:val="14"/>
                <w:szCs w:val="14"/>
                <w:color w:val="auto"/>
              </w:rPr>
              <w:t>9.70</w:t>
            </w:r>
          </w:p>
        </w:tc>
        <w:tc>
          <w:tcPr>
            <w:tcW w:w="100" w:type="dxa"/>
            <w:vAlign w:val="bottom"/>
            <w:shd w:val="clear" w:color="auto" w:fill="CCECFF"/>
          </w:tcPr>
          <w:p>
            <w:pPr>
              <w:spacing w:after="0"/>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outstanding at end of year</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65,224,500</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69,053,958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20" w:type="dxa"/>
            <w:vAlign w:val="bottom"/>
            <w:shd w:val="clear" w:color="auto" w:fill="CCECFF"/>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Ratios / Supplemental Data:</w:t>
            </w: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9"/>
                <w:szCs w:val="19"/>
                <w:color w:val="auto"/>
                <w:vertAlign w:val="superscript"/>
              </w:rPr>
              <w:t>(4), (6)</w:t>
            </w:r>
          </w:p>
        </w:tc>
        <w:tc>
          <w:tcPr>
            <w:tcW w:w="240" w:type="dxa"/>
            <w:vAlign w:val="bottom"/>
          </w:tcPr>
          <w:p>
            <w:pPr>
              <w:spacing w:after="0"/>
              <w:rPr>
                <w:sz w:val="15"/>
                <w:szCs w:val="15"/>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4.17 %</w:t>
            </w:r>
          </w:p>
        </w:tc>
        <w:tc>
          <w:tcPr>
            <w:tcW w:w="240" w:type="dxa"/>
            <w:vAlign w:val="bottom"/>
          </w:tcPr>
          <w:p>
            <w:pPr>
              <w:spacing w:after="0"/>
              <w:rPr>
                <w:sz w:val="15"/>
                <w:szCs w:val="15"/>
                <w:color w:val="auto"/>
              </w:rPr>
            </w:pP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3.74 %</w:t>
            </w:r>
          </w:p>
        </w:tc>
        <w:tc>
          <w:tcPr>
            <w:tcW w:w="220" w:type="dxa"/>
            <w:vAlign w:val="bottom"/>
          </w:tcPr>
          <w:p>
            <w:pPr>
              <w:spacing w:after="0"/>
              <w:rPr>
                <w:sz w:val="15"/>
                <w:szCs w:val="15"/>
                <w:color w:val="auto"/>
              </w:rPr>
            </w:pPr>
          </w:p>
        </w:tc>
        <w:tc>
          <w:tcPr>
            <w:tcW w:w="10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4.91 %</w:t>
            </w:r>
          </w:p>
        </w:tc>
        <w:tc>
          <w:tcPr>
            <w:tcW w:w="200" w:type="dxa"/>
            <w:vAlign w:val="bottom"/>
          </w:tcPr>
          <w:p>
            <w:pPr>
              <w:spacing w:after="0"/>
              <w:rPr>
                <w:sz w:val="15"/>
                <w:szCs w:val="15"/>
                <w:color w:val="auto"/>
              </w:rPr>
            </w:pP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4.83 %</w:t>
            </w:r>
          </w:p>
        </w:tc>
        <w:tc>
          <w:tcPr>
            <w:tcW w:w="2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interest and expenses on debt to average net assets </w:t>
            </w:r>
            <w:r>
              <w:rPr>
                <w:rFonts w:ascii="Times New Roman" w:cs="Times New Roman" w:eastAsia="Times New Roman" w:hAnsi="Times New Roman"/>
                <w:sz w:val="19"/>
                <w:szCs w:val="19"/>
                <w:color w:val="auto"/>
                <w:vertAlign w:val="superscript"/>
              </w:rPr>
              <w:t>(5)</w:t>
            </w:r>
          </w:p>
        </w:tc>
        <w:tc>
          <w:tcPr>
            <w:tcW w:w="2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5.19 %</w:t>
            </w: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3.73 %</w:t>
            </w:r>
          </w:p>
        </w:tc>
        <w:tc>
          <w:tcPr>
            <w:tcW w:w="22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6.22 %</w:t>
            </w:r>
          </w:p>
        </w:tc>
        <w:tc>
          <w:tcPr>
            <w:tcW w:w="2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6.29 %</w:t>
            </w:r>
          </w:p>
        </w:tc>
        <w:tc>
          <w:tcPr>
            <w:tcW w:w="2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9"/>
                <w:szCs w:val="19"/>
                <w:color w:val="auto"/>
                <w:vertAlign w:val="superscript"/>
              </w:rPr>
              <w:t>(5), (6)</w:t>
            </w:r>
          </w:p>
        </w:tc>
        <w:tc>
          <w:tcPr>
            <w:tcW w:w="24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9.36 </w:t>
            </w:r>
            <w:r>
              <w:rPr>
                <w:rFonts w:ascii="Times New Roman" w:cs="Times New Roman" w:eastAsia="Times New Roman" w:hAnsi="Times New Roman"/>
                <w:sz w:val="14"/>
                <w:szCs w:val="14"/>
                <w:color w:val="auto"/>
                <w:highlight w:val="white"/>
              </w:rPr>
              <w:t>%</w:t>
            </w:r>
          </w:p>
        </w:tc>
        <w:tc>
          <w:tcPr>
            <w:tcW w:w="24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7.47 </w:t>
            </w:r>
            <w:r>
              <w:rPr>
                <w:rFonts w:ascii="Times New Roman" w:cs="Times New Roman" w:eastAsia="Times New Roman" w:hAnsi="Times New Roman"/>
                <w:sz w:val="14"/>
                <w:szCs w:val="14"/>
                <w:color w:val="auto"/>
                <w:highlight w:val="white"/>
              </w:rPr>
              <w:t>%</w:t>
            </w:r>
          </w:p>
        </w:tc>
        <w:tc>
          <w:tcPr>
            <w:tcW w:w="220" w:type="dxa"/>
            <w:vAlign w:val="bottom"/>
          </w:tcPr>
          <w:p>
            <w:pPr>
              <w:spacing w:after="0"/>
              <w:rPr>
                <w:sz w:val="14"/>
                <w:szCs w:val="14"/>
                <w:color w:val="auto"/>
              </w:rPr>
            </w:pPr>
          </w:p>
        </w:tc>
        <w:tc>
          <w:tcPr>
            <w:tcW w:w="10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 xml:space="preserve">11.13 </w:t>
            </w:r>
            <w:r>
              <w:rPr>
                <w:rFonts w:ascii="Times New Roman" w:cs="Times New Roman" w:eastAsia="Times New Roman" w:hAnsi="Times New Roman"/>
                <w:sz w:val="14"/>
                <w:szCs w:val="14"/>
                <w:color w:val="auto"/>
                <w:highlight w:val="white"/>
              </w:rPr>
              <w:t>%</w:t>
            </w:r>
          </w:p>
        </w:tc>
        <w:tc>
          <w:tcPr>
            <w:tcW w:w="200" w:type="dxa"/>
            <w:vAlign w:val="bottom"/>
          </w:tcPr>
          <w:p>
            <w:pPr>
              <w:spacing w:after="0"/>
              <w:rPr>
                <w:sz w:val="14"/>
                <w:szCs w:val="14"/>
                <w:color w:val="auto"/>
              </w:rPr>
            </w:pP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 xml:space="preserve">11.12 </w:t>
            </w:r>
            <w:r>
              <w:rPr>
                <w:rFonts w:ascii="Times New Roman" w:cs="Times New Roman" w:eastAsia="Times New Roman" w:hAnsi="Times New Roman"/>
                <w:sz w:val="14"/>
                <w:szCs w:val="14"/>
                <w:color w:val="auto"/>
                <w:highlight w:val="white"/>
              </w:rPr>
              <w:t>%</w:t>
            </w:r>
          </w:p>
        </w:tc>
        <w:tc>
          <w:tcPr>
            <w:tcW w:w="2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8.53 </w:t>
            </w:r>
            <w:r>
              <w:rPr>
                <w:rFonts w:ascii="Times New Roman" w:cs="Times New Roman" w:eastAsia="Times New Roman" w:hAnsi="Times New Roman"/>
                <w:sz w:val="14"/>
                <w:szCs w:val="14"/>
                <w:color w:val="auto"/>
                <w:highlight w:val="white"/>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9"/>
                <w:szCs w:val="19"/>
                <w:color w:val="auto"/>
                <w:vertAlign w:val="superscript"/>
              </w:rPr>
              <w:t>(5)</w:t>
            </w:r>
          </w:p>
        </w:tc>
        <w:tc>
          <w:tcPr>
            <w:tcW w:w="2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6.74 %</w:t>
            </w: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6.04 %</w:t>
            </w:r>
          </w:p>
        </w:tc>
        <w:tc>
          <w:tcPr>
            <w:tcW w:w="22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7.01 %</w:t>
            </w:r>
          </w:p>
        </w:tc>
        <w:tc>
          <w:tcPr>
            <w:tcW w:w="2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7.35 %</w:t>
            </w:r>
          </w:p>
        </w:tc>
        <w:tc>
          <w:tcPr>
            <w:tcW w:w="2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8.28 %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at end of year</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585,565</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660,144</w:t>
            </w: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525,709</w:t>
            </w:r>
          </w:p>
        </w:tc>
        <w:tc>
          <w:tcPr>
            <w:tcW w:w="2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581,906</w:t>
            </w:r>
          </w:p>
        </w:tc>
        <w:tc>
          <w:tcPr>
            <w:tcW w:w="2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628,902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20" w:type="dxa"/>
            <w:vAlign w:val="bottom"/>
            <w:tcBorders>
              <w:bottom w:val="single" w:sz="8" w:color="CCECFF"/>
            </w:tcBorders>
            <w:shd w:val="clear" w:color="auto" w:fill="CCECFF"/>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Weighted average debt outstanding </w:t>
            </w:r>
            <w:r>
              <w:rPr>
                <w:rFonts w:ascii="Times New Roman" w:cs="Times New Roman" w:eastAsia="Times New Roman" w:hAnsi="Times New Roman"/>
                <w:sz w:val="19"/>
                <w:szCs w:val="19"/>
                <w:color w:val="auto"/>
                <w:vertAlign w:val="superscript"/>
              </w:rPr>
              <w:t>(7)</w:t>
            </w:r>
          </w:p>
        </w:tc>
        <w:tc>
          <w:tcPr>
            <w:tcW w:w="24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695,267</w:t>
            </w:r>
          </w:p>
        </w:tc>
        <w:tc>
          <w:tcPr>
            <w:tcW w:w="240" w:type="dxa"/>
            <w:vAlign w:val="bottom"/>
            <w:tcBorders>
              <w:bottom w:val="single" w:sz="8" w:color="CCECFF"/>
            </w:tcBorders>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649,666</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794,641</w:t>
            </w:r>
          </w:p>
        </w:tc>
        <w:tc>
          <w:tcPr>
            <w:tcW w:w="220" w:type="dxa"/>
            <w:vAlign w:val="bottom"/>
            <w:tcBorders>
              <w:bottom w:val="single" w:sz="8" w:color="CCECFF"/>
            </w:tcBorders>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638,424</w:t>
            </w:r>
          </w:p>
        </w:tc>
        <w:tc>
          <w:tcPr>
            <w:tcW w:w="220" w:type="dxa"/>
            <w:vAlign w:val="bottom"/>
            <w:tcBorders>
              <w:bottom w:val="single" w:sz="8" w:color="CCECFF"/>
            </w:tcBorders>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504,964</w:t>
            </w:r>
          </w:p>
        </w:tc>
        <w:tc>
          <w:tcPr>
            <w:tcW w:w="100" w:type="dxa"/>
            <w:vAlign w:val="bottom"/>
            <w:tcBorders>
              <w:bottom w:val="single" w:sz="8" w:color="CCECFF"/>
            </w:tcBorders>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9"/>
                <w:szCs w:val="19"/>
                <w:color w:val="auto"/>
                <w:vertAlign w:val="superscript"/>
              </w:rPr>
              <w:t>(1), (7)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w:t>
            </w:r>
          </w:p>
        </w:tc>
        <w:tc>
          <w:tcPr>
            <w:tcW w:w="240" w:type="dxa"/>
            <w:vAlign w:val="bottom"/>
          </w:tcPr>
          <w:p>
            <w:pPr>
              <w:spacing w:after="0"/>
              <w:rPr>
                <w:sz w:val="14"/>
                <w:szCs w:val="14"/>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2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22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120" w:type="dxa"/>
            <w:vAlign w:val="bottom"/>
            <w:shd w:val="clear" w:color="auto" w:fill="CCECFF"/>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9"/>
                <w:szCs w:val="19"/>
                <w:color w:val="auto"/>
                <w:vertAlign w:val="superscript"/>
              </w:rPr>
              <w:t>(8)</w:t>
            </w:r>
          </w:p>
        </w:tc>
        <w:tc>
          <w:tcPr>
            <w:tcW w:w="24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240" w:type="dxa"/>
            <w:vAlign w:val="bottom"/>
            <w:shd w:val="clear" w:color="auto" w:fill="CCECFF"/>
          </w:tcPr>
          <w:p>
            <w:pPr>
              <w:spacing w:after="0"/>
              <w:rPr>
                <w:sz w:val="15"/>
                <w:szCs w:val="15"/>
                <w:color w:val="auto"/>
              </w:rPr>
            </w:pPr>
          </w:p>
        </w:tc>
        <w:tc>
          <w:tcPr>
            <w:tcW w:w="24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220" w:type="dxa"/>
            <w:vAlign w:val="bottom"/>
            <w:shd w:val="clear" w:color="auto" w:fill="CCECFF"/>
          </w:tcPr>
          <w:p>
            <w:pPr>
              <w:spacing w:after="0"/>
              <w:rPr>
                <w:sz w:val="15"/>
                <w:szCs w:val="15"/>
                <w:color w:val="auto"/>
              </w:rPr>
            </w:pPr>
          </w:p>
        </w:tc>
        <w:tc>
          <w:tcPr>
            <w:tcW w:w="200" w:type="dxa"/>
            <w:vAlign w:val="bottom"/>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220" w:type="dxa"/>
            <w:vAlign w:val="bottom"/>
            <w:shd w:val="clear" w:color="auto" w:fill="CCECFF"/>
          </w:tcPr>
          <w:p>
            <w:pPr>
              <w:spacing w:after="0"/>
              <w:rPr>
                <w:sz w:val="15"/>
                <w:szCs w:val="15"/>
                <w:color w:val="auto"/>
              </w:rPr>
            </w:pPr>
          </w:p>
        </w:tc>
        <w:tc>
          <w:tcPr>
            <w:tcW w:w="220" w:type="dxa"/>
            <w:vAlign w:val="bottom"/>
            <w:shd w:val="clear" w:color="auto" w:fill="CCEC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shd w:val="clear" w:color="auto" w:fill="CCEC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Average market value per unit </w:t>
            </w:r>
            <w:r>
              <w:rPr>
                <w:rFonts w:ascii="Times New Roman" w:cs="Times New Roman" w:eastAsia="Times New Roman" w:hAnsi="Times New Roman"/>
                <w:sz w:val="19"/>
                <w:szCs w:val="19"/>
                <w:color w:val="auto"/>
                <w:vertAlign w:val="superscript"/>
              </w:rPr>
              <w:t>(9), (10)</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2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22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Portfolio turnover ratio</w:t>
            </w:r>
          </w:p>
        </w:tc>
        <w:tc>
          <w:tcPr>
            <w:tcW w:w="240" w:type="dxa"/>
            <w:vAlign w:val="bottom"/>
            <w:shd w:val="clear" w:color="auto" w:fill="CCECFF"/>
          </w:tcPr>
          <w:p>
            <w:pPr>
              <w:spacing w:after="0"/>
              <w:rPr>
                <w:sz w:val="15"/>
                <w:szCs w:val="15"/>
                <w:color w:val="auto"/>
              </w:rPr>
            </w:pPr>
          </w:p>
        </w:tc>
        <w:tc>
          <w:tcPr>
            <w:tcW w:w="104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70.41 %</w:t>
            </w:r>
          </w:p>
        </w:tc>
        <w:tc>
          <w:tcPr>
            <w:tcW w:w="24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37.74 %</w:t>
            </w:r>
          </w:p>
        </w:tc>
        <w:tc>
          <w:tcPr>
            <w:tcW w:w="22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12.74 %</w:t>
            </w:r>
          </w:p>
        </w:tc>
        <w:tc>
          <w:tcPr>
            <w:tcW w:w="200" w:type="dxa"/>
            <w:vAlign w:val="bottom"/>
            <w:shd w:val="clear" w:color="auto" w:fill="CCECFF"/>
          </w:tcPr>
          <w:p>
            <w:pPr>
              <w:spacing w:after="0"/>
              <w:rPr>
                <w:sz w:val="15"/>
                <w:szCs w:val="15"/>
                <w:color w:val="auto"/>
              </w:rPr>
            </w:pPr>
          </w:p>
        </w:tc>
        <w:tc>
          <w:tcPr>
            <w:tcW w:w="1020" w:type="dxa"/>
            <w:vAlign w:val="bottom"/>
            <w:gridSpan w:val="2"/>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rPr>
              <w:t>35.44 %</w:t>
            </w:r>
          </w:p>
        </w:tc>
        <w:tc>
          <w:tcPr>
            <w:tcW w:w="220" w:type="dxa"/>
            <w:vAlign w:val="bottom"/>
            <w:shd w:val="clear" w:color="auto" w:fill="CCECFF"/>
          </w:tcPr>
          <w:p>
            <w:pPr>
              <w:spacing w:after="0"/>
              <w:rPr>
                <w:sz w:val="15"/>
                <w:szCs w:val="15"/>
                <w:color w:val="auto"/>
              </w:rPr>
            </w:pP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56.51 %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-1662430</wp:posOffset>
            </wp:positionV>
            <wp:extent cx="3223260" cy="16319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223260" cy="16319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-454025</wp:posOffset>
            </wp:positionV>
            <wp:extent cx="77470" cy="1200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-454025</wp:posOffset>
            </wp:positionV>
            <wp:extent cx="68580" cy="1200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-454025</wp:posOffset>
            </wp:positionV>
            <wp:extent cx="68580" cy="1200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-454025</wp:posOffset>
            </wp:positionV>
            <wp:extent cx="68580" cy="1200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200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95123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ind w:left="380" w:hanging="372"/>
        <w:spacing w:after="0"/>
        <w:tabs>
          <w:tab w:leader="none" w:pos="380" w:val="left"/>
        </w:tabs>
        <w:numPr>
          <w:ilvl w:val="0"/>
          <w:numId w:val="81"/>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Based on the weighted average shares outstanding for the respective periods.</w:t>
      </w:r>
    </w:p>
    <w:p>
      <w:pPr>
        <w:ind w:left="380" w:hanging="372"/>
        <w:spacing w:after="0" w:line="187" w:lineRule="auto"/>
        <w:tabs>
          <w:tab w:leader="none" w:pos="380" w:val="left"/>
        </w:tabs>
        <w:numPr>
          <w:ilvl w:val="0"/>
          <w:numId w:val="81"/>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11"/>
          <w:szCs w:val="11"/>
          <w:color w:val="auto"/>
        </w:rPr>
        <w:t>The tax status of distributions is calculated in accordance with income tax regulations, which may differ from amounts determined under GAAP, and reported on Form 1099-DIV each calendar year.</w:t>
      </w:r>
    </w:p>
    <w:p>
      <w:pPr>
        <w:ind w:left="380" w:hanging="372"/>
        <w:spacing w:after="0" w:line="187" w:lineRule="auto"/>
        <w:tabs>
          <w:tab w:leader="none" w:pos="380" w:val="left"/>
        </w:tabs>
        <w:numPr>
          <w:ilvl w:val="0"/>
          <w:numId w:val="81"/>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11"/>
          <w:szCs w:val="11"/>
          <w:color w:val="auto"/>
        </w:rPr>
        <w:t>Based on the change in market price per share during the period and assumes distributions, if any, are reinvested.</w:t>
      </w:r>
    </w:p>
    <w:p>
      <w:pPr>
        <w:ind w:left="380" w:hanging="372"/>
        <w:spacing w:after="0" w:line="187" w:lineRule="auto"/>
        <w:tabs>
          <w:tab w:leader="none" w:pos="380" w:val="left"/>
        </w:tabs>
        <w:numPr>
          <w:ilvl w:val="0"/>
          <w:numId w:val="81"/>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11"/>
          <w:szCs w:val="11"/>
          <w:color w:val="auto"/>
        </w:rPr>
        <w:t>Excludes debt related costs.</w:t>
      </w:r>
    </w:p>
    <w:p>
      <w:pPr>
        <w:ind w:left="380" w:hanging="372"/>
        <w:spacing w:after="0" w:line="187" w:lineRule="auto"/>
        <w:tabs>
          <w:tab w:leader="none" w:pos="380" w:val="left"/>
        </w:tabs>
        <w:numPr>
          <w:ilvl w:val="0"/>
          <w:numId w:val="81"/>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11"/>
          <w:szCs w:val="11"/>
          <w:color w:val="auto"/>
        </w:rPr>
        <w:t>Includes interest and expenses on debt (annualized) as well as Truist Credit Facility amendment and debt issuance costs, if any (not annualized).</w:t>
      </w:r>
    </w:p>
    <w:p>
      <w:pPr>
        <w:ind w:left="380" w:right="100" w:hanging="372"/>
        <w:spacing w:after="0" w:line="191" w:lineRule="auto"/>
        <w:tabs>
          <w:tab w:leader="none" w:pos="380" w:val="left"/>
        </w:tabs>
        <w:numPr>
          <w:ilvl w:val="0"/>
          <w:numId w:val="81"/>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For the years ended September 30, 2020, 2019 and 2018, the ratio of operating expenses to average net assets before the waiver of certain Management Fees to average net assets was 4.65%, 5.26% and 5.21% , respectively, and the ratio of total expenses to average net assets before the waiver of certain Management Fees to average net assets was 9.12%, 11.48% and 8.75%, respectively.</w:t>
      </w:r>
    </w:p>
    <w:p>
      <w:pPr>
        <w:ind w:left="380" w:hanging="372"/>
        <w:spacing w:after="0" w:line="187" w:lineRule="auto"/>
        <w:tabs>
          <w:tab w:leader="none" w:pos="380" w:val="left"/>
        </w:tabs>
        <w:numPr>
          <w:ilvl w:val="0"/>
          <w:numId w:val="81"/>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11"/>
          <w:szCs w:val="11"/>
          <w:color w:val="auto"/>
        </w:rPr>
        <w:t>Includes SBA debentures outstanding.</w:t>
      </w:r>
    </w:p>
    <w:p>
      <w:pPr>
        <w:ind w:left="380" w:right="140" w:hanging="372"/>
        <w:spacing w:after="0" w:line="211" w:lineRule="auto"/>
        <w:tabs>
          <w:tab w:leader="none" w:pos="380" w:val="left"/>
        </w:tabs>
        <w:numPr>
          <w:ilvl w:val="0"/>
          <w:numId w:val="81"/>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380" w:right="120" w:hanging="372"/>
        <w:spacing w:after="0" w:line="201" w:lineRule="auto"/>
        <w:tabs>
          <w:tab w:leader="none" w:pos="380" w:val="left"/>
        </w:tabs>
        <w:numPr>
          <w:ilvl w:val="0"/>
          <w:numId w:val="81"/>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2020, 2019 or 2018.</w:t>
      </w:r>
    </w:p>
    <w:p>
      <w:pPr>
        <w:ind w:left="380" w:right="440" w:hanging="372"/>
        <w:spacing w:after="0" w:line="203" w:lineRule="auto"/>
        <w:tabs>
          <w:tab w:leader="none" w:pos="380" w:val="left"/>
        </w:tabs>
        <w:numPr>
          <w:ilvl w:val="0"/>
          <w:numId w:val="81"/>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2"/>
          <w:szCs w:val="12"/>
          <w:color w:val="auto"/>
        </w:rPr>
        <w:t>The average market value per unit is derived based on the daily closing price of the 2024 Notes trading on The Nasdaq Global Select Market under the symbol “PNNTG,” which were issued in increments of $25 per unit and commenced trading on September 30, 2019. The 2024 Notes were redeemed in full on November 13, 2021 and no amounts were outstanding as of September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DEBT</w:t>
      </w:r>
    </w:p>
    <w:p>
      <w:pPr>
        <w:spacing w:after="0" w:line="152" w:lineRule="exact"/>
        <w:rPr>
          <w:sz w:val="20"/>
          <w:szCs w:val="20"/>
          <w:color w:val="auto"/>
        </w:rPr>
      </w:pPr>
    </w:p>
    <w:p>
      <w:pPr>
        <w:ind w:right="140" w:firstLine="449"/>
        <w:spacing w:after="0" w:line="236" w:lineRule="auto"/>
        <w:rPr>
          <w:sz w:val="20"/>
          <w:szCs w:val="20"/>
          <w:color w:val="auto"/>
        </w:rPr>
      </w:pPr>
      <w:r>
        <w:rPr>
          <w:rFonts w:ascii="Times New Roman" w:cs="Times New Roman" w:eastAsia="Times New Roman" w:hAnsi="Times New Roman"/>
          <w:sz w:val="14"/>
          <w:szCs w:val="14"/>
          <w:color w:val="auto"/>
        </w:rPr>
        <w:t>The annualized weighted average cost of debt for the years ended September 30, 2022, 2021 and 2020, inclusive of the fee on the undrawn commitment and amendment costs on the Truist Credit Facility and amortized upfront fees on SBA debentures, 2024 Notes, 2026 Notes and 2026 Notes-2, was 4.8%, 3.5%, and 4.0%, respectively. As of September 30, 2022, in accordance with the 1940 Act, with certain limited exceptions, we are only allowed to borrow amounts such that we are in compliance with the 150% asset coverage ratio requirement after such borrowing, excluding SBA debentures, pursuant to exemptive relief from the SEC received in June 2011.</w:t>
      </w:r>
    </w:p>
    <w:p>
      <w:pPr>
        <w:spacing w:after="0" w:line="163" w:lineRule="exact"/>
        <w:rPr>
          <w:sz w:val="20"/>
          <w:szCs w:val="20"/>
          <w:color w:val="auto"/>
        </w:rPr>
      </w:pPr>
    </w:p>
    <w:p>
      <w:pPr>
        <w:jc w:val="both"/>
        <w:ind w:right="40" w:firstLine="449"/>
        <w:spacing w:after="0" w:line="236"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w:t>
      </w:r>
    </w:p>
    <w:p>
      <w:pPr>
        <w:spacing w:after="0"/>
        <w:rPr>
          <w:sz w:val="20"/>
          <w:szCs w:val="20"/>
          <w:color w:val="auto"/>
        </w:rPr>
      </w:pPr>
      <w:r>
        <w:rPr>
          <w:rFonts w:ascii="Times New Roman" w:cs="Times New Roman" w:eastAsia="Times New Roman" w:hAnsi="Times New Roman"/>
          <w:sz w:val="14"/>
          <w:szCs w:val="14"/>
          <w:color w:val="auto"/>
        </w:rPr>
        <w:t>compliance with certain disclosure requirements. As of September 30, 2022 and 2021, our asset coverage ratio, as computed in accordance with the 1940 Act, was 186% and 221%, respectively.</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92" w:name="page93"/>
    <w:bookmarkEnd w:id="92"/>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Truist Credit Facility</w:t>
      </w:r>
    </w:p>
    <w:p>
      <w:pPr>
        <w:spacing w:after="0" w:line="221" w:lineRule="exact"/>
        <w:rPr>
          <w:sz w:val="20"/>
          <w:szCs w:val="20"/>
          <w:color w:val="auto"/>
        </w:rPr>
      </w:pPr>
    </w:p>
    <w:p>
      <w:pPr>
        <w:ind w:right="80" w:firstLine="449"/>
        <w:spacing w:after="0" w:line="251" w:lineRule="auto"/>
        <w:rPr>
          <w:sz w:val="20"/>
          <w:szCs w:val="20"/>
          <w:color w:val="auto"/>
        </w:rPr>
      </w:pPr>
      <w:r>
        <w:rPr>
          <w:rFonts w:ascii="Times New Roman" w:cs="Times New Roman" w:eastAsia="Times New Roman" w:hAnsi="Times New Roman"/>
          <w:sz w:val="14"/>
          <w:szCs w:val="14"/>
          <w:color w:val="auto"/>
        </w:rPr>
        <w:t>As of September 30, 2022, we had the multi-currency Truist Credit Facility for up to $500.0 million (increased from $465.0 million in July 2022), which may be further increased up to $750.0 million in borrowings with certain lenders and Truist Bank (formerly SunTrust Bank), acting as administrative agent, Regions Bank, acting as an additional multicurrency lender, and JPMorgan Chase Bank, N.A., acting as syndication agent for the lenders. As of September 30, 2022 and 2021, we had $385.9 million and $316.5 million, respectively, in outstanding borrowings under the Truist Credit Facility. The Truist Credit Facility had a weighted average interest rate of 4.8% and 2.4%, respectively, exclusive of the fee on undrawn commitment, as of September 30, 2022 and 2021. The Truist Credit Facility is a revolving facility with a stated maturity date of July 29, 2027 for $475.0 million out of the total $500.0 million commitments (with the revolving period with respect to the remaining $25.0 million of commitments expiring on September 4, 2023 and the related obligations maturing on September 4, 2024) and pricing set at 235 basis points over SOFR (or an alternative risk-free floating interest rate index). As of September 30, 2022 and 2021, we had $114.1 million and $118.5 million of unused borrowing capacity under the Truist Credit Facility, respectively, subject to leverage and borrowing base restrictions. The Truist Credit Facility is secured by substantially all of our assets excluding assets held by SBIC II. As of September 30, 2022, we were in compliance with the terms of the Truist Credit Facility.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Debentures</w:t>
      </w:r>
    </w:p>
    <w:p>
      <w:pPr>
        <w:spacing w:after="0" w:line="154" w:lineRule="exact"/>
        <w:rPr>
          <w:sz w:val="20"/>
          <w:szCs w:val="20"/>
          <w:color w:val="auto"/>
        </w:rPr>
      </w:pPr>
    </w:p>
    <w:p>
      <w:pPr>
        <w:ind w:right="20" w:firstLine="449"/>
        <w:spacing w:after="0" w:line="256"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$20.0 million and $63.5 million as of September 30, 2022 and 2021,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67" w:lineRule="exact"/>
        <w:rPr>
          <w:sz w:val="20"/>
          <w:szCs w:val="20"/>
          <w:color w:val="auto"/>
        </w:rPr>
      </w:pPr>
    </w:p>
    <w:p>
      <w:pPr>
        <w:ind w:right="300" w:firstLine="449"/>
        <w:spacing w:after="0" w:line="271" w:lineRule="auto"/>
        <w:rPr>
          <w:sz w:val="20"/>
          <w:szCs w:val="20"/>
          <w:color w:val="auto"/>
        </w:rPr>
      </w:pPr>
      <w:r>
        <w:rPr>
          <w:rFonts w:ascii="Times New Roman" w:cs="Times New Roman" w:eastAsia="Times New Roman" w:hAnsi="Times New Roman"/>
          <w:sz w:val="14"/>
          <w:szCs w:val="14"/>
          <w:color w:val="auto"/>
        </w:rPr>
        <w:t>As of both September 30, 2022 and 2021, SBIC II had an initial $150.0 million in debt commitments, all of which were drawn. During the years ended September 30, 2022 and 2021, $43.5 million and $55.0 million in SBA debentures were repaid, respectively. As of September 30, 2022 and 2021, the unamortized fees on the SBA debentures were $0.3 million and $1.3 million, respectively. The SBA debentures’ upfront fees of 3.4% consist of a commitment fee of 1.0% and an issuance discount of 2.4%, which are being amortized.</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Our fixed-rate SBA debentures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tcPr>
          <w:p>
            <w:pPr>
              <w:spacing w:after="0"/>
              <w:rPr>
                <w:sz w:val="13"/>
                <w:szCs w:val="13"/>
                <w:color w:val="auto"/>
              </w:rPr>
            </w:pPr>
          </w:p>
        </w:tc>
        <w:tc>
          <w:tcPr>
            <w:tcW w:w="214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3"/>
                <w:szCs w:val="13"/>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320" w:type="dxa"/>
            <w:vAlign w:val="bottom"/>
          </w:tcPr>
          <w:p>
            <w:pPr>
              <w:spacing w:after="0"/>
              <w:rPr>
                <w:sz w:val="13"/>
                <w:szCs w:val="13"/>
                <w:color w:val="auto"/>
              </w:rPr>
            </w:pPr>
          </w:p>
        </w:tc>
        <w:tc>
          <w:tcPr>
            <w:tcW w:w="2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auto"/>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40" w:type="dxa"/>
            <w:vAlign w:val="bottom"/>
            <w:tcBorders>
              <w:bottom w:val="single" w:sz="8" w:color="CCECFF"/>
            </w:tcBorders>
            <w:shd w:val="clear" w:color="auto" w:fill="CCECFF"/>
          </w:tcPr>
          <w:p>
            <w:pPr>
              <w:spacing w:after="0"/>
              <w:rPr>
                <w:sz w:val="14"/>
                <w:szCs w:val="14"/>
                <w:color w:val="auto"/>
              </w:rPr>
            </w:pPr>
          </w:p>
        </w:tc>
        <w:tc>
          <w:tcPr>
            <w:tcW w:w="2140" w:type="dxa"/>
            <w:vAlign w:val="bottom"/>
            <w:tcBorders>
              <w:top w:val="single" w:sz="8" w:color="auto"/>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80" w:type="dxa"/>
            <w:vAlign w:val="bottom"/>
            <w:tcBorders>
              <w:bottom w:val="single" w:sz="8" w:color="CCECFF"/>
            </w:tcBorders>
            <w:shd w:val="clear" w:color="auto" w:fill="CCECFF"/>
          </w:tcPr>
          <w:p>
            <w:pPr>
              <w:spacing w:after="0"/>
              <w:rPr>
                <w:sz w:val="14"/>
                <w:szCs w:val="14"/>
                <w:color w:val="auto"/>
              </w:rPr>
            </w:pPr>
          </w:p>
        </w:tc>
        <w:tc>
          <w:tcPr>
            <w:tcW w:w="2100" w:type="dxa"/>
            <w:vAlign w:val="bottom"/>
            <w:tcBorders>
              <w:top w:val="single" w:sz="8" w:color="auto"/>
              <w:bottom w:val="single" w:sz="8" w:color="auto"/>
            </w:tcBorders>
            <w:shd w:val="clear" w:color="auto" w:fill="CCECFF"/>
          </w:tcPr>
          <w:p>
            <w:pPr>
              <w:ind w:left="1920"/>
              <w:spacing w:after="0"/>
              <w:rPr>
                <w:sz w:val="20"/>
                <w:szCs w:val="20"/>
                <w:color w:val="auto"/>
              </w:rPr>
            </w:pPr>
            <w:r>
              <w:rPr>
                <w:rFonts w:ascii="Times New Roman" w:cs="Times New Roman" w:eastAsia="Times New Roman" w:hAnsi="Times New Roman"/>
                <w:sz w:val="14"/>
                <w:szCs w:val="14"/>
                <w:color w:val="auto"/>
                <w:w w:val="91"/>
              </w:rPr>
              <w:t>2.9</w:t>
            </w:r>
          </w:p>
        </w:tc>
        <w:tc>
          <w:tcPr>
            <w:tcW w:w="320" w:type="dxa"/>
            <w:vAlign w:val="bottom"/>
            <w:tcBorders>
              <w:bottom w:val="single" w:sz="8" w:color="CCECFF"/>
            </w:tcBorders>
            <w:shd w:val="clear" w:color="auto" w:fill="CCECFF"/>
          </w:tcPr>
          <w:p>
            <w:pPr>
              <w:spacing w:after="0"/>
              <w:rPr>
                <w:sz w:val="14"/>
                <w:szCs w:val="14"/>
                <w:color w:val="auto"/>
              </w:rPr>
            </w:pPr>
          </w:p>
        </w:tc>
        <w:tc>
          <w:tcPr>
            <w:tcW w:w="320" w:type="dxa"/>
            <w:vAlign w:val="bottom"/>
            <w:tcBorders>
              <w:top w:val="single" w:sz="8" w:color="auto"/>
              <w:bottom w:val="single" w:sz="8" w:color="auto"/>
            </w:tcBorders>
            <w:shd w:val="clear" w:color="auto" w:fill="CCECFF"/>
          </w:tcPr>
          <w:p>
            <w:pPr>
              <w:spacing w:after="0"/>
              <w:rPr>
                <w:sz w:val="14"/>
                <w:szCs w:val="14"/>
                <w:color w:val="auto"/>
              </w:rPr>
            </w:pPr>
          </w:p>
        </w:tc>
        <w:tc>
          <w:tcPr>
            <w:tcW w:w="23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Rate / Total</w:t>
            </w: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0" w:type="dxa"/>
            <w:vAlign w:val="bottom"/>
            <w:gridSpan w:val="3"/>
          </w:tcPr>
          <w:p>
            <w:pPr>
              <w:ind w:left="2100"/>
              <w:spacing w:after="0"/>
              <w:rPr>
                <w:sz w:val="20"/>
                <w:szCs w:val="20"/>
                <w:color w:val="auto"/>
              </w:rPr>
            </w:pPr>
            <w:r>
              <w:rPr>
                <w:rFonts w:ascii="Times New Roman" w:cs="Times New Roman" w:eastAsia="Times New Roman" w:hAnsi="Times New Roman"/>
                <w:sz w:val="14"/>
                <w:szCs w:val="14"/>
                <w:color w:val="auto"/>
              </w:rPr>
              <w:t>2.9 %</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352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tcPr>
          <w:p>
            <w:pPr>
              <w:spacing w:after="0"/>
              <w:rPr>
                <w:sz w:val="24"/>
                <w:szCs w:val="24"/>
                <w:color w:val="auto"/>
              </w:rPr>
            </w:pPr>
          </w:p>
        </w:tc>
        <w:tc>
          <w:tcPr>
            <w:tcW w:w="214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24"/>
                <w:szCs w:val="24"/>
                <w:color w:val="auto"/>
              </w:rPr>
            </w:pPr>
          </w:p>
        </w:tc>
        <w:tc>
          <w:tcPr>
            <w:tcW w:w="2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9"/>
                <w:szCs w:val="19"/>
                <w:b w:val="1"/>
                <w:bCs w:val="1"/>
                <w:color w:val="auto"/>
                <w:vertAlign w:val="superscript"/>
              </w:rPr>
              <w:t>(1)</w:t>
            </w:r>
          </w:p>
        </w:tc>
        <w:tc>
          <w:tcPr>
            <w:tcW w:w="320" w:type="dxa"/>
            <w:vAlign w:val="bottom"/>
          </w:tcPr>
          <w:p>
            <w:pPr>
              <w:spacing w:after="0"/>
              <w:rPr>
                <w:sz w:val="24"/>
                <w:szCs w:val="24"/>
                <w:color w:val="auto"/>
              </w:rPr>
            </w:pPr>
          </w:p>
        </w:tc>
        <w:tc>
          <w:tcPr>
            <w:tcW w:w="2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As of September 30, 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5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32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September 20, 2017</w:t>
            </w:r>
          </w:p>
        </w:tc>
        <w:tc>
          <w:tcPr>
            <w:tcW w:w="240" w:type="dxa"/>
            <w:vAlign w:val="bottom"/>
          </w:tcPr>
          <w:p>
            <w:pPr>
              <w:spacing w:after="0"/>
              <w:rPr>
                <w:sz w:val="14"/>
                <w:szCs w:val="14"/>
                <w:color w:val="auto"/>
              </w:rPr>
            </w:pPr>
          </w:p>
        </w:tc>
        <w:tc>
          <w:tcPr>
            <w:tcW w:w="2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September 1, 2027</w:t>
            </w:r>
          </w:p>
        </w:tc>
        <w:tc>
          <w:tcPr>
            <w:tcW w:w="180" w:type="dxa"/>
            <w:vAlign w:val="bottom"/>
          </w:tcPr>
          <w:p>
            <w:pPr>
              <w:spacing w:after="0"/>
              <w:rPr>
                <w:sz w:val="14"/>
                <w:szCs w:val="14"/>
                <w:color w:val="auto"/>
              </w:rPr>
            </w:pPr>
          </w:p>
        </w:tc>
        <w:tc>
          <w:tcPr>
            <w:tcW w:w="2100" w:type="dxa"/>
            <w:vAlign w:val="bottom"/>
            <w:tcBorders>
              <w:top w:val="single" w:sz="8" w:color="auto"/>
            </w:tcBorders>
          </w:tcPr>
          <w:p>
            <w:pPr>
              <w:ind w:left="1920"/>
              <w:spacing w:after="0"/>
              <w:rPr>
                <w:sz w:val="20"/>
                <w:szCs w:val="20"/>
                <w:color w:val="auto"/>
              </w:rPr>
            </w:pPr>
            <w:r>
              <w:rPr>
                <w:rFonts w:ascii="Times New Roman" w:cs="Times New Roman" w:eastAsia="Times New Roman" w:hAnsi="Times New Roman"/>
                <w:sz w:val="14"/>
                <w:szCs w:val="14"/>
                <w:color w:val="auto"/>
                <w:w w:val="91"/>
              </w:rPr>
              <w:t>2.9</w:t>
            </w:r>
          </w:p>
        </w:tc>
        <w:tc>
          <w:tcPr>
            <w:tcW w:w="3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March 21, 2018</w:t>
            </w:r>
          </w:p>
        </w:tc>
        <w:tc>
          <w:tcPr>
            <w:tcW w:w="240" w:type="dxa"/>
            <w:vAlign w:val="bottom"/>
            <w:tcBorders>
              <w:bottom w:val="single" w:sz="8" w:color="CCECFF"/>
            </w:tcBorders>
            <w:shd w:val="clear" w:color="auto" w:fill="CCECFF"/>
          </w:tcPr>
          <w:p>
            <w:pPr>
              <w:spacing w:after="0"/>
              <w:rPr>
                <w:sz w:val="15"/>
                <w:szCs w:val="15"/>
                <w:color w:val="auto"/>
              </w:rPr>
            </w:pPr>
          </w:p>
        </w:tc>
        <w:tc>
          <w:tcPr>
            <w:tcW w:w="214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March 1, 2028</w:t>
            </w:r>
          </w:p>
        </w:tc>
        <w:tc>
          <w:tcPr>
            <w:tcW w:w="180" w:type="dxa"/>
            <w:vAlign w:val="bottom"/>
            <w:tcBorders>
              <w:bottom w:val="single" w:sz="8" w:color="CCECFF"/>
            </w:tcBorders>
            <w:shd w:val="clear" w:color="auto" w:fill="CCECFF"/>
          </w:tcPr>
          <w:p>
            <w:pPr>
              <w:spacing w:after="0"/>
              <w:rPr>
                <w:sz w:val="15"/>
                <w:szCs w:val="15"/>
                <w:color w:val="auto"/>
              </w:rPr>
            </w:pPr>
          </w:p>
        </w:tc>
        <w:tc>
          <w:tcPr>
            <w:tcW w:w="2100" w:type="dxa"/>
            <w:vAlign w:val="bottom"/>
            <w:tcBorders>
              <w:bottom w:val="single" w:sz="8" w:color="auto"/>
            </w:tcBorders>
            <w:shd w:val="clear" w:color="auto" w:fill="CCECFF"/>
          </w:tcPr>
          <w:p>
            <w:pPr>
              <w:ind w:left="1920"/>
              <w:spacing w:after="0"/>
              <w:rPr>
                <w:sz w:val="20"/>
                <w:szCs w:val="20"/>
                <w:color w:val="auto"/>
              </w:rPr>
            </w:pPr>
            <w:r>
              <w:rPr>
                <w:rFonts w:ascii="Times New Roman" w:cs="Times New Roman" w:eastAsia="Times New Roman" w:hAnsi="Times New Roman"/>
                <w:sz w:val="14"/>
                <w:szCs w:val="14"/>
                <w:color w:val="auto"/>
                <w:w w:val="91"/>
              </w:rPr>
              <w:t>3.5</w:t>
            </w:r>
          </w:p>
        </w:tc>
        <w:tc>
          <w:tcPr>
            <w:tcW w:w="320" w:type="dxa"/>
            <w:vAlign w:val="bottom"/>
            <w:tcBorders>
              <w:bottom w:val="single" w:sz="8" w:color="CCECFF"/>
            </w:tcBorders>
            <w:shd w:val="clear" w:color="auto" w:fill="CCECFF"/>
          </w:tcPr>
          <w:p>
            <w:pPr>
              <w:spacing w:after="0"/>
              <w:rPr>
                <w:sz w:val="15"/>
                <w:szCs w:val="15"/>
                <w:color w:val="auto"/>
              </w:rPr>
            </w:pPr>
          </w:p>
        </w:tc>
        <w:tc>
          <w:tcPr>
            <w:tcW w:w="320" w:type="dxa"/>
            <w:vAlign w:val="bottom"/>
            <w:tcBorders>
              <w:bottom w:val="single" w:sz="8" w:color="auto"/>
            </w:tcBorders>
            <w:shd w:val="clear" w:color="auto" w:fill="CCECFF"/>
          </w:tcPr>
          <w:p>
            <w:pPr>
              <w:spacing w:after="0"/>
              <w:rPr>
                <w:sz w:val="15"/>
                <w:szCs w:val="15"/>
                <w:color w:val="auto"/>
              </w:rPr>
            </w:pPr>
          </w:p>
        </w:tc>
        <w:tc>
          <w:tcPr>
            <w:tcW w:w="23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00" w:type="dxa"/>
            <w:vAlign w:val="bottom"/>
            <w:tcBorders>
              <w:bottom w:val="single" w:sz="8" w:color="CCECFF"/>
            </w:tcBorders>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Rate / Total</w:t>
            </w: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00" w:type="dxa"/>
            <w:vAlign w:val="bottom"/>
            <w:gridSpan w:val="3"/>
          </w:tcPr>
          <w:p>
            <w:pPr>
              <w:ind w:left="2100"/>
              <w:spacing w:after="0"/>
              <w:rPr>
                <w:sz w:val="20"/>
                <w:szCs w:val="20"/>
                <w:color w:val="auto"/>
              </w:rPr>
            </w:pPr>
            <w:r>
              <w:rPr>
                <w:rFonts w:ascii="Times New Roman" w:cs="Times New Roman" w:eastAsia="Times New Roman" w:hAnsi="Times New Roman"/>
                <w:sz w:val="14"/>
                <w:szCs w:val="14"/>
                <w:color w:val="auto"/>
              </w:rPr>
              <w:t xml:space="preserve">3.5 </w:t>
            </w:r>
            <w:r>
              <w:rPr>
                <w:rFonts w:ascii="Times New Roman" w:cs="Times New Roman" w:eastAsia="Times New Roman" w:hAnsi="Times New Roman"/>
                <w:sz w:val="14"/>
                <w:szCs w:val="14"/>
                <w:color w:val="auto"/>
                <w:highlight w:val="white"/>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-839470</wp:posOffset>
            </wp:positionV>
            <wp:extent cx="68580" cy="58293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5829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58293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5829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119126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08" w:lineRule="exact"/>
        <w:rPr>
          <w:sz w:val="20"/>
          <w:szCs w:val="20"/>
          <w:color w:val="auto"/>
        </w:rPr>
      </w:pPr>
    </w:p>
    <w:p>
      <w:pPr>
        <w:ind w:left="380" w:hanging="372"/>
        <w:spacing w:after="0"/>
        <w:tabs>
          <w:tab w:leader="none" w:pos="380" w:val="left"/>
        </w:tabs>
        <w:numPr>
          <w:ilvl w:val="0"/>
          <w:numId w:val="8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Excluding 3.4% of upfront fees.</w:t>
      </w:r>
    </w:p>
    <w:p>
      <w:pPr>
        <w:spacing w:after="0" w:line="119" w:lineRule="exact"/>
        <w:rPr>
          <w:sz w:val="20"/>
          <w:szCs w:val="20"/>
          <w:color w:val="auto"/>
        </w:rPr>
      </w:pPr>
    </w:p>
    <w:p>
      <w:pPr>
        <w:ind w:firstLine="449"/>
        <w:spacing w:after="0" w:line="257"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its financial statements that are prepared on a basis of accounting other than GAAP (for example, fair value, as defined under ASC 820, is not required to be used for assets or liabilities for such compliance reporting).</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As of September 30, 2022 and 2021, we had zero and $86.3 million in aggregate principal amount of 2024 Notes outstanding, respectively. The 2024 Notes were redeemed on November</w:t>
      </w:r>
    </w:p>
    <w:p>
      <w:pPr>
        <w:spacing w:after="0" w:line="1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4"/>
          <w:szCs w:val="14"/>
          <w:color w:val="auto"/>
        </w:rPr>
        <w:t>13, 2021 at a redemption price of $25.00 per 2024 Note, plus accrued and unpaid interest to November 13, 2021, pursuant to the indenture governing the 2024 Notes. Interest on the 2024 Notes was paid quarterly on January 15, April 15, July 15 and October 15, at a rate of 5.5% per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w:t>
      </w:r>
    </w:p>
    <w:p>
      <w:pPr>
        <w:spacing w:after="0" w:line="154" w:lineRule="exact"/>
        <w:rPr>
          <w:sz w:val="20"/>
          <w:szCs w:val="20"/>
          <w:color w:val="auto"/>
        </w:rPr>
      </w:pPr>
    </w:p>
    <w:p>
      <w:pPr>
        <w:ind w:right="80" w:firstLine="449"/>
        <w:spacing w:after="0" w:line="243" w:lineRule="auto"/>
        <w:rPr>
          <w:sz w:val="20"/>
          <w:szCs w:val="20"/>
          <w:color w:val="auto"/>
        </w:rPr>
      </w:pPr>
      <w:r>
        <w:rPr>
          <w:rFonts w:ascii="Times New Roman" w:cs="Times New Roman" w:eastAsia="Times New Roman" w:hAnsi="Times New Roman"/>
          <w:sz w:val="14"/>
          <w:szCs w:val="14"/>
          <w:color w:val="auto"/>
        </w:rPr>
        <w:t>In April 2021, we issued $150.0 million in aggregate principal amount of our 2026 Notes at a public offering price per note of 99.4%. Interest on the 2026 Notes is paid semi-annually on May 1 and November 1 of each year, at a rate of 4.50% per year, commencing November 1, 2021. The 2026 Notes mature on May 1, 2026 and may be redeemed in whole or in part at our option</w:t>
      </w:r>
    </w:p>
    <w:p>
      <w:pPr>
        <w:spacing w:after="0" w:line="1" w:lineRule="exact"/>
        <w:rPr>
          <w:sz w:val="20"/>
          <w:szCs w:val="20"/>
          <w:color w:val="auto"/>
        </w:rPr>
      </w:pPr>
    </w:p>
    <w:p>
      <w:pPr>
        <w:ind w:right="300"/>
        <w:spacing w:after="0" w:line="241" w:lineRule="auto"/>
        <w:rPr>
          <w:sz w:val="20"/>
          <w:szCs w:val="20"/>
          <w:color w:val="auto"/>
        </w:rPr>
      </w:pPr>
      <w:r>
        <w:rPr>
          <w:rFonts w:ascii="Times New Roman" w:cs="Times New Roman" w:eastAsia="Times New Roman" w:hAnsi="Times New Roman"/>
          <w:sz w:val="14"/>
          <w:szCs w:val="14"/>
          <w:color w:val="auto"/>
        </w:rPr>
        <w:t>subject to a make-whole premium if redeemed more than three months prior to maturity. The 2026 Notes are general, unsecured obligations and rank equal in right of payment with all of our existing and future senior unsecured indebtedness. The 2026 Notes are effectively subordinated to all of our existing and future secured indebtedness to the extent of the value of the assets</w:t>
      </w:r>
    </w:p>
    <w:p>
      <w:pPr>
        <w:spacing w:after="0" w:line="1"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4"/>
          <w:szCs w:val="14"/>
          <w:color w:val="auto"/>
        </w:rPr>
        <w:t>securing such indebtedness and structurally subordinated to all existing and future indebtedness and other obligations of any of our subsidiaries, financing vehicles, or similar facilities. We do not intend to list the 2026 Notes on any securities exchange or automated dealer quotation system.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2026 Notes-2</w:t>
      </w:r>
    </w:p>
    <w:p>
      <w:pPr>
        <w:spacing w:after="0" w:line="154" w:lineRule="exact"/>
        <w:rPr>
          <w:sz w:val="20"/>
          <w:szCs w:val="20"/>
          <w:color w:val="auto"/>
        </w:rPr>
      </w:pPr>
    </w:p>
    <w:p>
      <w:pPr>
        <w:ind w:right="20" w:firstLine="449"/>
        <w:spacing w:after="0" w:line="243" w:lineRule="auto"/>
        <w:rPr>
          <w:sz w:val="20"/>
          <w:szCs w:val="20"/>
          <w:color w:val="auto"/>
        </w:rPr>
      </w:pPr>
      <w:r>
        <w:rPr>
          <w:rFonts w:ascii="Times New Roman" w:cs="Times New Roman" w:eastAsia="Times New Roman" w:hAnsi="Times New Roman"/>
          <w:sz w:val="14"/>
          <w:szCs w:val="14"/>
          <w:color w:val="auto"/>
        </w:rPr>
        <w:t>In October 2021, we issued $165.0 million in aggregate principal amount of our 2026 Notes-2 at a public offering price per note of 99.4%. Interest on the 2026 Notes-2 is paid semi-annually on May 1 and November 1 of each year, at a rate of 4.00% per year, commencing May 1, 2022. The 2026 Notes-2 mature on November 1, 2026 and may be redeemed in whole or in part</w:t>
      </w:r>
    </w:p>
    <w:p>
      <w:pPr>
        <w:spacing w:after="0" w:line="1"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4"/>
          <w:szCs w:val="14"/>
          <w:color w:val="auto"/>
        </w:rPr>
        <w:t>at our option subject to a make-whole premium if redeemed more than three months prior to maturity. The 2026 Notes-2 are general, unsecured obligations and rank equal in right of payment with all of our existing and future senior unsecured indebtedness. The 2026 Notes-2 are effectively subordinated to all of our existing and future secured indebtedness to the extent of the value of the assets securing such indebtedness and structurally subordinated to all existing and future indebtedness and other obligations of any of our subsidiaries, financing vehicles, or similar facilities.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do not intend to list the 2026 Notes-2 on any securities exchange or automated dealer quotation system.</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ind w:left="33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20"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152"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09" w:lineRule="exact"/>
        <w:rPr>
          <w:sz w:val="20"/>
          <w:szCs w:val="20"/>
          <w:color w:val="auto"/>
        </w:rPr>
      </w:pPr>
    </w:p>
    <w:p>
      <w:pPr>
        <w:ind w:right="140" w:firstLine="449"/>
        <w:spacing w:after="0" w:line="271" w:lineRule="auto"/>
        <w:rPr>
          <w:sz w:val="20"/>
          <w:szCs w:val="20"/>
          <w:color w:val="auto"/>
        </w:rPr>
      </w:pPr>
      <w:r>
        <w:rPr>
          <w:rFonts w:ascii="Times New Roman" w:cs="Times New Roman" w:eastAsia="Times New Roman" w:hAnsi="Times New Roman"/>
          <w:sz w:val="14"/>
          <w:szCs w:val="14"/>
          <w:color w:val="auto"/>
        </w:rPr>
        <w:t>Unfunded debt and equity investments, if any, are disclosed in the Consolidated Schedules of Investments. Under these arrangements, we may be required to supply a letter of credit to a third party if the portfolio company were to request a letter of credit. As of September 30, 2022 and 2021, we had $169.2 million and $104.8 million, respectively, in commitments to fund investments. For the same periods, there were no letters of credit issued.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UNCONSOLIDATED SIGNIFICANT SUBSIDIARIES</w:t>
      </w:r>
    </w:p>
    <w:p>
      <w:pPr>
        <w:spacing w:after="0" w:line="152" w:lineRule="exact"/>
        <w:rPr>
          <w:sz w:val="20"/>
          <w:szCs w:val="20"/>
          <w:color w:val="auto"/>
        </w:rPr>
      </w:pPr>
    </w:p>
    <w:p>
      <w:pPr>
        <w:ind w:right="40" w:firstLine="449"/>
        <w:spacing w:after="0" w:line="251" w:lineRule="auto"/>
        <w:rPr>
          <w:sz w:val="20"/>
          <w:szCs w:val="20"/>
          <w:color w:val="auto"/>
        </w:rPr>
      </w:pPr>
      <w:r>
        <w:rPr>
          <w:rFonts w:ascii="Times New Roman" w:cs="Times New Roman" w:eastAsia="Times New Roman" w:hAnsi="Times New Roman"/>
          <w:sz w:val="14"/>
          <w:szCs w:val="14"/>
          <w:color w:val="auto"/>
        </w:rPr>
        <w:t>We must determine which, if any, of our unconsolidated controlled portfolio companies is a "significant subsidiary" within the meaning of Regulation S-X. We have determined that, as of September 30, 2022, PennantPark Senior Loan Fund, LLC and RAM Energy Holdings LLC triggered at least one of the significance tests. In accordance with Rule 3-09, separate audited financial statements of RAM Energy Holdings LLC for the years ended September 30, 2021 , 2020 and 2019 are being filed herewith as Exhibit 99.2, and Exhibit 99.3, respectively. In addition, audited financial statements for the year ending September 30, 2022 will be filed for RAM Energy Holdings LLC will be filed via Form 10-K/A at a later date. Similarly, in accordance with Rule 4-08(g) of Regulation S-X</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 Our investment in PT Networks, LLC was realized on February 14, 2022.</w:t>
      </w:r>
    </w:p>
    <w:p>
      <w:pPr>
        <w:spacing w:after="0" w:line="117" w:lineRule="exact"/>
        <w:rPr>
          <w:sz w:val="20"/>
          <w:szCs w:val="20"/>
          <w:color w:val="auto"/>
        </w:rPr>
      </w:pPr>
    </w:p>
    <w:p>
      <w:pPr>
        <w:ind w:right="100" w:firstLine="449"/>
        <w:spacing w:after="0" w:line="261" w:lineRule="auto"/>
        <w:rPr>
          <w:sz w:val="20"/>
          <w:szCs w:val="20"/>
          <w:color w:val="auto"/>
        </w:rPr>
      </w:pPr>
      <w:r>
        <w:rPr>
          <w:rFonts w:ascii="Times New Roman" w:cs="Times New Roman" w:eastAsia="Times New Roman" w:hAnsi="Times New Roman"/>
          <w:sz w:val="14"/>
          <w:szCs w:val="14"/>
          <w:color w:val="auto"/>
        </w:rPr>
        <w:t>Founded in 2001, Pivot Health Solutions (“PT Network”) is one of the nation’s fastest growing physical therapy, occupational health, and onsite corporate health providers. PT Network has more than 250 physical therapy clinics throughout the Eastern region, 12 occupational health locations in Maryland and Delaware, and 150 onsite health clinics throughout the United States. PT Network offers patients individualized care through a full range of physical therapy services and specialty offerings. PT Network also operates a direct-to-employer business unit, Onsite Innovations, a unique and differentiated offering with its focus on prevention of employee injuries at an employer’s onsite location.</w:t>
      </w:r>
    </w:p>
    <w:p>
      <w:pPr>
        <w:spacing w:after="0" w:line="110" w:lineRule="exact"/>
        <w:rPr>
          <w:sz w:val="20"/>
          <w:szCs w:val="20"/>
          <w:color w:val="auto"/>
        </w:rPr>
      </w:pPr>
    </w:p>
    <w:p>
      <w:pPr>
        <w:ind w:right="200" w:firstLine="449"/>
        <w:spacing w:after="0" w:line="261" w:lineRule="auto"/>
        <w:rPr>
          <w:sz w:val="20"/>
          <w:szCs w:val="20"/>
          <w:color w:val="auto"/>
        </w:rPr>
      </w:pPr>
      <w:r>
        <w:rPr>
          <w:rFonts w:ascii="Times New Roman" w:cs="Times New Roman" w:eastAsia="Times New Roman" w:hAnsi="Times New Roman"/>
          <w:sz w:val="14"/>
          <w:szCs w:val="14"/>
          <w:color w:val="auto"/>
        </w:rPr>
        <w:t>On February 15, 2022, the Company sold its investment in PT Network. Below is certain selected key financial data from PT Network’s Balance Sheet at September 31, 2021 and 2020 and the twelve months ended December 31, 2021, 2020 and 2019 Income Statement for the periods in which our investment in PT Network exceeded the threshold in at least one of the tests under Rule 3-09 of Regulation S-X (amounts in thousands).</w:t>
      </w:r>
    </w:p>
    <w:p>
      <w:pPr>
        <w:spacing w:after="0" w:line="1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PT Networks, LLC: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100" w:type="dxa"/>
            <w:vAlign w:val="bottom"/>
          </w:tcPr>
          <w:p>
            <w:pPr>
              <w:spacing w:after="0"/>
              <w:rPr>
                <w:sz w:val="16"/>
                <w:szCs w:val="16"/>
                <w:color w:val="auto"/>
              </w:rPr>
            </w:pPr>
          </w:p>
        </w:tc>
      </w:tr>
      <w:tr>
        <w:trPr>
          <w:trHeight w:val="169"/>
        </w:trPr>
        <w:tc>
          <w:tcPr>
            <w:tcW w:w="5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shd w:val="clear" w:color="auto" w:fill="CCECFF"/>
          </w:tcPr>
          <w:p>
            <w:pPr>
              <w:spacing w:after="0"/>
              <w:rPr>
                <w:sz w:val="14"/>
                <w:szCs w:val="14"/>
                <w:color w:val="auto"/>
              </w:rPr>
            </w:pPr>
          </w:p>
        </w:tc>
        <w:tc>
          <w:tcPr>
            <w:tcW w:w="400" w:type="dxa"/>
            <w:vAlign w:val="bottom"/>
            <w:shd w:val="clear" w:color="auto" w:fill="CCEC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shd w:val="clear" w:color="auto" w:fill="CCECFF"/>
          </w:tcPr>
          <w:p>
            <w:pPr>
              <w:ind w:left="20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shd w:val="clear" w:color="auto" w:fill="CCECFF"/>
          </w:tcPr>
          <w:p>
            <w:pPr>
              <w:spacing w:after="0"/>
              <w:rPr>
                <w:sz w:val="14"/>
                <w:szCs w:val="14"/>
                <w:color w:val="auto"/>
              </w:rPr>
            </w:pPr>
          </w:p>
        </w:tc>
        <w:tc>
          <w:tcPr>
            <w:tcW w:w="360" w:type="dxa"/>
            <w:vAlign w:val="bottom"/>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55,422</w:t>
            </w:r>
          </w:p>
        </w:tc>
        <w:tc>
          <w:tcPr>
            <w:tcW w:w="100" w:type="dxa"/>
            <w:vAlign w:val="bottom"/>
            <w:shd w:val="clear" w:color="auto" w:fill="CCECFF"/>
          </w:tcPr>
          <w:p>
            <w:pPr>
              <w:spacing w:after="0"/>
              <w:rPr>
                <w:sz w:val="14"/>
                <w:szCs w:val="14"/>
                <w:color w:val="auto"/>
              </w:rPr>
            </w:pPr>
          </w:p>
        </w:tc>
      </w:tr>
      <w:tr>
        <w:trPr>
          <w:trHeight w:val="175"/>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20" w:type="dxa"/>
            <w:vAlign w:val="bottom"/>
          </w:tcPr>
          <w:p>
            <w:pPr>
              <w:ind w:left="20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217,045</w:t>
            </w:r>
          </w:p>
        </w:tc>
        <w:tc>
          <w:tcPr>
            <w:tcW w:w="100" w:type="dxa"/>
            <w:vAlign w:val="bottom"/>
          </w:tcPr>
          <w:p>
            <w:pPr>
              <w:spacing w:after="0"/>
              <w:rPr>
                <w:sz w:val="15"/>
                <w:szCs w:val="15"/>
                <w:color w:val="auto"/>
              </w:rPr>
            </w:pPr>
          </w:p>
        </w:tc>
      </w:tr>
      <w:tr>
        <w:trPr>
          <w:trHeight w:val="176"/>
        </w:trPr>
        <w:tc>
          <w:tcPr>
            <w:tcW w:w="54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2220" w:type="dxa"/>
            <w:vAlign w:val="bottom"/>
            <w:shd w:val="clear" w:color="auto" w:fill="CCECFF"/>
          </w:tcPr>
          <w:p>
            <w:pPr>
              <w:ind w:left="2060"/>
              <w:spacing w:after="0"/>
              <w:rPr>
                <w:sz w:val="20"/>
                <w:szCs w:val="20"/>
                <w:color w:val="auto"/>
              </w:rPr>
            </w:pPr>
            <w:r>
              <w:rPr>
                <w:rFonts w:ascii="Times New Roman" w:cs="Times New Roman" w:eastAsia="Times New Roman" w:hAnsi="Times New Roman"/>
                <w:sz w:val="14"/>
                <w:szCs w:val="14"/>
                <w:color w:val="auto"/>
                <w:w w:val="99"/>
              </w:rPr>
              <w:t>—</w:t>
            </w:r>
          </w:p>
        </w:tc>
        <w:tc>
          <w:tcPr>
            <w:tcW w:w="360" w:type="dxa"/>
            <w:vAlign w:val="bottom"/>
            <w:shd w:val="clear" w:color="auto" w:fill="CCECFF"/>
          </w:tcPr>
          <w:p>
            <w:pPr>
              <w:spacing w:after="0"/>
              <w:rPr>
                <w:sz w:val="15"/>
                <w:szCs w:val="15"/>
                <w:color w:val="auto"/>
              </w:rPr>
            </w:pPr>
          </w:p>
        </w:tc>
        <w:tc>
          <w:tcPr>
            <w:tcW w:w="360" w:type="dxa"/>
            <w:vAlign w:val="bottom"/>
            <w:shd w:val="clear" w:color="auto" w:fill="CCECFF"/>
          </w:tcPr>
          <w:p>
            <w:pPr>
              <w:spacing w:after="0"/>
              <w:rPr>
                <w:sz w:val="15"/>
                <w:szCs w:val="15"/>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31,451</w:t>
            </w:r>
          </w:p>
        </w:tc>
        <w:tc>
          <w:tcPr>
            <w:tcW w:w="100" w:type="dxa"/>
            <w:vAlign w:val="bottom"/>
            <w:shd w:val="clear" w:color="auto" w:fill="CCECFF"/>
          </w:tcPr>
          <w:p>
            <w:pPr>
              <w:spacing w:after="0"/>
              <w:rPr>
                <w:sz w:val="15"/>
                <w:szCs w:val="15"/>
                <w:color w:val="auto"/>
              </w:rPr>
            </w:pPr>
          </w:p>
        </w:tc>
      </w:tr>
      <w:tr>
        <w:trPr>
          <w:trHeight w:val="188"/>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6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220" w:type="dxa"/>
            <w:vAlign w:val="bottom"/>
          </w:tcPr>
          <w:p>
            <w:pPr>
              <w:ind w:left="20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211,047</w:t>
            </w:r>
          </w:p>
        </w:tc>
        <w:tc>
          <w:tcPr>
            <w:tcW w:w="100" w:type="dxa"/>
            <w:vAlign w:val="bottom"/>
          </w:tcPr>
          <w:p>
            <w:pPr>
              <w:spacing w:after="0"/>
              <w:rPr>
                <w:sz w:val="16"/>
                <w:szCs w:val="16"/>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shd w:val="clear" w:color="auto" w:fill="CCECFF"/>
          </w:tcPr>
          <w:p>
            <w:pPr>
              <w:spacing w:after="0"/>
              <w:rPr>
                <w:sz w:val="14"/>
                <w:szCs w:val="14"/>
                <w:color w:val="auto"/>
              </w:rPr>
            </w:pPr>
          </w:p>
        </w:tc>
        <w:tc>
          <w:tcPr>
            <w:tcW w:w="440" w:type="dxa"/>
            <w:vAlign w:val="bottom"/>
            <w:tcBorders>
              <w:top w:val="single" w:sz="8" w:color="auto"/>
            </w:tcBorders>
            <w:shd w:val="clear" w:color="auto" w:fill="CCEC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CFF"/>
          </w:tcPr>
          <w:p>
            <w:pPr>
              <w:spacing w:after="0"/>
              <w:rPr>
                <w:sz w:val="14"/>
                <w:szCs w:val="14"/>
                <w:color w:val="auto"/>
              </w:rPr>
            </w:pPr>
          </w:p>
        </w:tc>
        <w:tc>
          <w:tcPr>
            <w:tcW w:w="280" w:type="dxa"/>
            <w:vAlign w:val="bottom"/>
            <w:tcBorders>
              <w:top w:val="single" w:sz="8" w:color="auto"/>
            </w:tcBorders>
            <w:shd w:val="clear" w:color="auto" w:fill="CCECFF"/>
          </w:tcPr>
          <w:p>
            <w:pPr>
              <w:spacing w:after="0"/>
              <w:rPr>
                <w:sz w:val="14"/>
                <w:szCs w:val="14"/>
                <w:color w:val="auto"/>
              </w:rPr>
            </w:pPr>
          </w:p>
        </w:tc>
        <w:tc>
          <w:tcPr>
            <w:tcW w:w="8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CFF"/>
          </w:tcPr>
          <w:p>
            <w:pPr>
              <w:spacing w:after="0"/>
              <w:rPr>
                <w:sz w:val="14"/>
                <w:szCs w:val="14"/>
                <w:color w:val="auto"/>
              </w:rPr>
            </w:pPr>
          </w:p>
        </w:tc>
        <w:tc>
          <w:tcPr>
            <w:tcW w:w="58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254,761</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213,886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(252,188 )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(225,655 )</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Borders>
              <w:top w:val="single" w:sz="8" w:color="auto"/>
              <w:bottom w:val="single" w:sz="8" w:color="auto"/>
            </w:tcBorders>
            <w:shd w:val="clear" w:color="auto" w:fill="CCEC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CECFF"/>
          </w:tcPr>
          <w:p>
            <w:pPr>
              <w:spacing w:after="0"/>
              <w:rPr>
                <w:sz w:val="18"/>
                <w:szCs w:val="18"/>
                <w:color w:val="auto"/>
              </w:rPr>
            </w:pPr>
          </w:p>
        </w:tc>
        <w:tc>
          <w:tcPr>
            <w:tcW w:w="280" w:type="dxa"/>
            <w:vAlign w:val="bottom"/>
            <w:tcBorders>
              <w:top w:val="single" w:sz="8" w:color="auto"/>
              <w:bottom w:val="single" w:sz="8" w:color="auto"/>
            </w:tcBorders>
            <w:shd w:val="clear" w:color="auto" w:fill="CCECFF"/>
          </w:tcPr>
          <w:p>
            <w:pPr>
              <w:spacing w:after="0"/>
              <w:rPr>
                <w:sz w:val="18"/>
                <w:szCs w:val="18"/>
                <w:color w:val="auto"/>
              </w:rPr>
            </w:pP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C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2,573</w:t>
            </w:r>
          </w:p>
        </w:tc>
        <w:tc>
          <w:tcPr>
            <w:tcW w:w="300" w:type="dxa"/>
            <w:vAlign w:val="bottom"/>
            <w:tcBorders>
              <w:bottom w:val="single" w:sz="8" w:color="CCECFF"/>
            </w:tcBorders>
            <w:shd w:val="clear" w:color="auto" w:fill="CCECFF"/>
          </w:tcPr>
          <w:p>
            <w:pPr>
              <w:spacing w:after="0"/>
              <w:rPr>
                <w:sz w:val="18"/>
                <w:szCs w:val="18"/>
                <w:color w:val="auto"/>
              </w:rPr>
            </w:pPr>
          </w:p>
        </w:tc>
        <w:tc>
          <w:tcPr>
            <w:tcW w:w="2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(11,769</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348"/>
        </w:trPr>
        <w:tc>
          <w:tcPr>
            <w:tcW w:w="4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RAM Energy Holdings LLC:</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69"/>
        </w:trPr>
        <w:tc>
          <w:tcPr>
            <w:tcW w:w="4660" w:type="dxa"/>
            <w:vAlign w:val="bottom"/>
            <w:tcBorders>
              <w:top w:val="single" w:sz="8" w:color="auto"/>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440" w:type="dxa"/>
            <w:vAlign w:val="bottom"/>
            <w:tcBorders>
              <w:top w:val="single" w:sz="8" w:color="auto"/>
            </w:tcBorders>
            <w:shd w:val="clear" w:color="auto" w:fill="CCECFF"/>
          </w:tcPr>
          <w:p>
            <w:pPr>
              <w:spacing w:after="0"/>
              <w:rPr>
                <w:sz w:val="14"/>
                <w:szCs w:val="14"/>
                <w:color w:val="auto"/>
              </w:rPr>
            </w:pPr>
          </w:p>
        </w:tc>
        <w:tc>
          <w:tcPr>
            <w:tcW w:w="400" w:type="dxa"/>
            <w:vAlign w:val="bottom"/>
            <w:tcBorders>
              <w:top w:val="single" w:sz="8" w:color="auto"/>
            </w:tcBorders>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20" w:type="dxa"/>
            <w:vAlign w:val="bottom"/>
            <w:tcBorders>
              <w:top w:val="single" w:sz="8" w:color="auto"/>
            </w:tcBorders>
            <w:shd w:val="clear" w:color="auto" w:fill="CCEC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tcBorders>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12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21,051</w:t>
            </w:r>
          </w:p>
        </w:tc>
        <w:tc>
          <w:tcPr>
            <w:tcW w:w="360" w:type="dxa"/>
            <w:vAlign w:val="bottom"/>
            <w:shd w:val="clear" w:color="auto" w:fill="CCECFF"/>
          </w:tcPr>
          <w:p>
            <w:pPr>
              <w:spacing w:after="0"/>
              <w:rPr>
                <w:sz w:val="14"/>
                <w:szCs w:val="14"/>
                <w:color w:val="auto"/>
              </w:rPr>
            </w:pPr>
          </w:p>
        </w:tc>
        <w:tc>
          <w:tcPr>
            <w:tcW w:w="220" w:type="dxa"/>
            <w:vAlign w:val="bottom"/>
            <w:tcBorders>
              <w:top w:val="single" w:sz="8" w:color="auto"/>
            </w:tcBorders>
            <w:shd w:val="clear" w:color="auto" w:fill="CCEC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CFF"/>
          </w:tcPr>
          <w:p>
            <w:pPr>
              <w:spacing w:after="0"/>
              <w:rPr>
                <w:sz w:val="14"/>
                <w:szCs w:val="14"/>
                <w:color w:val="auto"/>
              </w:rPr>
            </w:pPr>
          </w:p>
        </w:tc>
        <w:tc>
          <w:tcPr>
            <w:tcW w:w="20" w:type="dxa"/>
            <w:vAlign w:val="bottom"/>
            <w:tcBorders>
              <w:top w:val="single" w:sz="8" w:color="auto"/>
            </w:tcBorders>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spacing w:after="0"/>
              <w:rPr>
                <w:sz w:val="14"/>
                <w:szCs w:val="14"/>
                <w:color w:val="auto"/>
              </w:rPr>
            </w:pPr>
          </w:p>
        </w:tc>
        <w:tc>
          <w:tcPr>
            <w:tcW w:w="1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32,239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71,411</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440" w:type="dxa"/>
            <w:vAlign w:val="bottom"/>
            <w:shd w:val="clear" w:color="auto" w:fill="CCECFF"/>
          </w:tcPr>
          <w:p>
            <w:pPr>
              <w:spacing w:after="0"/>
              <w:rPr>
                <w:sz w:val="15"/>
                <w:szCs w:val="15"/>
                <w:color w:val="auto"/>
              </w:rPr>
            </w:pPr>
          </w:p>
        </w:tc>
        <w:tc>
          <w:tcPr>
            <w:tcW w:w="400" w:type="dxa"/>
            <w:vAlign w:val="bottom"/>
            <w:shd w:val="clear" w:color="auto" w:fill="CCECFF"/>
          </w:tcPr>
          <w:p>
            <w:pPr>
              <w:spacing w:after="0"/>
              <w:rPr>
                <w:sz w:val="15"/>
                <w:szCs w:val="15"/>
                <w:color w:val="auto"/>
              </w:rPr>
            </w:pPr>
          </w:p>
        </w:tc>
        <w:tc>
          <w:tcPr>
            <w:tcW w:w="280" w:type="dxa"/>
            <w:vAlign w:val="bottom"/>
            <w:shd w:val="clear" w:color="auto" w:fill="CCECFF"/>
          </w:tcPr>
          <w:p>
            <w:pPr>
              <w:spacing w:after="0"/>
              <w:rPr>
                <w:sz w:val="15"/>
                <w:szCs w:val="15"/>
                <w:color w:val="auto"/>
              </w:rPr>
            </w:pPr>
          </w:p>
        </w:tc>
        <w:tc>
          <w:tcPr>
            <w:tcW w:w="820" w:type="dxa"/>
            <w:vAlign w:val="bottom"/>
            <w:shd w:val="clear" w:color="auto" w:fill="CCECFF"/>
          </w:tcPr>
          <w:p>
            <w:pPr>
              <w:spacing w:after="0"/>
              <w:rPr>
                <w:sz w:val="15"/>
                <w:szCs w:val="15"/>
                <w:color w:val="auto"/>
              </w:rPr>
            </w:pPr>
          </w:p>
        </w:tc>
        <w:tc>
          <w:tcPr>
            <w:tcW w:w="3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24,721</w:t>
            </w:r>
          </w:p>
        </w:tc>
        <w:tc>
          <w:tcPr>
            <w:tcW w:w="360" w:type="dxa"/>
            <w:vAlign w:val="bottom"/>
            <w:shd w:val="clear" w:color="auto" w:fill="CCECFF"/>
          </w:tcPr>
          <w:p>
            <w:pPr>
              <w:spacing w:after="0"/>
              <w:rPr>
                <w:sz w:val="15"/>
                <w:szCs w:val="15"/>
                <w:color w:val="auto"/>
              </w:rPr>
            </w:pPr>
          </w:p>
        </w:tc>
        <w:tc>
          <w:tcPr>
            <w:tcW w:w="220" w:type="dxa"/>
            <w:vAlign w:val="bottom"/>
            <w:shd w:val="clear" w:color="auto" w:fill="CCECFF"/>
          </w:tcPr>
          <w:p>
            <w:pPr>
              <w:spacing w:after="0"/>
              <w:rPr>
                <w:sz w:val="15"/>
                <w:szCs w:val="15"/>
                <w:color w:val="auto"/>
              </w:rPr>
            </w:pPr>
          </w:p>
        </w:tc>
        <w:tc>
          <w:tcPr>
            <w:tcW w:w="300" w:type="dxa"/>
            <w:vAlign w:val="bottom"/>
            <w:shd w:val="clear" w:color="auto" w:fill="CCECFF"/>
          </w:tcPr>
          <w:p>
            <w:pPr>
              <w:spacing w:after="0"/>
              <w:rPr>
                <w:sz w:val="15"/>
                <w:szCs w:val="15"/>
                <w:color w:val="auto"/>
              </w:rPr>
            </w:pPr>
          </w:p>
        </w:tc>
        <w:tc>
          <w:tcPr>
            <w:tcW w:w="2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1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15,058</w:t>
            </w:r>
          </w:p>
        </w:tc>
        <w:tc>
          <w:tcPr>
            <w:tcW w:w="100" w:type="dxa"/>
            <w:vAlign w:val="bottom"/>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440" w:type="dxa"/>
            <w:vAlign w:val="bottom"/>
          </w:tcPr>
          <w:p>
            <w:pPr>
              <w:spacing w:after="0"/>
              <w:rPr>
                <w:sz w:val="16"/>
                <w:szCs w:val="16"/>
                <w:color w:val="auto"/>
              </w:rPr>
            </w:pPr>
          </w:p>
        </w:tc>
        <w:tc>
          <w:tcPr>
            <w:tcW w:w="1500" w:type="dxa"/>
            <w:vAlign w:val="bottom"/>
            <w:gridSpan w:val="3"/>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40,921</w:t>
            </w:r>
          </w:p>
        </w:tc>
        <w:tc>
          <w:tcPr>
            <w:tcW w:w="5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w:t>
            </w: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6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40" w:type="dxa"/>
            <w:vAlign w:val="bottom"/>
            <w:tcBorders>
              <w:top w:val="single" w:sz="8" w:color="auto"/>
            </w:tcBorders>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shd w:val="clear" w:color="auto" w:fill="CCECFF"/>
          </w:tcPr>
          <w:p>
            <w:pPr>
              <w:spacing w:after="0"/>
              <w:rPr>
                <w:sz w:val="14"/>
                <w:szCs w:val="14"/>
                <w:color w:val="auto"/>
              </w:rPr>
            </w:pPr>
          </w:p>
        </w:tc>
        <w:tc>
          <w:tcPr>
            <w:tcW w:w="440" w:type="dxa"/>
            <w:vAlign w:val="bottom"/>
            <w:tcBorders>
              <w:top w:val="single" w:sz="8" w:color="auto"/>
            </w:tcBorders>
            <w:shd w:val="clear" w:color="auto" w:fill="CCEC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52,051</w:t>
            </w:r>
          </w:p>
        </w:tc>
        <w:tc>
          <w:tcPr>
            <w:tcW w:w="340" w:type="dxa"/>
            <w:vAlign w:val="bottom"/>
            <w:shd w:val="clear" w:color="auto" w:fill="CCECFF"/>
          </w:tcPr>
          <w:p>
            <w:pPr>
              <w:spacing w:after="0"/>
              <w:rPr>
                <w:sz w:val="14"/>
                <w:szCs w:val="14"/>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spacing w:after="0"/>
              <w:rPr>
                <w:sz w:val="14"/>
                <w:szCs w:val="14"/>
                <w:color w:val="auto"/>
              </w:rPr>
            </w:pPr>
          </w:p>
        </w:tc>
        <w:tc>
          <w:tcPr>
            <w:tcW w:w="58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57,931</w:t>
            </w:r>
          </w:p>
        </w:tc>
        <w:tc>
          <w:tcPr>
            <w:tcW w:w="300" w:type="dxa"/>
            <w:vAlign w:val="bottom"/>
            <w:shd w:val="clear" w:color="auto" w:fill="CCECFF"/>
          </w:tcPr>
          <w:p>
            <w:pPr>
              <w:spacing w:after="0"/>
              <w:rPr>
                <w:sz w:val="14"/>
                <w:szCs w:val="14"/>
                <w:color w:val="auto"/>
              </w:rPr>
            </w:pPr>
          </w:p>
        </w:tc>
        <w:tc>
          <w:tcPr>
            <w:tcW w:w="120" w:type="dxa"/>
            <w:vAlign w:val="bottom"/>
            <w:tcBorders>
              <w:top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30,586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440" w:type="dxa"/>
            <w:vAlign w:val="bottom"/>
          </w:tcPr>
          <w:p>
            <w:pPr>
              <w:spacing w:after="0"/>
              <w:rPr>
                <w:sz w:val="15"/>
                <w:szCs w:val="15"/>
                <w:color w:val="auto"/>
              </w:rPr>
            </w:pPr>
          </w:p>
        </w:tc>
        <w:tc>
          <w:tcPr>
            <w:tcW w:w="18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(47,589 )</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(39,511 )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(75,915 )</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CFF"/>
            </w:tcBorders>
            <w:gridSpan w:val="2"/>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40" w:type="dxa"/>
            <w:vAlign w:val="bottom"/>
            <w:tcBorders>
              <w:top w:val="single" w:sz="8" w:color="auto"/>
              <w:bottom w:val="single" w:sz="8" w:color="auto"/>
            </w:tcBorders>
            <w:shd w:val="clear" w:color="auto" w:fill="CCECFF"/>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gridSpan w:val="3"/>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4,462</w:t>
            </w:r>
          </w:p>
        </w:tc>
        <w:tc>
          <w:tcPr>
            <w:tcW w:w="340" w:type="dxa"/>
            <w:vAlign w:val="bottom"/>
            <w:tcBorders>
              <w:bottom w:val="single" w:sz="8" w:color="CCECFF"/>
            </w:tcBorders>
            <w:shd w:val="clear" w:color="auto" w:fill="CCECFF"/>
          </w:tcPr>
          <w:p>
            <w:pPr>
              <w:spacing w:after="0"/>
              <w:rPr>
                <w:sz w:val="18"/>
                <w:szCs w:val="18"/>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C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18,420</w:t>
            </w:r>
          </w:p>
        </w:tc>
        <w:tc>
          <w:tcPr>
            <w:tcW w:w="30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(45,329</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-1696720</wp:posOffset>
            </wp:positionV>
            <wp:extent cx="768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-1679575</wp:posOffset>
            </wp:positionV>
            <wp:extent cx="768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-1696720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-1679575</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7747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774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-24765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STOCK REPURCHASE PROGRAM</w:t>
      </w:r>
    </w:p>
    <w:p>
      <w:pPr>
        <w:spacing w:after="0" w:line="179" w:lineRule="exact"/>
        <w:rPr>
          <w:sz w:val="20"/>
          <w:szCs w:val="20"/>
          <w:color w:val="auto"/>
        </w:rPr>
      </w:pPr>
    </w:p>
    <w:p>
      <w:pPr>
        <w:ind w:right="20" w:firstLine="469"/>
        <w:spacing w:after="0" w:line="256" w:lineRule="auto"/>
        <w:rPr>
          <w:sz w:val="20"/>
          <w:szCs w:val="20"/>
          <w:color w:val="auto"/>
        </w:rPr>
      </w:pPr>
      <w:r>
        <w:rPr>
          <w:rFonts w:ascii="Times New Roman" w:cs="Times New Roman" w:eastAsia="Times New Roman" w:hAnsi="Times New Roman"/>
          <w:sz w:val="14"/>
          <w:szCs w:val="14"/>
          <w:color w:val="auto"/>
        </w:rPr>
        <w:t>On February 9, 2022, we announced a share repurchase program which allows us to repurchase up to $25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March 31, 2023 and the repurchase of $25 million of common stock. During the year ended September 30, 2022, we repurchased 1,820,605 shares of common stock in open market transactions for an aggregate cost (including transaction costs) of $13.2 million. During the year ended September 30, 2021 and 2020, we did not make any repurchases of shares of our common stock.</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07" w:lineRule="exact"/>
        <w:rPr>
          <w:sz w:val="20"/>
          <w:szCs w:val="20"/>
          <w:color w:val="auto"/>
        </w:rPr>
      </w:pPr>
    </w:p>
    <w:p>
      <w:pPr>
        <w:ind w:left="560" w:hanging="552"/>
        <w:spacing w:after="0"/>
        <w:tabs>
          <w:tab w:leader="none" w:pos="560" w:val="left"/>
        </w:tabs>
        <w:numPr>
          <w:ilvl w:val="0"/>
          <w:numId w:val="8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221"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4"/>
          <w:szCs w:val="14"/>
          <w:color w:val="auto"/>
        </w:rPr>
        <w:t>As of September 30, 2022,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due to the material weakness in the Company’s internal control over financial reporting described in Management’s Report on Internal Control Over Financial Reporting, which appears on page 60 of this Form 10-K, our disclosure controls and procedures were not effective to provide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354" w:lineRule="exact"/>
        <w:rPr>
          <w:sz w:val="20"/>
          <w:szCs w:val="20"/>
          <w:color w:val="auto"/>
        </w:rPr>
      </w:pPr>
    </w:p>
    <w:p>
      <w:pPr>
        <w:ind w:left="460" w:right="460"/>
        <w:spacing w:after="0" w:line="282" w:lineRule="auto"/>
        <w:rPr>
          <w:sz w:val="20"/>
          <w:szCs w:val="20"/>
          <w:color w:val="auto"/>
        </w:rPr>
      </w:pPr>
      <w:r>
        <w:rPr>
          <w:rFonts w:ascii="Times New Roman" w:cs="Times New Roman" w:eastAsia="Times New Roman" w:hAnsi="Times New Roman"/>
          <w:sz w:val="14"/>
          <w:szCs w:val="14"/>
          <w:color w:val="auto"/>
        </w:rPr>
        <w:t>Notwithstanding the material weakness, management believes that the financial statements included in this Annual Report on Form 10-K present fairly, in all material respects, the Company’s financial position, results of its operations, changes in net assets and cash flows for the periods presented.</w:t>
      </w:r>
    </w:p>
    <w:p>
      <w:pPr>
        <w:spacing w:after="0" w:line="50" w:lineRule="exact"/>
        <w:rPr>
          <w:sz w:val="20"/>
          <w:szCs w:val="20"/>
          <w:color w:val="auto"/>
        </w:rPr>
      </w:pPr>
    </w:p>
    <w:p>
      <w:pPr>
        <w:ind w:left="560" w:hanging="552"/>
        <w:spacing w:after="0"/>
        <w:tabs>
          <w:tab w:leader="none" w:pos="560" w:val="left"/>
        </w:tabs>
        <w:numPr>
          <w:ilvl w:val="0"/>
          <w:numId w:val="8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Management’s Report on Internal Control Over Financial Reporting, which appears on page 60 of this Form 10-K, is incorporated by reference herein.</w:t>
      </w:r>
    </w:p>
    <w:p>
      <w:pPr>
        <w:spacing w:after="0" w:line="105" w:lineRule="exact"/>
        <w:rPr>
          <w:sz w:val="20"/>
          <w:szCs w:val="20"/>
          <w:color w:val="auto"/>
        </w:rPr>
      </w:pPr>
    </w:p>
    <w:p>
      <w:pPr>
        <w:ind w:left="560" w:hanging="552"/>
        <w:spacing w:after="0"/>
        <w:tabs>
          <w:tab w:leader="none" w:pos="560" w:val="left"/>
        </w:tabs>
        <w:numPr>
          <w:ilvl w:val="0"/>
          <w:numId w:val="8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Changes in Internal Controls Over Financial Reporting</w:t>
      </w:r>
    </w:p>
    <w:p>
      <w:pPr>
        <w:spacing w:after="0" w:line="208" w:lineRule="exact"/>
        <w:rPr>
          <w:sz w:val="20"/>
          <w:szCs w:val="20"/>
          <w:color w:val="auto"/>
        </w:rPr>
      </w:pPr>
    </w:p>
    <w:p>
      <w:pPr>
        <w:ind w:left="460" w:right="160"/>
        <w:spacing w:after="0" w:line="302"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94" w:lineRule="exact"/>
        <w:rPr>
          <w:sz w:val="20"/>
          <w:szCs w:val="20"/>
          <w:color w:val="auto"/>
        </w:rPr>
      </w:pPr>
    </w:p>
    <w:p>
      <w:pPr>
        <w:ind w:left="460" w:right="480"/>
        <w:spacing w:after="0" w:line="282" w:lineRule="auto"/>
        <w:rPr>
          <w:sz w:val="20"/>
          <w:szCs w:val="20"/>
          <w:color w:val="auto"/>
        </w:rPr>
      </w:pPr>
      <w:r>
        <w:rPr>
          <w:rFonts w:ascii="Times New Roman" w:cs="Times New Roman" w:eastAsia="Times New Roman" w:hAnsi="Times New Roman"/>
          <w:sz w:val="14"/>
          <w:szCs w:val="14"/>
          <w:color w:val="auto"/>
        </w:rPr>
        <w:t>Please see Management’s Report on Internal Control Over Financial Reporting, which appears on page 60 of this Form 10-K for a description of a material weakness identified by Management.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None.</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7" w:right="359" w:bottom="1440" w:gutter="0" w:footer="0" w:header="0"/>
        </w:sectPr>
      </w:pPr>
    </w:p>
    <w:bookmarkStart w:id="95" w:name="page96"/>
    <w:bookmarkEnd w:id="95"/>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52" w:lineRule="exact"/>
        <w:rPr>
          <w:sz w:val="20"/>
          <w:szCs w:val="20"/>
          <w:color w:val="auto"/>
        </w:rPr>
      </w:pPr>
    </w:p>
    <w:p>
      <w:pPr>
        <w:ind w:firstLine="449"/>
        <w:spacing w:after="0" w:line="271" w:lineRule="auto"/>
        <w:rPr>
          <w:sz w:val="20"/>
          <w:szCs w:val="20"/>
          <w:color w:val="auto"/>
        </w:rPr>
      </w:pPr>
      <w:r>
        <w:rPr>
          <w:rFonts w:ascii="Times New Roman" w:cs="Times New Roman" w:eastAsia="Times New Roman" w:hAnsi="Times New Roman"/>
          <w:sz w:val="14"/>
          <w:szCs w:val="14"/>
          <w:color w:val="auto"/>
        </w:rPr>
        <w:t>We will file a definitive Proxy Statement for our 2023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5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The information required by Item 10 is hereby incorporated by reference from our definitive Proxy Statement relating to our 2023 Annual Meeting of Stockholders, to be filed with the SEC within 120 days following the end of our fiscal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5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The information required by Item 11 is hereby incorporated by reference from our definitive Proxy Statement relating to our 2023 Annual Meeting of Stockholders, to be filed with the SEC within 120 days following the end of our fiscal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5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The information required by Item 12 is hereby incorporated by reference from our definitive Proxy Statement relating to our 2023 Annual Meeting of Stockholders, to be filed with the SEC within 120 days following the end of our fiscal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5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The information required by Item 13 is hereby incorporated by reference from our definitive Proxy Statement relating to our 2023 Annual Meeting of Stockholders, to be filed with the SEC within 120 days following the end of our fiscal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52" w:lineRule="exact"/>
        <w:rPr>
          <w:sz w:val="20"/>
          <w:szCs w:val="20"/>
          <w:color w:val="auto"/>
        </w:rPr>
      </w:pPr>
    </w:p>
    <w:p>
      <w:pPr>
        <w:ind w:right="120" w:firstLine="449"/>
        <w:spacing w:after="0" w:line="282" w:lineRule="auto"/>
        <w:rPr>
          <w:sz w:val="20"/>
          <w:szCs w:val="20"/>
          <w:color w:val="auto"/>
        </w:rPr>
      </w:pPr>
      <w:r>
        <w:rPr>
          <w:rFonts w:ascii="Times New Roman" w:cs="Times New Roman" w:eastAsia="Times New Roman" w:hAnsi="Times New Roman"/>
          <w:sz w:val="14"/>
          <w:szCs w:val="14"/>
          <w:color w:val="auto"/>
        </w:rPr>
        <w:t>The information required by Item 14 is hereby incorporated by reference from our definitive Proxy Statement relating to our 2023 Annual Meeting of Stockholders, to be filed with the SEC within 120 days following the end of our fiscal year.</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17" w:right="4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The following documents are filed as part of this Annual Report:</w:t>
      </w:r>
    </w:p>
    <w:p>
      <w:pPr>
        <w:spacing w:after="0" w:line="150" w:lineRule="exact"/>
        <w:rPr>
          <w:sz w:val="20"/>
          <w:szCs w:val="20"/>
          <w:color w:val="auto"/>
        </w:rPr>
      </w:pPr>
    </w:p>
    <w:p>
      <w:pPr>
        <w:ind w:left="960" w:hanging="383"/>
        <w:spacing w:after="0"/>
        <w:tabs>
          <w:tab w:leader="none" w:pos="9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Statements—Refer to Item 8 starting on page 59.</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Schedules—None.</w:t>
      </w:r>
    </w:p>
    <w:p>
      <w:pPr>
        <w:spacing w:after="0" w:line="149" w:lineRule="exact"/>
        <w:rPr>
          <w:rFonts w:ascii="Times New Roman" w:cs="Times New Roman" w:eastAsia="Times New Roman" w:hAnsi="Times New Roman"/>
          <w:sz w:val="14"/>
          <w:szCs w:val="14"/>
          <w:color w:val="auto"/>
        </w:rPr>
      </w:pPr>
    </w:p>
    <w:p>
      <w:pPr>
        <w:ind w:left="960" w:hanging="383"/>
        <w:spacing w:after="0"/>
        <w:tabs>
          <w:tab w:leader="none" w:pos="9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3.1</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36">
              <w:r>
                <w:rPr>
                  <w:rFonts w:ascii="Times New Roman" w:cs="Times New Roman" w:eastAsia="Times New Roman" w:hAnsi="Times New Roman"/>
                  <w:sz w:val="14"/>
                  <w:szCs w:val="14"/>
                  <w:color w:val="0000FF"/>
                </w:rPr>
                <w:t>Articles of Incorporation (Incorporated by reference to Exhibit 99(a) to the Registrant’s Pre-Effective Amendment No. 3 to the Registration Statement on Form N-2/A (File No.</w:t>
              </w:r>
            </w:hyperlink>
          </w:p>
        </w:tc>
      </w:tr>
      <w:tr>
        <w:trPr>
          <w:trHeight w:val="142"/>
        </w:trPr>
        <w:tc>
          <w:tcPr>
            <w:tcW w:w="840" w:type="dxa"/>
            <w:vAlign w:val="bottom"/>
          </w:tcPr>
          <w:p>
            <w:pPr>
              <w:spacing w:after="0"/>
              <w:rPr>
                <w:sz w:val="12"/>
                <w:szCs w:val="12"/>
                <w:color w:val="auto"/>
              </w:rPr>
            </w:pPr>
          </w:p>
        </w:tc>
        <w:tc>
          <w:tcPr>
            <w:tcW w:w="2160" w:type="dxa"/>
            <w:vAlign w:val="bottom"/>
            <w:tcBorders>
              <w:top w:val="single" w:sz="8" w:color="0000FF"/>
              <w:bottom w:val="single" w:sz="8" w:color="0000FF"/>
            </w:tcBorders>
            <w:gridSpan w:val="4"/>
          </w:tcPr>
          <w:p>
            <w:pPr>
              <w:spacing w:after="0" w:line="142" w:lineRule="exact"/>
              <w:rPr>
                <w:rFonts w:ascii="Times New Roman" w:cs="Times New Roman" w:eastAsia="Times New Roman" w:hAnsi="Times New Roman"/>
                <w:sz w:val="14"/>
                <w:szCs w:val="14"/>
                <w:color w:val="0000FF"/>
              </w:rPr>
            </w:pPr>
            <w:hyperlink r:id="rId536">
              <w:r>
                <w:rPr>
                  <w:rFonts w:ascii="Times New Roman" w:cs="Times New Roman" w:eastAsia="Times New Roman" w:hAnsi="Times New Roman"/>
                  <w:sz w:val="14"/>
                  <w:szCs w:val="14"/>
                  <w:color w:val="0000FF"/>
                </w:rPr>
                <w:t>333-140092), filed on April 5, 2007).</w:t>
              </w:r>
            </w:hyperlink>
          </w:p>
        </w:tc>
        <w:tc>
          <w:tcPr>
            <w:tcW w:w="20" w:type="dxa"/>
            <w:vAlign w:val="bottom"/>
            <w:tcBorders>
              <w:top w:val="single" w:sz="8" w:color="0000FF"/>
              <w:bottom w:val="single" w:sz="8" w:color="0000EE"/>
            </w:tcBorders>
          </w:tcPr>
          <w:p>
            <w:pPr>
              <w:spacing w:after="0"/>
              <w:rPr>
                <w:sz w:val="12"/>
                <w:szCs w:val="12"/>
                <w:color w:val="auto"/>
              </w:rPr>
            </w:pPr>
          </w:p>
        </w:tc>
        <w:tc>
          <w:tcPr>
            <w:tcW w:w="804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0"/>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3.2</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37">
              <w:r>
                <w:rPr>
                  <w:rFonts w:ascii="Times New Roman" w:cs="Times New Roman" w:eastAsia="Times New Roman" w:hAnsi="Times New Roman"/>
                  <w:sz w:val="14"/>
                  <w:szCs w:val="14"/>
                  <w:color w:val="0000FF"/>
                </w:rPr>
                <w:t>Second Amended and Restated Bylaws of the Registrant (Incorporated by reference to Exhibit 3.2 to the Registrant’s Quarterly Report on Form 10-Q (File No. 814-00736), filed</w:t>
              </w:r>
            </w:hyperlink>
          </w:p>
        </w:tc>
      </w:tr>
      <w:tr>
        <w:trPr>
          <w:trHeight w:val="142"/>
        </w:trPr>
        <w:tc>
          <w:tcPr>
            <w:tcW w:w="840" w:type="dxa"/>
            <w:vAlign w:val="bottom"/>
          </w:tcPr>
          <w:p>
            <w:pPr>
              <w:spacing w:after="0"/>
              <w:rPr>
                <w:sz w:val="12"/>
                <w:szCs w:val="12"/>
                <w:color w:val="auto"/>
              </w:rPr>
            </w:pPr>
          </w:p>
        </w:tc>
        <w:tc>
          <w:tcPr>
            <w:tcW w:w="10240" w:type="dxa"/>
            <w:vAlign w:val="bottom"/>
            <w:tcBorders>
              <w:top w:val="single" w:sz="8" w:color="0000FF"/>
            </w:tcBorders>
            <w:gridSpan w:val="24"/>
          </w:tcPr>
          <w:p>
            <w:pPr>
              <w:spacing w:after="0" w:line="142" w:lineRule="exact"/>
              <w:rPr>
                <w:rFonts w:ascii="Times New Roman" w:cs="Times New Roman" w:eastAsia="Times New Roman" w:hAnsi="Times New Roman"/>
                <w:sz w:val="14"/>
                <w:szCs w:val="14"/>
                <w:color w:val="0000FF"/>
              </w:rPr>
            </w:pPr>
            <w:hyperlink r:id="rId537">
              <w:r>
                <w:rPr>
                  <w:rFonts w:ascii="Times New Roman" w:cs="Times New Roman" w:eastAsia="Times New Roman" w:hAnsi="Times New Roman"/>
                  <w:sz w:val="14"/>
                  <w:szCs w:val="14"/>
                  <w:color w:val="0000FF"/>
                </w:rPr>
                <w:t>on May 11, 2020).</w:t>
              </w:r>
            </w:hyperlink>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4.1</w:t>
            </w:r>
          </w:p>
        </w:tc>
        <w:tc>
          <w:tcPr>
            <w:tcW w:w="1014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538">
              <w:r>
                <w:rPr>
                  <w:rFonts w:ascii="Times New Roman" w:cs="Times New Roman" w:eastAsia="Times New Roman" w:hAnsi="Times New Roman"/>
                  <w:sz w:val="14"/>
                  <w:szCs w:val="14"/>
                  <w:color w:val="0000FF"/>
                </w:rPr>
                <w:t>Form of Share Certificate (Incorporated by reference to Exhibit 99(d)(1) to the Registrant’s Registration Statement on Form N-2 (File No. 333-150033), filed on April 2, 2008).</w:t>
              </w:r>
            </w:hyperlink>
          </w:p>
        </w:tc>
        <w:tc>
          <w:tcPr>
            <w:tcW w:w="20" w:type="dxa"/>
            <w:vAlign w:val="bottom"/>
            <w:tcBorders>
              <w:bottom w:val="single" w:sz="8" w:color="0000EE"/>
            </w:tcBorders>
          </w:tcPr>
          <w:p>
            <w:pPr>
              <w:spacing w:after="0"/>
              <w:rPr>
                <w:sz w:val="24"/>
                <w:szCs w:val="24"/>
                <w:color w:val="auto"/>
              </w:rPr>
            </w:pPr>
          </w:p>
        </w:tc>
        <w:tc>
          <w:tcPr>
            <w:tcW w:w="260" w:type="dxa"/>
            <w:vAlign w:val="bottom"/>
            <w:gridSpan w:val="8"/>
          </w:tcPr>
          <w:p>
            <w:pPr>
              <w:spacing w:after="0"/>
              <w:rPr>
                <w:sz w:val="24"/>
                <w:szCs w:val="24"/>
                <w:color w:val="auto"/>
              </w:rPr>
            </w:pPr>
          </w:p>
        </w:tc>
      </w:tr>
      <w:tr>
        <w:trPr>
          <w:trHeight w:val="264"/>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4.2</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39">
              <w:r>
                <w:rPr>
                  <w:rFonts w:ascii="Times New Roman" w:cs="Times New Roman" w:eastAsia="Times New Roman" w:hAnsi="Times New Roman"/>
                  <w:sz w:val="14"/>
                  <w:szCs w:val="14"/>
                  <w:color w:val="0000FF"/>
                </w:rPr>
                <w:t>Base Indenture, dated as of January 22, 2013, relating to the 6.25% Senior Notes due 2025, between the Registrant and American Stock Transfer &amp; Trust Company, LLC, as trustee</w:t>
              </w:r>
            </w:hyperlink>
          </w:p>
        </w:tc>
      </w:tr>
      <w:tr>
        <w:trPr>
          <w:trHeight w:val="142"/>
        </w:trPr>
        <w:tc>
          <w:tcPr>
            <w:tcW w:w="840" w:type="dxa"/>
            <w:vAlign w:val="bottom"/>
          </w:tcPr>
          <w:p>
            <w:pPr>
              <w:spacing w:after="0"/>
              <w:rPr>
                <w:sz w:val="12"/>
                <w:szCs w:val="12"/>
                <w:color w:val="auto"/>
              </w:rPr>
            </w:pPr>
          </w:p>
        </w:tc>
        <w:tc>
          <w:tcPr>
            <w:tcW w:w="10400" w:type="dxa"/>
            <w:vAlign w:val="bottom"/>
            <w:tcBorders>
              <w:top w:val="single" w:sz="8" w:color="0000FF"/>
            </w:tcBorders>
            <w:gridSpan w:val="27"/>
          </w:tcPr>
          <w:p>
            <w:pPr>
              <w:spacing w:after="0" w:line="142" w:lineRule="exact"/>
              <w:rPr>
                <w:rFonts w:ascii="Times New Roman" w:cs="Times New Roman" w:eastAsia="Times New Roman" w:hAnsi="Times New Roman"/>
                <w:sz w:val="14"/>
                <w:szCs w:val="14"/>
                <w:color w:val="0000FF"/>
              </w:rPr>
            </w:pPr>
            <w:hyperlink r:id="rId539">
              <w:r>
                <w:rPr>
                  <w:rFonts w:ascii="Times New Roman" w:cs="Times New Roman" w:eastAsia="Times New Roman" w:hAnsi="Times New Roman"/>
                  <w:sz w:val="14"/>
                  <w:szCs w:val="14"/>
                  <w:color w:val="0000FF"/>
                </w:rPr>
                <w:t>(Incorporated by reference to Exhibit 99(d)(8) to the Registrant’s Post-Effective Amendment No.4 to the Registration Statement on Form N-2/A (File No.333-172524), filed on</w:t>
              </w:r>
            </w:hyperlink>
          </w:p>
        </w:tc>
        <w:tc>
          <w:tcPr>
            <w:tcW w:w="20" w:type="dxa"/>
            <w:vAlign w:val="bottom"/>
          </w:tcPr>
          <w:p>
            <w:pPr>
              <w:spacing w:after="0"/>
              <w:rPr>
                <w:sz w:val="12"/>
                <w:szCs w:val="12"/>
                <w:color w:val="auto"/>
              </w:rPr>
            </w:pPr>
          </w:p>
        </w:tc>
      </w:tr>
      <w:tr>
        <w:trPr>
          <w:trHeight w:val="128"/>
        </w:trPr>
        <w:tc>
          <w:tcPr>
            <w:tcW w:w="840" w:type="dxa"/>
            <w:vAlign w:val="bottom"/>
          </w:tcPr>
          <w:p>
            <w:pPr>
              <w:spacing w:after="0"/>
              <w:rPr>
                <w:sz w:val="11"/>
                <w:szCs w:val="11"/>
                <w:color w:val="auto"/>
              </w:rPr>
            </w:pPr>
          </w:p>
        </w:tc>
        <w:tc>
          <w:tcPr>
            <w:tcW w:w="1080" w:type="dxa"/>
            <w:vAlign w:val="bottom"/>
            <w:tcBorders>
              <w:top w:val="single" w:sz="8" w:color="0000FF"/>
              <w:bottom w:val="single" w:sz="8" w:color="0000FF"/>
            </w:tcBorders>
            <w:gridSpan w:val="2"/>
          </w:tcPr>
          <w:p>
            <w:pPr>
              <w:spacing w:after="0" w:line="129" w:lineRule="exact"/>
              <w:rPr>
                <w:rFonts w:ascii="Times New Roman" w:cs="Times New Roman" w:eastAsia="Times New Roman" w:hAnsi="Times New Roman"/>
                <w:sz w:val="14"/>
                <w:szCs w:val="14"/>
                <w:color w:val="0000FF"/>
                <w:w w:val="99"/>
              </w:rPr>
            </w:pPr>
            <w:hyperlink r:id="rId539">
              <w:r>
                <w:rPr>
                  <w:rFonts w:ascii="Times New Roman" w:cs="Times New Roman" w:eastAsia="Times New Roman" w:hAnsi="Times New Roman"/>
                  <w:sz w:val="14"/>
                  <w:szCs w:val="14"/>
                  <w:color w:val="0000FF"/>
                  <w:w w:val="99"/>
                </w:rPr>
                <w:t>January 22, 2013).</w:t>
              </w:r>
            </w:hyperlink>
          </w:p>
        </w:tc>
        <w:tc>
          <w:tcPr>
            <w:tcW w:w="20" w:type="dxa"/>
            <w:vAlign w:val="bottom"/>
            <w:tcBorders>
              <w:top w:val="single" w:sz="8" w:color="0000FF"/>
              <w:bottom w:val="single" w:sz="8" w:color="0000EE"/>
            </w:tcBorders>
          </w:tcPr>
          <w:p>
            <w:pPr>
              <w:spacing w:after="0"/>
              <w:rPr>
                <w:sz w:val="11"/>
                <w:szCs w:val="11"/>
                <w:color w:val="auto"/>
              </w:rPr>
            </w:pPr>
          </w:p>
        </w:tc>
        <w:tc>
          <w:tcPr>
            <w:tcW w:w="910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63"/>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4.3</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40">
              <w:r>
                <w:rPr>
                  <w:rFonts w:ascii="Times New Roman" w:cs="Times New Roman" w:eastAsia="Times New Roman" w:hAnsi="Times New Roman"/>
                  <w:sz w:val="14"/>
                  <w:szCs w:val="14"/>
                  <w:color w:val="0000FF"/>
                </w:rPr>
                <w:t>Fourth Supplemental Indenture, dated as of April 21, 2021, by and between the Company and American Stock Transfer &amp; Trust Company, LLC, as trustee (Incorporated by</w:t>
              </w:r>
            </w:hyperlink>
          </w:p>
        </w:tc>
      </w:tr>
      <w:tr>
        <w:trPr>
          <w:trHeight w:val="142"/>
        </w:trPr>
        <w:tc>
          <w:tcPr>
            <w:tcW w:w="840" w:type="dxa"/>
            <w:vAlign w:val="bottom"/>
          </w:tcPr>
          <w:p>
            <w:pPr>
              <w:spacing w:after="0"/>
              <w:rPr>
                <w:sz w:val="12"/>
                <w:szCs w:val="12"/>
                <w:color w:val="auto"/>
              </w:rPr>
            </w:pPr>
          </w:p>
        </w:tc>
        <w:tc>
          <w:tcPr>
            <w:tcW w:w="5620" w:type="dxa"/>
            <w:vAlign w:val="bottom"/>
            <w:tcBorders>
              <w:top w:val="single" w:sz="8" w:color="0000FF"/>
              <w:bottom w:val="single" w:sz="8" w:color="0000FF"/>
            </w:tcBorders>
            <w:gridSpan w:val="10"/>
          </w:tcPr>
          <w:p>
            <w:pPr>
              <w:spacing w:after="0" w:line="142" w:lineRule="exact"/>
              <w:rPr>
                <w:rFonts w:ascii="Times New Roman" w:cs="Times New Roman" w:eastAsia="Times New Roman" w:hAnsi="Times New Roman"/>
                <w:sz w:val="14"/>
                <w:szCs w:val="14"/>
                <w:color w:val="0000FF"/>
              </w:rPr>
            </w:pPr>
            <w:hyperlink r:id="rId540">
              <w:r>
                <w:rPr>
                  <w:rFonts w:ascii="Times New Roman" w:cs="Times New Roman" w:eastAsia="Times New Roman" w:hAnsi="Times New Roman"/>
                  <w:sz w:val="14"/>
                  <w:szCs w:val="14"/>
                  <w:color w:val="0000FF"/>
                </w:rPr>
                <w:t>reference to Exhibit 4.1 to the Registrant’s Form 8-K (File No. 814-00736), filed April 22, 2021).</w:t>
              </w:r>
            </w:hyperlink>
          </w:p>
        </w:tc>
        <w:tc>
          <w:tcPr>
            <w:tcW w:w="4320" w:type="dxa"/>
            <w:vAlign w:val="bottom"/>
            <w:tcBorders>
              <w:top w:val="single" w:sz="8" w:color="0000FF"/>
            </w:tcBorders>
            <w:gridSpan w:val="5"/>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0"/>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4.4</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40">
              <w:r>
                <w:rPr>
                  <w:rFonts w:ascii="Times New Roman" w:cs="Times New Roman" w:eastAsia="Times New Roman" w:hAnsi="Times New Roman"/>
                  <w:sz w:val="14"/>
                  <w:szCs w:val="14"/>
                  <w:color w:val="0000FF"/>
                </w:rPr>
                <w:t>Form of 4.50% Notes due 2026 (included as part of Exhibit 4.3).</w:t>
              </w:r>
            </w:hyperlink>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tcBorders>
              <w:right w:val="single" w:sz="8" w:color="0000EE"/>
            </w:tcBorders>
            <w:gridSpan w:val="5"/>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4.5</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Fifth Supplemental Indenture, dated as of October 21, 2021, by and between the Company and American Stock Transfer &amp; Trust Company, LLC, as trustee (Incorporated by</w:t>
              </w:r>
            </w:hyperlink>
          </w:p>
        </w:tc>
      </w:tr>
      <w:tr>
        <w:trPr>
          <w:trHeight w:val="142"/>
        </w:trPr>
        <w:tc>
          <w:tcPr>
            <w:tcW w:w="840" w:type="dxa"/>
            <w:vAlign w:val="bottom"/>
          </w:tcPr>
          <w:p>
            <w:pPr>
              <w:spacing w:after="0"/>
              <w:rPr>
                <w:sz w:val="12"/>
                <w:szCs w:val="12"/>
                <w:color w:val="auto"/>
              </w:rPr>
            </w:pPr>
          </w:p>
        </w:tc>
        <w:tc>
          <w:tcPr>
            <w:tcW w:w="5960" w:type="dxa"/>
            <w:vAlign w:val="bottom"/>
            <w:tcBorders>
              <w:top w:val="single" w:sz="8" w:color="0000FF"/>
              <w:bottom w:val="single" w:sz="8" w:color="0000FF"/>
            </w:tcBorders>
            <w:gridSpan w:val="11"/>
          </w:tcPr>
          <w:p>
            <w:pPr>
              <w:spacing w:after="0" w:line="142" w:lineRule="exact"/>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reference to Exhibit 4.1 to the Registrant’s Form 8-K (File No. 814-00736), filed on October 21, 2021).</w:t>
              </w:r>
            </w:hyperlink>
          </w:p>
        </w:tc>
        <w:tc>
          <w:tcPr>
            <w:tcW w:w="4040" w:type="dxa"/>
            <w:vAlign w:val="bottom"/>
            <w:tcBorders>
              <w:top w:val="single" w:sz="8" w:color="0000FF"/>
            </w:tcBorders>
            <w:gridSpan w:val="6"/>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0"/>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4.6</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41">
              <w:r>
                <w:rPr>
                  <w:rFonts w:ascii="Times New Roman" w:cs="Times New Roman" w:eastAsia="Times New Roman" w:hAnsi="Times New Roman"/>
                  <w:sz w:val="14"/>
                  <w:szCs w:val="14"/>
                  <w:color w:val="0000FF"/>
                </w:rPr>
                <w:t>Form of 4.00% Notes due 2026 (included as part of Exhibit 4.5).</w:t>
              </w:r>
            </w:hyperlink>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140" w:type="dxa"/>
            <w:vAlign w:val="bottom"/>
            <w:tcBorders>
              <w:right w:val="single" w:sz="8" w:color="0000EE"/>
            </w:tcBorders>
            <w:gridSpan w:val="5"/>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4.7</w:t>
            </w:r>
          </w:p>
        </w:tc>
        <w:tc>
          <w:tcPr>
            <w:tcW w:w="846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542">
              <w:r>
                <w:rPr>
                  <w:rFonts w:ascii="Times New Roman" w:cs="Times New Roman" w:eastAsia="Times New Roman" w:hAnsi="Times New Roman"/>
                  <w:sz w:val="14"/>
                  <w:szCs w:val="14"/>
                  <w:color w:val="0000FF"/>
                </w:rPr>
                <w:t>Description of Securities (Incorporated by reference to Exhibit 4.7 to the Registrant’s Form 10-K (File No. 814-00736), filed November 21, 2019).</w:t>
              </w:r>
            </w:hyperlink>
          </w:p>
        </w:tc>
        <w:tc>
          <w:tcPr>
            <w:tcW w:w="20" w:type="dxa"/>
            <w:vAlign w:val="bottom"/>
            <w:tcBorders>
              <w:bottom w:val="single" w:sz="8" w:color="0000EE"/>
            </w:tcBorders>
          </w:tcPr>
          <w:p>
            <w:pPr>
              <w:spacing w:after="0"/>
              <w:rPr>
                <w:sz w:val="24"/>
                <w:szCs w:val="24"/>
                <w:color w:val="auto"/>
              </w:rPr>
            </w:pPr>
          </w:p>
        </w:tc>
        <w:tc>
          <w:tcPr>
            <w:tcW w:w="1940" w:type="dxa"/>
            <w:vAlign w:val="bottom"/>
            <w:gridSpan w:val="15"/>
          </w:tcPr>
          <w:p>
            <w:pPr>
              <w:spacing w:after="0"/>
              <w:rPr>
                <w:sz w:val="24"/>
                <w:szCs w:val="24"/>
                <w:color w:val="auto"/>
              </w:rPr>
            </w:pPr>
          </w:p>
        </w:tc>
      </w:tr>
      <w:tr>
        <w:trPr>
          <w:trHeight w:val="263"/>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10.1</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43">
              <w:r>
                <w:rPr>
                  <w:rFonts w:ascii="Times New Roman" w:cs="Times New Roman" w:eastAsia="Times New Roman" w:hAnsi="Times New Roman"/>
                  <w:sz w:val="14"/>
                  <w:szCs w:val="14"/>
                  <w:color w:val="0000FF"/>
                </w:rPr>
                <w:t>Amended and Restated Administration Agreement between the Registrant and PennantPark Investment Administration LLC dated July 1, 2022. (Incorporated by reference to</w:t>
              </w:r>
            </w:hyperlink>
          </w:p>
        </w:tc>
      </w:tr>
      <w:tr>
        <w:trPr>
          <w:trHeight w:val="142"/>
        </w:trPr>
        <w:tc>
          <w:tcPr>
            <w:tcW w:w="840" w:type="dxa"/>
            <w:vAlign w:val="bottom"/>
          </w:tcPr>
          <w:p>
            <w:pPr>
              <w:spacing w:after="0"/>
              <w:rPr>
                <w:sz w:val="12"/>
                <w:szCs w:val="12"/>
                <w:color w:val="auto"/>
              </w:rPr>
            </w:pPr>
          </w:p>
        </w:tc>
        <w:tc>
          <w:tcPr>
            <w:tcW w:w="5300" w:type="dxa"/>
            <w:vAlign w:val="bottom"/>
            <w:tcBorders>
              <w:top w:val="single" w:sz="8" w:color="0000FF"/>
              <w:bottom w:val="single" w:sz="8" w:color="0000EE"/>
            </w:tcBorders>
            <w:gridSpan w:val="7"/>
          </w:tcPr>
          <w:p>
            <w:pPr>
              <w:spacing w:after="0" w:line="142" w:lineRule="exact"/>
              <w:rPr>
                <w:rFonts w:ascii="Times New Roman" w:cs="Times New Roman" w:eastAsia="Times New Roman" w:hAnsi="Times New Roman"/>
                <w:sz w:val="14"/>
                <w:szCs w:val="14"/>
                <w:color w:val="0000FF"/>
              </w:rPr>
            </w:pPr>
            <w:hyperlink r:id="rId543">
              <w:r>
                <w:rPr>
                  <w:rFonts w:ascii="Times New Roman" w:cs="Times New Roman" w:eastAsia="Times New Roman" w:hAnsi="Times New Roman"/>
                  <w:sz w:val="14"/>
                  <w:szCs w:val="14"/>
                  <w:color w:val="0000FF"/>
                </w:rPr>
                <w:t>Exhibit 10.1 to the Registrant’s Form 10-Q (File No. 814-00736), filed on August 3, 2022).</w:t>
              </w:r>
            </w:hyperlink>
          </w:p>
        </w:tc>
        <w:tc>
          <w:tcPr>
            <w:tcW w:w="4760" w:type="dxa"/>
            <w:vAlign w:val="bottom"/>
            <w:tcBorders>
              <w:top w:val="single" w:sz="8" w:color="0000FF"/>
            </w:tcBorders>
            <w:gridSpan w:val="11"/>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50"/>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10.2</w:t>
            </w:r>
          </w:p>
        </w:tc>
        <w:tc>
          <w:tcPr>
            <w:tcW w:w="101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544">
              <w:r>
                <w:rPr>
                  <w:rFonts w:ascii="Times New Roman" w:cs="Times New Roman" w:eastAsia="Times New Roman" w:hAnsi="Times New Roman"/>
                  <w:sz w:val="14"/>
                  <w:szCs w:val="14"/>
                  <w:color w:val="0000FF"/>
                </w:rPr>
                <w:t>Dividend Reinvestment Plan (Incorporated by reference to Exhibit 99(e) to the Registrant’s Registration Statement on Form N-2 (File No. 333-150033), filed on April 2, 2008).</w:t>
              </w:r>
            </w:hyperlink>
          </w:p>
        </w:tc>
        <w:tc>
          <w:tcPr>
            <w:tcW w:w="20" w:type="dxa"/>
            <w:vAlign w:val="bottom"/>
            <w:tcBorders>
              <w:bottom w:val="single" w:sz="8" w:color="0000EE"/>
            </w:tcBorders>
          </w:tcPr>
          <w:p>
            <w:pPr>
              <w:spacing w:after="0"/>
              <w:rPr>
                <w:sz w:val="21"/>
                <w:szCs w:val="21"/>
                <w:color w:val="auto"/>
              </w:rPr>
            </w:pPr>
          </w:p>
        </w:tc>
        <w:tc>
          <w:tcPr>
            <w:tcW w:w="240" w:type="dxa"/>
            <w:vAlign w:val="bottom"/>
            <w:gridSpan w:val="7"/>
          </w:tcPr>
          <w:p>
            <w:pPr>
              <w:spacing w:after="0"/>
              <w:rPr>
                <w:sz w:val="21"/>
                <w:szCs w:val="21"/>
                <w:color w:val="auto"/>
              </w:rPr>
            </w:pPr>
          </w:p>
        </w:tc>
      </w:tr>
      <w:tr>
        <w:trPr>
          <w:trHeight w:val="264"/>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10.3</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45">
              <w:r>
                <w:rPr>
                  <w:rFonts w:ascii="Times New Roman" w:cs="Times New Roman" w:eastAsia="Times New Roman" w:hAnsi="Times New Roman"/>
                  <w:sz w:val="14"/>
                  <w:szCs w:val="14"/>
                  <w:color w:val="0000FF"/>
                </w:rPr>
                <w:t>First Omnibus Amendment to Second Amended and Restated Senior Secured Revolving Credit Agreement and Second Amended and Restated Guarantee and Security Agreement,</w:t>
              </w:r>
            </w:hyperlink>
          </w:p>
        </w:tc>
      </w:tr>
      <w:tr>
        <w:trPr>
          <w:trHeight w:val="142"/>
        </w:trPr>
        <w:tc>
          <w:tcPr>
            <w:tcW w:w="840" w:type="dxa"/>
            <w:vAlign w:val="bottom"/>
          </w:tcPr>
          <w:p>
            <w:pPr>
              <w:spacing w:after="0"/>
              <w:rPr>
                <w:sz w:val="12"/>
                <w:szCs w:val="12"/>
                <w:color w:val="auto"/>
              </w:rPr>
            </w:pPr>
          </w:p>
        </w:tc>
        <w:tc>
          <w:tcPr>
            <w:tcW w:w="10380" w:type="dxa"/>
            <w:vAlign w:val="bottom"/>
            <w:tcBorders>
              <w:top w:val="single" w:sz="8" w:color="0000FF"/>
            </w:tcBorders>
            <w:gridSpan w:val="26"/>
          </w:tcPr>
          <w:p>
            <w:pPr>
              <w:spacing w:after="0" w:line="142" w:lineRule="exact"/>
              <w:rPr>
                <w:rFonts w:ascii="Times New Roman" w:cs="Times New Roman" w:eastAsia="Times New Roman" w:hAnsi="Times New Roman"/>
                <w:sz w:val="14"/>
                <w:szCs w:val="14"/>
                <w:color w:val="0000FF"/>
              </w:rPr>
            </w:pPr>
            <w:hyperlink r:id="rId545">
              <w:r>
                <w:rPr>
                  <w:rFonts w:ascii="Times New Roman" w:cs="Times New Roman" w:eastAsia="Times New Roman" w:hAnsi="Times New Roman"/>
                  <w:sz w:val="14"/>
                  <w:szCs w:val="14"/>
                  <w:color w:val="0000FF"/>
                </w:rPr>
                <w:t>dated as of May 25, 2017, among the Registrant, the lenders party thereto and SunTrust Bank, as administrative agent for the lenders (Incorporated by reference to Exhibit 10.1 to</w:t>
              </w:r>
            </w:hyperlink>
          </w:p>
        </w:tc>
        <w:tc>
          <w:tcPr>
            <w:tcW w:w="40" w:type="dxa"/>
            <w:vAlign w:val="bottom"/>
            <w:gridSpan w:val="2"/>
          </w:tcPr>
          <w:p>
            <w:pPr>
              <w:spacing w:after="0"/>
              <w:rPr>
                <w:sz w:val="12"/>
                <w:szCs w:val="12"/>
                <w:color w:val="auto"/>
              </w:rPr>
            </w:pPr>
          </w:p>
        </w:tc>
      </w:tr>
      <w:tr>
        <w:trPr>
          <w:trHeight w:val="129"/>
        </w:trPr>
        <w:tc>
          <w:tcPr>
            <w:tcW w:w="840" w:type="dxa"/>
            <w:vAlign w:val="bottom"/>
          </w:tcPr>
          <w:p>
            <w:pPr>
              <w:spacing w:after="0"/>
              <w:rPr>
                <w:sz w:val="11"/>
                <w:szCs w:val="11"/>
                <w:color w:val="auto"/>
              </w:rPr>
            </w:pPr>
          </w:p>
        </w:tc>
        <w:tc>
          <w:tcPr>
            <w:tcW w:w="556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545">
              <w:r>
                <w:rPr>
                  <w:rFonts w:ascii="Times New Roman" w:cs="Times New Roman" w:eastAsia="Times New Roman" w:hAnsi="Times New Roman"/>
                  <w:sz w:val="14"/>
                  <w:szCs w:val="14"/>
                  <w:color w:val="0000FF"/>
                </w:rPr>
                <w:t>the Registrant’s Quarterly Report on Form 10-Q (File No. 814-00736), filed on August 7, 2017).</w:t>
              </w:r>
            </w:hyperlink>
          </w:p>
        </w:tc>
        <w:tc>
          <w:tcPr>
            <w:tcW w:w="20" w:type="dxa"/>
            <w:vAlign w:val="bottom"/>
            <w:tcBorders>
              <w:top w:val="single" w:sz="8" w:color="0000FF"/>
              <w:bottom w:val="single" w:sz="8" w:color="0000EE"/>
            </w:tcBorders>
          </w:tcPr>
          <w:p>
            <w:pPr>
              <w:spacing w:after="0"/>
              <w:rPr>
                <w:sz w:val="11"/>
                <w:szCs w:val="11"/>
                <w:color w:val="auto"/>
              </w:rPr>
            </w:pPr>
          </w:p>
        </w:tc>
        <w:tc>
          <w:tcPr>
            <w:tcW w:w="4720" w:type="dxa"/>
            <w:vAlign w:val="bottom"/>
            <w:tcBorders>
              <w:top w:val="single" w:sz="8" w:color="0000FF"/>
            </w:tcBorders>
            <w:gridSpan w:val="16"/>
          </w:tcPr>
          <w:p>
            <w:pPr>
              <w:spacing w:after="0"/>
              <w:rPr>
                <w:sz w:val="11"/>
                <w:szCs w:val="11"/>
                <w:color w:val="auto"/>
              </w:rPr>
            </w:pPr>
          </w:p>
        </w:tc>
        <w:tc>
          <w:tcPr>
            <w:tcW w:w="120" w:type="dxa"/>
            <w:vAlign w:val="bottom"/>
            <w:gridSpan w:val="3"/>
          </w:tcPr>
          <w:p>
            <w:pPr>
              <w:spacing w:after="0"/>
              <w:rPr>
                <w:sz w:val="11"/>
                <w:szCs w:val="11"/>
                <w:color w:val="auto"/>
              </w:rPr>
            </w:pPr>
          </w:p>
        </w:tc>
      </w:tr>
      <w:tr>
        <w:trPr>
          <w:trHeight w:val="263"/>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10.4</w:t>
            </w:r>
          </w:p>
        </w:tc>
        <w:tc>
          <w:tcPr>
            <w:tcW w:w="10420" w:type="dxa"/>
            <w:vAlign w:val="bottom"/>
            <w:gridSpan w:val="28"/>
          </w:tcPr>
          <w:p>
            <w:pPr>
              <w:spacing w:after="0"/>
              <w:rPr>
                <w:rFonts w:ascii="Times New Roman" w:cs="Times New Roman" w:eastAsia="Times New Roman" w:hAnsi="Times New Roman"/>
                <w:sz w:val="14"/>
                <w:szCs w:val="14"/>
                <w:color w:val="0000FF"/>
              </w:rPr>
            </w:pPr>
            <w:hyperlink r:id="rId546">
              <w:r>
                <w:rPr>
                  <w:rFonts w:ascii="Times New Roman" w:cs="Times New Roman" w:eastAsia="Times New Roman" w:hAnsi="Times New Roman"/>
                  <w:sz w:val="14"/>
                  <w:szCs w:val="14"/>
                  <w:color w:val="0000FF"/>
                </w:rPr>
                <w:t>Indemnification Agreement, dated as of November 15, 2016, between PennantPark Investment Corporation and each of the directors and officers listed on Schedule A attached</w:t>
              </w:r>
            </w:hyperlink>
          </w:p>
        </w:tc>
      </w:tr>
      <w:tr>
        <w:trPr>
          <w:trHeight w:val="142"/>
        </w:trPr>
        <w:tc>
          <w:tcPr>
            <w:tcW w:w="840" w:type="dxa"/>
            <w:vAlign w:val="bottom"/>
          </w:tcPr>
          <w:p>
            <w:pPr>
              <w:spacing w:after="0"/>
              <w:rPr>
                <w:sz w:val="12"/>
                <w:szCs w:val="12"/>
                <w:color w:val="auto"/>
              </w:rPr>
            </w:pPr>
          </w:p>
        </w:tc>
        <w:tc>
          <w:tcPr>
            <w:tcW w:w="10180" w:type="dxa"/>
            <w:vAlign w:val="bottom"/>
            <w:tcBorders>
              <w:top w:val="single" w:sz="8" w:color="0000FF"/>
            </w:tcBorders>
            <w:gridSpan w:val="21"/>
          </w:tcPr>
          <w:p>
            <w:pPr>
              <w:spacing w:after="0" w:line="142" w:lineRule="exact"/>
              <w:rPr>
                <w:rFonts w:ascii="Times New Roman" w:cs="Times New Roman" w:eastAsia="Times New Roman" w:hAnsi="Times New Roman"/>
                <w:sz w:val="14"/>
                <w:szCs w:val="14"/>
                <w:color w:val="0000FF"/>
              </w:rPr>
            </w:pPr>
            <w:hyperlink r:id="rId546">
              <w:r>
                <w:rPr>
                  <w:rFonts w:ascii="Times New Roman" w:cs="Times New Roman" w:eastAsia="Times New Roman" w:hAnsi="Times New Roman"/>
                  <w:sz w:val="14"/>
                  <w:szCs w:val="14"/>
                  <w:color w:val="0000FF"/>
                </w:rPr>
                <w:t>thereto (Incorporated by reference to Exhibit 10.5 to the Registrant’s Annual Report on Form 10-K (File No. 814-00736) filed on November 21, 2016).</w:t>
              </w:r>
            </w:hyperlink>
          </w:p>
        </w:tc>
        <w:tc>
          <w:tcPr>
            <w:tcW w:w="40" w:type="dxa"/>
            <w:vAlign w:val="bottom"/>
            <w:gridSpan w:val="2"/>
          </w:tcPr>
          <w:p>
            <w:pPr>
              <w:spacing w:after="0"/>
              <w:rPr>
                <w:sz w:val="12"/>
                <w:szCs w:val="12"/>
                <w:color w:val="auto"/>
              </w:rPr>
            </w:pPr>
          </w:p>
        </w:tc>
        <w:tc>
          <w:tcPr>
            <w:tcW w:w="200" w:type="dxa"/>
            <w:vAlign w:val="bottom"/>
            <w:gridSpan w:val="5"/>
          </w:tcPr>
          <w:p>
            <w:pPr>
              <w:spacing w:after="0"/>
              <w:rPr>
                <w:sz w:val="12"/>
                <w:szCs w:val="12"/>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120" w:type="dxa"/>
            <w:vAlign w:val="bottom"/>
            <w:tcBorders>
              <w:right w:val="single" w:sz="8" w:color="0000EE"/>
            </w:tcBorders>
            <w:gridSpan w:val="1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50"/>
        </w:trPr>
        <w:tc>
          <w:tcPr>
            <w:tcW w:w="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10.5</w:t>
            </w:r>
          </w:p>
        </w:tc>
        <w:tc>
          <w:tcPr>
            <w:tcW w:w="998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547">
              <w:r>
                <w:rPr>
                  <w:rFonts w:ascii="Times New Roman" w:cs="Times New Roman" w:eastAsia="Times New Roman" w:hAnsi="Times New Roman"/>
                  <w:sz w:val="14"/>
                  <w:szCs w:val="14"/>
                  <w:color w:val="0000FF"/>
                </w:rPr>
                <w:t>Third Amended and Restated Investment Advisory Management Agreement, dated as of April 12, 2019, between the Registrant and PennantPark Investment Advisers, LLC</w:t>
              </w:r>
            </w:hyperlink>
          </w:p>
        </w:tc>
        <w:tc>
          <w:tcPr>
            <w:tcW w:w="440" w:type="dxa"/>
            <w:vAlign w:val="bottom"/>
            <w:gridSpan w:val="12"/>
          </w:tcPr>
          <w:p>
            <w:pPr>
              <w:spacing w:after="0"/>
              <w:rPr>
                <w:sz w:val="21"/>
                <w:szCs w:val="21"/>
                <w:color w:val="auto"/>
              </w:rPr>
            </w:pPr>
          </w:p>
        </w:tc>
      </w:tr>
      <w:tr>
        <w:trPr>
          <w:trHeight w:val="142"/>
        </w:trPr>
        <w:tc>
          <w:tcPr>
            <w:tcW w:w="840" w:type="dxa"/>
            <w:vAlign w:val="bottom"/>
          </w:tcPr>
          <w:p>
            <w:pPr>
              <w:spacing w:after="0"/>
              <w:rPr>
                <w:sz w:val="12"/>
                <w:szCs w:val="12"/>
                <w:color w:val="auto"/>
              </w:rPr>
            </w:pPr>
          </w:p>
        </w:tc>
        <w:tc>
          <w:tcPr>
            <w:tcW w:w="10420" w:type="dxa"/>
            <w:vAlign w:val="bottom"/>
            <w:gridSpan w:val="28"/>
          </w:tcPr>
          <w:p>
            <w:pPr>
              <w:spacing w:after="0" w:line="142" w:lineRule="exact"/>
              <w:rPr>
                <w:rFonts w:ascii="Times New Roman" w:cs="Times New Roman" w:eastAsia="Times New Roman" w:hAnsi="Times New Roman"/>
                <w:sz w:val="14"/>
                <w:szCs w:val="14"/>
                <w:color w:val="0000FF"/>
              </w:rPr>
            </w:pPr>
            <w:hyperlink r:id="rId547">
              <w:r>
                <w:rPr>
                  <w:rFonts w:ascii="Times New Roman" w:cs="Times New Roman" w:eastAsia="Times New Roman" w:hAnsi="Times New Roman"/>
                  <w:sz w:val="14"/>
                  <w:szCs w:val="14"/>
                  <w:color w:val="0000FF"/>
                </w:rPr>
                <w:t>(Incorporated by reference to Exhibit (g)(3) to the Registrant’s Pre-Effective Amendment No. 1 to the Registration Statement on Form N-2 (File No. 333-230014), filed on April</w:t>
              </w:r>
            </w:hyperlink>
          </w:p>
        </w:tc>
      </w:tr>
      <w:tr>
        <w:trPr>
          <w:trHeight w:val="128"/>
        </w:trPr>
        <w:tc>
          <w:tcPr>
            <w:tcW w:w="840" w:type="dxa"/>
            <w:vAlign w:val="bottom"/>
          </w:tcPr>
          <w:p>
            <w:pPr>
              <w:spacing w:after="0"/>
              <w:rPr>
                <w:sz w:val="11"/>
                <w:szCs w:val="11"/>
                <w:color w:val="auto"/>
              </w:rPr>
            </w:pPr>
          </w:p>
        </w:tc>
        <w:tc>
          <w:tcPr>
            <w:tcW w:w="60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rPr>
            </w:pPr>
            <w:hyperlink r:id="rId547">
              <w:r>
                <w:rPr>
                  <w:rFonts w:ascii="Times New Roman" w:cs="Times New Roman" w:eastAsia="Times New Roman" w:hAnsi="Times New Roman"/>
                  <w:sz w:val="14"/>
                  <w:szCs w:val="14"/>
                  <w:color w:val="0000FF"/>
                </w:rPr>
                <w:t>12, 2019).</w:t>
              </w:r>
            </w:hyperlink>
          </w:p>
        </w:tc>
        <w:tc>
          <w:tcPr>
            <w:tcW w:w="4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560" w:type="dxa"/>
            <w:vAlign w:val="bottom"/>
            <w:tcBorders>
              <w:top w:val="single" w:sz="8" w:color="0000FF"/>
            </w:tcBorders>
          </w:tcPr>
          <w:p>
            <w:pPr>
              <w:spacing w:after="0"/>
              <w:rPr>
                <w:sz w:val="11"/>
                <w:szCs w:val="11"/>
                <w:color w:val="auto"/>
              </w:rPr>
            </w:pPr>
          </w:p>
        </w:tc>
        <w:tc>
          <w:tcPr>
            <w:tcW w:w="156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25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2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605"/>
        </w:trPr>
        <w:tc>
          <w:tcPr>
            <w:tcW w:w="840" w:type="dxa"/>
            <w:vAlign w:val="bottom"/>
          </w:tcPr>
          <w:p>
            <w:pPr>
              <w:spacing w:after="0"/>
              <w:rPr>
                <w:sz w:val="24"/>
                <w:szCs w:val="24"/>
                <w:color w:val="auto"/>
              </w:rPr>
            </w:pPr>
          </w:p>
        </w:tc>
        <w:tc>
          <w:tcPr>
            <w:tcW w:w="5300" w:type="dxa"/>
            <w:vAlign w:val="bottom"/>
            <w:gridSpan w:val="7"/>
          </w:tcPr>
          <w:p>
            <w:pPr>
              <w:ind w:left="4720"/>
              <w:spacing w:after="0"/>
              <w:rPr>
                <w:sz w:val="20"/>
                <w:szCs w:val="20"/>
                <w:color w:val="auto"/>
              </w:rPr>
            </w:pPr>
            <w:r>
              <w:rPr>
                <w:rFonts w:ascii="Times New Roman" w:cs="Times New Roman" w:eastAsia="Times New Roman" w:hAnsi="Times New Roman"/>
                <w:sz w:val="14"/>
                <w:szCs w:val="14"/>
                <w:color w:val="auto"/>
              </w:rPr>
              <w:t>97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8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10380" w:type="dxa"/>
            <w:vAlign w:val="bottom"/>
            <w:gridSpan w:val="26"/>
          </w:tcPr>
          <w:p>
            <w:pPr>
              <w:spacing w:after="0"/>
              <w:rPr>
                <w:rFonts w:ascii="Times New Roman" w:cs="Times New Roman" w:eastAsia="Times New Roman" w:hAnsi="Times New Roman"/>
                <w:sz w:val="14"/>
                <w:szCs w:val="14"/>
                <w:color w:val="0000FF"/>
              </w:rPr>
            </w:pPr>
            <w:hyperlink r:id="rId550">
              <w:r>
                <w:rPr>
                  <w:rFonts w:ascii="Times New Roman" w:cs="Times New Roman" w:eastAsia="Times New Roman" w:hAnsi="Times New Roman"/>
                  <w:sz w:val="14"/>
                  <w:szCs w:val="14"/>
                  <w:color w:val="0000FF"/>
                </w:rPr>
                <w:t>Second Amendment to Second Amended and Restated Senior Secured Revolving Credit Agreement, dated as of September 4, 2019, by and among PennantPark Investment</w:t>
              </w:r>
            </w:hyperlink>
          </w:p>
        </w:tc>
      </w:tr>
      <w:tr>
        <w:trPr>
          <w:trHeight w:val="142"/>
        </w:trPr>
        <w:tc>
          <w:tcPr>
            <w:tcW w:w="820" w:type="dxa"/>
            <w:vAlign w:val="bottom"/>
          </w:tcPr>
          <w:p>
            <w:pPr>
              <w:spacing w:after="0"/>
              <w:rPr>
                <w:sz w:val="12"/>
                <w:szCs w:val="12"/>
                <w:color w:val="auto"/>
              </w:rPr>
            </w:pPr>
          </w:p>
        </w:tc>
        <w:tc>
          <w:tcPr>
            <w:tcW w:w="9960" w:type="dxa"/>
            <w:vAlign w:val="bottom"/>
            <w:tcBorders>
              <w:top w:val="single" w:sz="8" w:color="0000FF"/>
            </w:tcBorders>
            <w:gridSpan w:val="21"/>
          </w:tcPr>
          <w:p>
            <w:pPr>
              <w:spacing w:after="0" w:line="142" w:lineRule="exact"/>
              <w:rPr>
                <w:rFonts w:ascii="Times New Roman" w:cs="Times New Roman" w:eastAsia="Times New Roman" w:hAnsi="Times New Roman"/>
                <w:sz w:val="14"/>
                <w:szCs w:val="14"/>
                <w:color w:val="0000FF"/>
              </w:rPr>
            </w:pPr>
            <w:hyperlink r:id="rId550">
              <w:r>
                <w:rPr>
                  <w:rFonts w:ascii="Times New Roman" w:cs="Times New Roman" w:eastAsia="Times New Roman" w:hAnsi="Times New Roman"/>
                  <w:sz w:val="14"/>
                  <w:szCs w:val="14"/>
                  <w:color w:val="0000FF"/>
                </w:rPr>
                <w:t>Corporation, as borrower, the lenders party thereto, SunTrust Bank, as administrative agent and collateral agent, and solely with respect to Section 4.9, PNNT CI (GALLS)</w:t>
              </w:r>
            </w:hyperlink>
          </w:p>
        </w:tc>
        <w:tc>
          <w:tcPr>
            <w:tcW w:w="420" w:type="dxa"/>
            <w:vAlign w:val="bottom"/>
            <w:gridSpan w:val="5"/>
          </w:tcPr>
          <w:p>
            <w:pPr>
              <w:spacing w:after="0" w:line="142" w:lineRule="exact"/>
              <w:rPr>
                <w:rFonts w:ascii="Times New Roman" w:cs="Times New Roman" w:eastAsia="Times New Roman" w:hAnsi="Times New Roman"/>
                <w:sz w:val="14"/>
                <w:szCs w:val="14"/>
                <w:color w:val="0000FF"/>
              </w:rPr>
            </w:pPr>
            <w:hyperlink r:id="rId550">
              <w:r>
                <w:rPr>
                  <w:rFonts w:ascii="Times New Roman" w:cs="Times New Roman" w:eastAsia="Times New Roman" w:hAnsi="Times New Roman"/>
                  <w:sz w:val="14"/>
                  <w:szCs w:val="14"/>
                  <w:color w:val="0000FF"/>
                </w:rPr>
                <w:t>Prime</w:t>
              </w:r>
            </w:hyperlink>
          </w:p>
        </w:tc>
      </w:tr>
      <w:tr>
        <w:trPr>
          <w:trHeight w:val="128"/>
        </w:trPr>
        <w:tc>
          <w:tcPr>
            <w:tcW w:w="820" w:type="dxa"/>
            <w:vAlign w:val="bottom"/>
          </w:tcPr>
          <w:p>
            <w:pPr>
              <w:spacing w:after="0"/>
              <w:rPr>
                <w:sz w:val="11"/>
                <w:szCs w:val="11"/>
                <w:color w:val="auto"/>
              </w:rPr>
            </w:pPr>
          </w:p>
        </w:tc>
        <w:tc>
          <w:tcPr>
            <w:tcW w:w="10280" w:type="dxa"/>
            <w:vAlign w:val="bottom"/>
            <w:tcBorders>
              <w:top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550">
              <w:r>
                <w:rPr>
                  <w:rFonts w:ascii="Times New Roman" w:cs="Times New Roman" w:eastAsia="Times New Roman" w:hAnsi="Times New Roman"/>
                  <w:sz w:val="14"/>
                  <w:szCs w:val="14"/>
                  <w:color w:val="0000FF"/>
                </w:rPr>
                <w:t>Investment Holdings, LLC, PNNT Investment Holdings, LLC, PNNT New Gulf Resources, LLC, PNNT ecoserve, LLC and PNNT Cascade Environmental Holdings, LLC</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820" w:type="dxa"/>
            <w:vAlign w:val="bottom"/>
          </w:tcPr>
          <w:p>
            <w:pPr>
              <w:spacing w:after="0"/>
              <w:rPr>
                <w:sz w:val="11"/>
                <w:szCs w:val="11"/>
                <w:color w:val="auto"/>
              </w:rPr>
            </w:pPr>
          </w:p>
        </w:tc>
        <w:tc>
          <w:tcPr>
            <w:tcW w:w="994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550">
              <w:r>
                <w:rPr>
                  <w:rFonts w:ascii="Times New Roman" w:cs="Times New Roman" w:eastAsia="Times New Roman" w:hAnsi="Times New Roman"/>
                  <w:sz w:val="14"/>
                  <w:szCs w:val="14"/>
                  <w:color w:val="0000FF"/>
                </w:rPr>
                <w:t>(Incorporated by reference to Exhibit 10.1 to the Registrant’s Form 8-K (File No. 814-00736), filed on September 4, 2019).</w:t>
              </w:r>
            </w:hyperlink>
          </w:p>
        </w:tc>
        <w:tc>
          <w:tcPr>
            <w:tcW w:w="100" w:type="dxa"/>
            <w:vAlign w:val="bottom"/>
            <w:gridSpan w:val="2"/>
          </w:tcPr>
          <w:p>
            <w:pPr>
              <w:spacing w:after="0"/>
              <w:rPr>
                <w:sz w:val="11"/>
                <w:szCs w:val="11"/>
                <w:color w:val="auto"/>
              </w:rPr>
            </w:pPr>
          </w:p>
        </w:tc>
        <w:tc>
          <w:tcPr>
            <w:tcW w:w="3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820" w:type="dxa"/>
            <w:vAlign w:val="bottom"/>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984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551">
              <w:r>
                <w:rPr>
                  <w:rFonts w:ascii="Times New Roman" w:cs="Times New Roman" w:eastAsia="Times New Roman" w:hAnsi="Times New Roman"/>
                  <w:sz w:val="14"/>
                  <w:szCs w:val="14"/>
                  <w:color w:val="0000FF"/>
                </w:rPr>
                <w:t>Amended and Restated Limited Liability Company Agreement of PennantPark Senior Loan Fund, LLC, dated as of July 31, 2020, by and among PennantPark Investment</w:t>
              </w:r>
            </w:hyperlink>
          </w:p>
        </w:tc>
        <w:tc>
          <w:tcPr>
            <w:tcW w:w="540" w:type="dxa"/>
            <w:vAlign w:val="bottom"/>
            <w:gridSpan w:val="7"/>
          </w:tcPr>
          <w:p>
            <w:pPr>
              <w:spacing w:after="0"/>
              <w:rPr>
                <w:sz w:val="22"/>
                <w:szCs w:val="22"/>
                <w:color w:val="auto"/>
              </w:rPr>
            </w:pPr>
          </w:p>
        </w:tc>
      </w:tr>
      <w:tr>
        <w:trPr>
          <w:trHeight w:val="142"/>
        </w:trPr>
        <w:tc>
          <w:tcPr>
            <w:tcW w:w="820" w:type="dxa"/>
            <w:vAlign w:val="bottom"/>
          </w:tcPr>
          <w:p>
            <w:pPr>
              <w:spacing w:after="0"/>
              <w:rPr>
                <w:sz w:val="12"/>
                <w:szCs w:val="12"/>
                <w:color w:val="auto"/>
              </w:rPr>
            </w:pPr>
          </w:p>
        </w:tc>
        <w:tc>
          <w:tcPr>
            <w:tcW w:w="10380" w:type="dxa"/>
            <w:vAlign w:val="bottom"/>
            <w:gridSpan w:val="26"/>
          </w:tcPr>
          <w:p>
            <w:pPr>
              <w:spacing w:after="0" w:line="142" w:lineRule="exact"/>
              <w:rPr>
                <w:rFonts w:ascii="Times New Roman" w:cs="Times New Roman" w:eastAsia="Times New Roman" w:hAnsi="Times New Roman"/>
                <w:sz w:val="14"/>
                <w:szCs w:val="14"/>
                <w:color w:val="0000FF"/>
              </w:rPr>
            </w:pPr>
            <w:hyperlink r:id="rId551">
              <w:r>
                <w:rPr>
                  <w:rFonts w:ascii="Times New Roman" w:cs="Times New Roman" w:eastAsia="Times New Roman" w:hAnsi="Times New Roman"/>
                  <w:sz w:val="14"/>
                  <w:szCs w:val="14"/>
                  <w:color w:val="0000FF"/>
                </w:rPr>
                <w:t>Corporation, Pantheon Private Debt Program SCSp SICAV – RAIF In Respect Of Its Compartment Pantheon Senior Debt Secondaries II (USD) and Solutio Premium Private Debt</w:t>
              </w:r>
            </w:hyperlink>
          </w:p>
        </w:tc>
      </w:tr>
      <w:tr>
        <w:trPr>
          <w:trHeight w:val="128"/>
        </w:trPr>
        <w:tc>
          <w:tcPr>
            <w:tcW w:w="820" w:type="dxa"/>
            <w:vAlign w:val="bottom"/>
          </w:tcPr>
          <w:p>
            <w:pPr>
              <w:spacing w:after="0"/>
              <w:rPr>
                <w:sz w:val="11"/>
                <w:szCs w:val="11"/>
                <w:color w:val="auto"/>
              </w:rPr>
            </w:pPr>
          </w:p>
        </w:tc>
        <w:tc>
          <w:tcPr>
            <w:tcW w:w="7360" w:type="dxa"/>
            <w:vAlign w:val="bottom"/>
            <w:tcBorders>
              <w:top w:val="single" w:sz="8" w:color="0000FF"/>
              <w:bottom w:val="single" w:sz="8" w:color="0000FF"/>
            </w:tcBorders>
            <w:gridSpan w:val="14"/>
          </w:tcPr>
          <w:p>
            <w:pPr>
              <w:spacing w:after="0" w:line="129" w:lineRule="exact"/>
              <w:rPr>
                <w:rFonts w:ascii="Times New Roman" w:cs="Times New Roman" w:eastAsia="Times New Roman" w:hAnsi="Times New Roman"/>
                <w:sz w:val="14"/>
                <w:szCs w:val="14"/>
                <w:color w:val="0000FF"/>
              </w:rPr>
            </w:pPr>
            <w:hyperlink r:id="rId551">
              <w:r>
                <w:rPr>
                  <w:rFonts w:ascii="Times New Roman" w:cs="Times New Roman" w:eastAsia="Times New Roman" w:hAnsi="Times New Roman"/>
                  <w:sz w:val="14"/>
                  <w:szCs w:val="14"/>
                  <w:color w:val="0000FF"/>
                </w:rPr>
                <w:t>I SCSp (Incorporated by reference to Exhibit 10.1 to the Registrant’s Form 8-K (File No. 814-00736), filed on August 4, 2020).</w:t>
              </w:r>
            </w:hyperlink>
          </w:p>
        </w:tc>
        <w:tc>
          <w:tcPr>
            <w:tcW w:w="20" w:type="dxa"/>
            <w:vAlign w:val="bottom"/>
            <w:tcBorders>
              <w:top w:val="single" w:sz="8" w:color="0000FF"/>
              <w:bottom w:val="single" w:sz="8" w:color="0000EE"/>
            </w:tcBorders>
          </w:tcPr>
          <w:p>
            <w:pPr>
              <w:spacing w:after="0"/>
              <w:rPr>
                <w:sz w:val="11"/>
                <w:szCs w:val="11"/>
                <w:color w:val="auto"/>
              </w:rPr>
            </w:pPr>
          </w:p>
        </w:tc>
        <w:tc>
          <w:tcPr>
            <w:tcW w:w="298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r>
      <w:tr>
        <w:trPr>
          <w:trHeight w:val="26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1004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552">
              <w:r>
                <w:rPr>
                  <w:rFonts w:ascii="Times New Roman" w:cs="Times New Roman" w:eastAsia="Times New Roman" w:hAnsi="Times New Roman"/>
                  <w:sz w:val="14"/>
                  <w:szCs w:val="14"/>
                  <w:color w:val="0000FF"/>
                </w:rPr>
                <w:t>First Amendment to the Amended and Restated Limited Liability Company Agreement of PennantPark Senior Loan Fund, LLC, dated as of October 31, 2020, by and among</w:t>
              </w:r>
            </w:hyperlink>
          </w:p>
        </w:tc>
        <w:tc>
          <w:tcPr>
            <w:tcW w:w="340" w:type="dxa"/>
            <w:vAlign w:val="bottom"/>
            <w:gridSpan w:val="4"/>
          </w:tcPr>
          <w:p>
            <w:pPr>
              <w:spacing w:after="0"/>
              <w:rPr>
                <w:sz w:val="22"/>
                <w:szCs w:val="22"/>
                <w:color w:val="auto"/>
              </w:rPr>
            </w:pPr>
          </w:p>
        </w:tc>
      </w:tr>
      <w:tr>
        <w:trPr>
          <w:trHeight w:val="142"/>
        </w:trPr>
        <w:tc>
          <w:tcPr>
            <w:tcW w:w="820" w:type="dxa"/>
            <w:vAlign w:val="bottom"/>
          </w:tcPr>
          <w:p>
            <w:pPr>
              <w:spacing w:after="0"/>
              <w:rPr>
                <w:sz w:val="12"/>
                <w:szCs w:val="12"/>
                <w:color w:val="auto"/>
              </w:rPr>
            </w:pPr>
          </w:p>
        </w:tc>
        <w:tc>
          <w:tcPr>
            <w:tcW w:w="10380" w:type="dxa"/>
            <w:vAlign w:val="bottom"/>
            <w:tcBorders>
              <w:bottom w:val="single" w:sz="8" w:color="0000FF"/>
            </w:tcBorders>
            <w:gridSpan w:val="26"/>
          </w:tcPr>
          <w:p>
            <w:pPr>
              <w:spacing w:after="0" w:line="142" w:lineRule="exact"/>
              <w:rPr>
                <w:rFonts w:ascii="Times New Roman" w:cs="Times New Roman" w:eastAsia="Times New Roman" w:hAnsi="Times New Roman"/>
                <w:sz w:val="14"/>
                <w:szCs w:val="14"/>
                <w:color w:val="0000FF"/>
              </w:rPr>
            </w:pPr>
            <w:hyperlink r:id="rId552">
              <w:r>
                <w:rPr>
                  <w:rFonts w:ascii="Times New Roman" w:cs="Times New Roman" w:eastAsia="Times New Roman" w:hAnsi="Times New Roman"/>
                  <w:sz w:val="14"/>
                  <w:szCs w:val="14"/>
                  <w:color w:val="0000FF"/>
                </w:rPr>
                <w:t>PennantPark Investment Corporation, Pantheon Private Debt Program SCSp SICAV – RAIF In Respect Of Its Compartment Pantheon Senior Debt Secondaries II (USD), Pantheon</w:t>
              </w:r>
            </w:hyperlink>
          </w:p>
        </w:tc>
      </w:tr>
      <w:tr>
        <w:trPr>
          <w:trHeight w:val="128"/>
        </w:trPr>
        <w:tc>
          <w:tcPr>
            <w:tcW w:w="820" w:type="dxa"/>
            <w:vAlign w:val="bottom"/>
          </w:tcPr>
          <w:p>
            <w:pPr>
              <w:spacing w:after="0"/>
              <w:rPr>
                <w:sz w:val="11"/>
                <w:szCs w:val="11"/>
                <w:color w:val="auto"/>
              </w:rPr>
            </w:pPr>
          </w:p>
        </w:tc>
        <w:tc>
          <w:tcPr>
            <w:tcW w:w="10380" w:type="dxa"/>
            <w:vAlign w:val="bottom"/>
            <w:tcBorders>
              <w:bottom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552">
              <w:r>
                <w:rPr>
                  <w:rFonts w:ascii="Times New Roman" w:cs="Times New Roman" w:eastAsia="Times New Roman" w:hAnsi="Times New Roman"/>
                  <w:sz w:val="14"/>
                  <w:szCs w:val="14"/>
                  <w:color w:val="0000FF"/>
                </w:rPr>
                <w:t>Private Debt Program SCSp SICAV-RAIF In Respect Of Its Compartment Pantheon Credit Opportunities II (USD), Pantheon Private Debt Program SCSp SICAV-RAIF In Respect</w:t>
              </w:r>
            </w:hyperlink>
          </w:p>
        </w:tc>
      </w:tr>
      <w:tr>
        <w:trPr>
          <w:trHeight w:val="128"/>
        </w:trPr>
        <w:tc>
          <w:tcPr>
            <w:tcW w:w="820" w:type="dxa"/>
            <w:vAlign w:val="bottom"/>
          </w:tcPr>
          <w:p>
            <w:pPr>
              <w:spacing w:after="0"/>
              <w:rPr>
                <w:sz w:val="11"/>
                <w:szCs w:val="11"/>
                <w:color w:val="auto"/>
              </w:rPr>
            </w:pPr>
          </w:p>
        </w:tc>
        <w:tc>
          <w:tcPr>
            <w:tcW w:w="10380" w:type="dxa"/>
            <w:vAlign w:val="bottom"/>
            <w:tcBorders>
              <w:bottom w:val="single" w:sz="8" w:color="0000FF"/>
            </w:tcBorders>
            <w:gridSpan w:val="26"/>
          </w:tcPr>
          <w:p>
            <w:pPr>
              <w:spacing w:after="0" w:line="129" w:lineRule="exact"/>
              <w:rPr>
                <w:rFonts w:ascii="Times New Roman" w:cs="Times New Roman" w:eastAsia="Times New Roman" w:hAnsi="Times New Roman"/>
                <w:sz w:val="14"/>
                <w:szCs w:val="14"/>
                <w:color w:val="0000FF"/>
              </w:rPr>
            </w:pPr>
            <w:hyperlink r:id="rId552">
              <w:r>
                <w:rPr>
                  <w:rFonts w:ascii="Times New Roman" w:cs="Times New Roman" w:eastAsia="Times New Roman" w:hAnsi="Times New Roman"/>
                  <w:sz w:val="14"/>
                  <w:szCs w:val="14"/>
                  <w:color w:val="0000FF"/>
                </w:rPr>
                <w:t>Of Its Compartment Tubera Credit 2020 and Solutio Premium Private Debt I SCSp (Incorporated by reference to Exhibit 10.12 to the Registrant’s Form 10-K (File No. 814-00736),</w:t>
              </w:r>
            </w:hyperlink>
          </w:p>
        </w:tc>
      </w:tr>
      <w:tr>
        <w:trPr>
          <w:trHeight w:val="128"/>
        </w:trPr>
        <w:tc>
          <w:tcPr>
            <w:tcW w:w="820" w:type="dxa"/>
            <w:vAlign w:val="bottom"/>
          </w:tcPr>
          <w:p>
            <w:pPr>
              <w:spacing w:after="0"/>
              <w:rPr>
                <w:sz w:val="11"/>
                <w:szCs w:val="11"/>
                <w:color w:val="auto"/>
              </w:rPr>
            </w:pPr>
          </w:p>
        </w:tc>
        <w:tc>
          <w:tcPr>
            <w:tcW w:w="1720" w:type="dxa"/>
            <w:vAlign w:val="bottom"/>
            <w:tcBorders>
              <w:bottom w:val="single" w:sz="8" w:color="0000FF"/>
            </w:tcBorders>
            <w:gridSpan w:val="3"/>
          </w:tcPr>
          <w:p>
            <w:pPr>
              <w:spacing w:after="0" w:line="129" w:lineRule="exact"/>
              <w:rPr>
                <w:rFonts w:ascii="Times New Roman" w:cs="Times New Roman" w:eastAsia="Times New Roman" w:hAnsi="Times New Roman"/>
                <w:sz w:val="14"/>
                <w:szCs w:val="14"/>
                <w:color w:val="0000FF"/>
              </w:rPr>
            </w:pPr>
            <w:hyperlink r:id="rId552">
              <w:r>
                <w:rPr>
                  <w:rFonts w:ascii="Times New Roman" w:cs="Times New Roman" w:eastAsia="Times New Roman" w:hAnsi="Times New Roman"/>
                  <w:sz w:val="14"/>
                  <w:szCs w:val="14"/>
                  <w:color w:val="0000FF"/>
                </w:rPr>
                <w:t>filed on November 19, 2020).</w:t>
              </w:r>
            </w:hyperlink>
          </w:p>
        </w:tc>
        <w:tc>
          <w:tcPr>
            <w:tcW w:w="20" w:type="dxa"/>
            <w:vAlign w:val="bottom"/>
            <w:tcBorders>
              <w:bottom w:val="single" w:sz="8" w:color="0000EE"/>
            </w:tcBorders>
          </w:tcPr>
          <w:p>
            <w:pPr>
              <w:spacing w:after="0"/>
              <w:rPr>
                <w:sz w:val="11"/>
                <w:szCs w:val="11"/>
                <w:color w:val="auto"/>
              </w:rPr>
            </w:pPr>
          </w:p>
        </w:tc>
        <w:tc>
          <w:tcPr>
            <w:tcW w:w="8640" w:type="dxa"/>
            <w:vAlign w:val="bottom"/>
            <w:gridSpan w:val="22"/>
          </w:tcPr>
          <w:p>
            <w:pPr>
              <w:spacing w:after="0"/>
              <w:rPr>
                <w:sz w:val="11"/>
                <w:szCs w:val="11"/>
                <w:color w:val="auto"/>
              </w:rPr>
            </w:pPr>
          </w:p>
        </w:tc>
      </w:tr>
      <w:tr>
        <w:trPr>
          <w:trHeight w:val="26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10380" w:type="dxa"/>
            <w:vAlign w:val="bottom"/>
            <w:gridSpan w:val="26"/>
          </w:tcPr>
          <w:p>
            <w:pPr>
              <w:spacing w:after="0"/>
              <w:rPr>
                <w:rFonts w:ascii="Times New Roman" w:cs="Times New Roman" w:eastAsia="Times New Roman" w:hAnsi="Times New Roman"/>
                <w:sz w:val="14"/>
                <w:szCs w:val="14"/>
                <w:color w:val="0000FF"/>
              </w:rPr>
            </w:pPr>
            <w:hyperlink r:id="rId553">
              <w:r>
                <w:rPr>
                  <w:rFonts w:ascii="Times New Roman" w:cs="Times New Roman" w:eastAsia="Times New Roman" w:hAnsi="Times New Roman"/>
                  <w:sz w:val="14"/>
                  <w:szCs w:val="14"/>
                  <w:color w:val="0000FF"/>
                </w:rPr>
                <w:t>Fifth Amendment to Second Amended and Restated Senior Secured Revolving Credit Agreement and Second Amended and Restated Guarantee and Security Agreement, dated as</w:t>
              </w:r>
            </w:hyperlink>
          </w:p>
        </w:tc>
      </w:tr>
      <w:tr>
        <w:trPr>
          <w:trHeight w:val="142"/>
        </w:trPr>
        <w:tc>
          <w:tcPr>
            <w:tcW w:w="820" w:type="dxa"/>
            <w:vAlign w:val="bottom"/>
          </w:tcPr>
          <w:p>
            <w:pPr>
              <w:spacing w:after="0"/>
              <w:rPr>
                <w:sz w:val="12"/>
                <w:szCs w:val="12"/>
                <w:color w:val="auto"/>
              </w:rPr>
            </w:pPr>
          </w:p>
        </w:tc>
        <w:tc>
          <w:tcPr>
            <w:tcW w:w="10340" w:type="dxa"/>
            <w:vAlign w:val="bottom"/>
            <w:tcBorders>
              <w:top w:val="single" w:sz="8" w:color="0000FF"/>
            </w:tcBorders>
            <w:gridSpan w:val="24"/>
          </w:tcPr>
          <w:p>
            <w:pPr>
              <w:spacing w:after="0" w:line="142" w:lineRule="exact"/>
              <w:rPr>
                <w:rFonts w:ascii="Times New Roman" w:cs="Times New Roman" w:eastAsia="Times New Roman" w:hAnsi="Times New Roman"/>
                <w:sz w:val="14"/>
                <w:szCs w:val="14"/>
                <w:color w:val="0000FF"/>
              </w:rPr>
            </w:pPr>
            <w:hyperlink r:id="rId553">
              <w:r>
                <w:rPr>
                  <w:rFonts w:ascii="Times New Roman" w:cs="Times New Roman" w:eastAsia="Times New Roman" w:hAnsi="Times New Roman"/>
                  <w:sz w:val="14"/>
                  <w:szCs w:val="14"/>
                  <w:color w:val="0000FF"/>
                </w:rPr>
                <w:t>of July 29, 2022, among the Registrant, the lenders party thereto and Truist Bank, as administrative agent for the lenders (Incorporated by reference to Exhibit 10.2 to the</w:t>
              </w:r>
            </w:hyperlink>
          </w:p>
        </w:tc>
        <w:tc>
          <w:tcPr>
            <w:tcW w:w="40" w:type="dxa"/>
            <w:vAlign w:val="bottom"/>
            <w:gridSpan w:val="2"/>
          </w:tcPr>
          <w:p>
            <w:pPr>
              <w:spacing w:after="0"/>
              <w:rPr>
                <w:sz w:val="12"/>
                <w:szCs w:val="12"/>
                <w:color w:val="auto"/>
              </w:rPr>
            </w:pPr>
          </w:p>
        </w:tc>
      </w:tr>
      <w:tr>
        <w:trPr>
          <w:trHeight w:val="128"/>
        </w:trPr>
        <w:tc>
          <w:tcPr>
            <w:tcW w:w="820" w:type="dxa"/>
            <w:vAlign w:val="bottom"/>
          </w:tcPr>
          <w:p>
            <w:pPr>
              <w:spacing w:after="0"/>
              <w:rPr>
                <w:sz w:val="11"/>
                <w:szCs w:val="11"/>
                <w:color w:val="auto"/>
              </w:rPr>
            </w:pPr>
          </w:p>
        </w:tc>
        <w:tc>
          <w:tcPr>
            <w:tcW w:w="4180" w:type="dxa"/>
            <w:vAlign w:val="bottom"/>
            <w:tcBorders>
              <w:top w:val="single" w:sz="8" w:color="0000FF"/>
              <w:bottom w:val="single" w:sz="8" w:color="0000EE"/>
            </w:tcBorders>
            <w:gridSpan w:val="8"/>
          </w:tcPr>
          <w:p>
            <w:pPr>
              <w:spacing w:after="0" w:line="129" w:lineRule="exact"/>
              <w:rPr>
                <w:rFonts w:ascii="Times New Roman" w:cs="Times New Roman" w:eastAsia="Times New Roman" w:hAnsi="Times New Roman"/>
                <w:sz w:val="14"/>
                <w:szCs w:val="14"/>
                <w:color w:val="0000FF"/>
              </w:rPr>
            </w:pPr>
            <w:hyperlink r:id="rId553">
              <w:r>
                <w:rPr>
                  <w:rFonts w:ascii="Times New Roman" w:cs="Times New Roman" w:eastAsia="Times New Roman" w:hAnsi="Times New Roman"/>
                  <w:sz w:val="14"/>
                  <w:szCs w:val="14"/>
                  <w:color w:val="0000FF"/>
                </w:rPr>
                <w:t>Registrant’s Form 10-Q (File No. 814-00736), filed on August 3, 2022).</w:t>
              </w:r>
            </w:hyperlink>
          </w:p>
        </w:tc>
        <w:tc>
          <w:tcPr>
            <w:tcW w:w="5620" w:type="dxa"/>
            <w:vAlign w:val="bottom"/>
            <w:tcBorders>
              <w:top w:val="single" w:sz="8" w:color="0000FF"/>
            </w:tcBorders>
            <w:gridSpan w:val="10"/>
          </w:tcPr>
          <w:p>
            <w:pPr>
              <w:spacing w:after="0"/>
              <w:rPr>
                <w:sz w:val="11"/>
                <w:szCs w:val="11"/>
                <w:color w:val="auto"/>
              </w:rPr>
            </w:pPr>
          </w:p>
        </w:tc>
        <w:tc>
          <w:tcPr>
            <w:tcW w:w="580" w:type="dxa"/>
            <w:vAlign w:val="bottom"/>
            <w:gridSpan w:val="8"/>
          </w:tcPr>
          <w:p>
            <w:pPr>
              <w:spacing w:after="0"/>
              <w:rPr>
                <w:sz w:val="11"/>
                <w:szCs w:val="11"/>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14.1*</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Joint Code of Ethics of the Registrant.</w:t>
            </w:r>
          </w:p>
        </w:tc>
      </w:tr>
      <w:tr>
        <w:trPr>
          <w:trHeight w:val="26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21.1*</w:t>
            </w:r>
          </w:p>
        </w:tc>
        <w:tc>
          <w:tcPr>
            <w:tcW w:w="17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460" w:type="dxa"/>
            <w:vAlign w:val="bottom"/>
            <w:tcBorders>
              <w:top w:val="single" w:sz="8" w:color="0000FF"/>
            </w:tcBorders>
            <w:gridSpan w:val="2"/>
          </w:tcPr>
          <w:p>
            <w:pPr>
              <w:spacing w:after="0"/>
              <w:rPr>
                <w:sz w:val="22"/>
                <w:szCs w:val="22"/>
                <w:color w:val="auto"/>
              </w:rPr>
            </w:pPr>
          </w:p>
        </w:tc>
        <w:tc>
          <w:tcPr>
            <w:tcW w:w="8180" w:type="dxa"/>
            <w:vAlign w:val="bottom"/>
            <w:gridSpan w:val="20"/>
          </w:tcPr>
          <w:p>
            <w:pPr>
              <w:spacing w:after="0"/>
              <w:rPr>
                <w:sz w:val="22"/>
                <w:szCs w:val="22"/>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Consent of RSM US LLP.</w:t>
            </w:r>
          </w:p>
        </w:tc>
      </w:tr>
      <w:tr>
        <w:trPr>
          <w:trHeight w:val="20"/>
        </w:trPr>
        <w:tc>
          <w:tcPr>
            <w:tcW w:w="820" w:type="dxa"/>
            <w:vAlign w:val="bottom"/>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9"/>
          </w:tcPr>
          <w:p>
            <w:pPr>
              <w:spacing w:after="0" w:line="20" w:lineRule="exact"/>
              <w:rPr>
                <w:sz w:val="1"/>
                <w:szCs w:val="1"/>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Consent of BDO USA, LLP.</w:t>
            </w:r>
          </w:p>
        </w:tc>
      </w:tr>
      <w:tr>
        <w:trPr>
          <w:trHeight w:val="20"/>
        </w:trPr>
        <w:tc>
          <w:tcPr>
            <w:tcW w:w="820" w:type="dxa"/>
            <w:vAlign w:val="bottom"/>
          </w:tcPr>
          <w:p>
            <w:pPr>
              <w:spacing w:after="0" w:line="20" w:lineRule="exact"/>
              <w:rPr>
                <w:sz w:val="1"/>
                <w:szCs w:val="1"/>
                <w:color w:val="auto"/>
              </w:rPr>
            </w:pPr>
          </w:p>
        </w:tc>
        <w:tc>
          <w:tcPr>
            <w:tcW w:w="166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9"/>
          </w:tcPr>
          <w:p>
            <w:pPr>
              <w:spacing w:after="0" w:line="20" w:lineRule="exact"/>
              <w:rPr>
                <w:sz w:val="1"/>
                <w:szCs w:val="1"/>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 of the Securities Exchange Act of 1934, as amended.</w:t>
            </w: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680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 of the Securities Exchange Act of 1934, as amended.</w:t>
            </w:r>
          </w:p>
        </w:tc>
        <w:tc>
          <w:tcPr>
            <w:tcW w:w="3580" w:type="dxa"/>
            <w:vAlign w:val="bottom"/>
            <w:gridSpan w:val="14"/>
          </w:tcPr>
          <w:p>
            <w:pPr>
              <w:spacing w:after="0"/>
              <w:rPr>
                <w:sz w:val="22"/>
                <w:szCs w:val="22"/>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7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906 of the Sarbanes-Oxley Act of 2002.</w:t>
            </w:r>
          </w:p>
        </w:tc>
        <w:tc>
          <w:tcPr>
            <w:tcW w:w="1000" w:type="dxa"/>
            <w:vAlign w:val="bottom"/>
            <w:tcBorders>
              <w:top w:val="single" w:sz="8" w:color="0000FF"/>
            </w:tcBorders>
          </w:tcPr>
          <w:p>
            <w:pPr>
              <w:spacing w:after="0"/>
              <w:rPr>
                <w:sz w:val="22"/>
                <w:szCs w:val="22"/>
                <w:color w:val="auto"/>
              </w:rPr>
            </w:pPr>
          </w:p>
        </w:tc>
        <w:tc>
          <w:tcPr>
            <w:tcW w:w="3620" w:type="dxa"/>
            <w:vAlign w:val="bottom"/>
            <w:gridSpan w:val="15"/>
          </w:tcPr>
          <w:p>
            <w:pPr>
              <w:spacing w:after="0"/>
              <w:rPr>
                <w:sz w:val="22"/>
                <w:szCs w:val="22"/>
                <w:color w:val="auto"/>
              </w:rPr>
            </w:pPr>
          </w:p>
        </w:tc>
      </w:tr>
      <w:tr>
        <w:trPr>
          <w:trHeight w:val="26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5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906 of the Sarbanes-Oxley Act of 2002.</w:t>
            </w:r>
          </w:p>
        </w:tc>
        <w:tc>
          <w:tcPr>
            <w:tcW w:w="4660" w:type="dxa"/>
            <w:vAlign w:val="bottom"/>
            <w:gridSpan w:val="17"/>
          </w:tcPr>
          <w:p>
            <w:pPr>
              <w:spacing w:after="0"/>
              <w:rPr>
                <w:sz w:val="22"/>
                <w:szCs w:val="22"/>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1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FF"/>
              </w:rPr>
              <w:t>Privacy Policy of the Registrant</w:t>
            </w:r>
          </w:p>
        </w:tc>
        <w:tc>
          <w:tcPr>
            <w:tcW w:w="8500" w:type="dxa"/>
            <w:vAlign w:val="bottom"/>
            <w:gridSpan w:val="21"/>
          </w:tcPr>
          <w:p>
            <w:pPr>
              <w:spacing w:after="0"/>
              <w:rPr>
                <w:sz w:val="22"/>
                <w:szCs w:val="22"/>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7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Audited Consolidated Financial Statements of RAM Energy Holdings LLC and Subsidiaries for the Year Ended September 30, 2021.</w:t>
            </w:r>
          </w:p>
        </w:tc>
        <w:tc>
          <w:tcPr>
            <w:tcW w:w="20" w:type="dxa"/>
            <w:vAlign w:val="bottom"/>
            <w:tcBorders>
              <w:bottom w:val="single" w:sz="8" w:color="0000EE"/>
            </w:tcBorders>
          </w:tcPr>
          <w:p>
            <w:pPr>
              <w:spacing w:after="0"/>
              <w:rPr>
                <w:sz w:val="22"/>
                <w:szCs w:val="22"/>
                <w:color w:val="auto"/>
              </w:rPr>
            </w:pPr>
          </w:p>
        </w:tc>
        <w:tc>
          <w:tcPr>
            <w:tcW w:w="2680" w:type="dxa"/>
            <w:vAlign w:val="bottom"/>
            <w:gridSpan w:val="9"/>
          </w:tcPr>
          <w:p>
            <w:pPr>
              <w:spacing w:after="0"/>
              <w:rPr>
                <w:sz w:val="22"/>
                <w:szCs w:val="22"/>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99.3*</w:t>
            </w:r>
          </w:p>
        </w:tc>
        <w:tc>
          <w:tcPr>
            <w:tcW w:w="7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Audited Consolidated Financial Statements of RAM Energy Holdings LLC and Subsidiaries for the Year Ended September 30, 2020.</w:t>
            </w:r>
          </w:p>
        </w:tc>
        <w:tc>
          <w:tcPr>
            <w:tcW w:w="2700" w:type="dxa"/>
            <w:vAlign w:val="bottom"/>
            <w:gridSpan w:val="10"/>
          </w:tcPr>
          <w:p>
            <w:pPr>
              <w:spacing w:after="0"/>
              <w:rPr>
                <w:sz w:val="22"/>
                <w:szCs w:val="22"/>
                <w:color w:val="auto"/>
              </w:rPr>
            </w:pPr>
          </w:p>
        </w:tc>
      </w:tr>
      <w:tr>
        <w:trPr>
          <w:trHeight w:val="263"/>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99.4*</w:t>
            </w:r>
          </w:p>
        </w:tc>
        <w:tc>
          <w:tcPr>
            <w:tcW w:w="3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FF"/>
              </w:rPr>
              <w:t>Report of RSM US LLP on Senior Securities Table.</w:t>
            </w:r>
          </w:p>
        </w:tc>
        <w:tc>
          <w:tcPr>
            <w:tcW w:w="7360" w:type="dxa"/>
            <w:vAlign w:val="bottom"/>
            <w:gridSpan w:val="19"/>
          </w:tcPr>
          <w:p>
            <w:pPr>
              <w:spacing w:after="0"/>
              <w:rPr>
                <w:sz w:val="22"/>
                <w:szCs w:val="22"/>
                <w:color w:val="auto"/>
              </w:rPr>
            </w:pPr>
          </w:p>
        </w:tc>
      </w:tr>
      <w:tr>
        <w:trPr>
          <w:trHeight w:val="375"/>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Inline XBRL Taxonomy Extension Schema</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324"/>
        </w:trPr>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38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bl>
    <w:p>
      <w:pPr>
        <w:spacing w:after="0" w:line="136" w:lineRule="exact"/>
        <w:rPr>
          <w:sz w:val="20"/>
          <w:szCs w:val="20"/>
          <w:color w:val="auto"/>
        </w:rPr>
      </w:pPr>
    </w:p>
    <w:p>
      <w:pPr>
        <w:ind w:left="-20" w:right="5160" w:firstLine="21"/>
        <w:spacing w:after="0" w:line="613" w:lineRule="auto"/>
        <w:tabs>
          <w:tab w:leader="none" w:pos="817" w:val="left"/>
        </w:tabs>
        <w:numPr>
          <w:ilvl w:val="1"/>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11912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38" w:right="35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52" w:lineRule="exact"/>
        <w:rPr>
          <w:sz w:val="20"/>
          <w:szCs w:val="20"/>
          <w:color w:val="auto"/>
        </w:rPr>
      </w:pPr>
    </w:p>
    <w:p>
      <w:pPr>
        <w:ind w:right="480" w:firstLine="449"/>
        <w:spacing w:after="0" w:line="282"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November 17, 2022.</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By:</w:t>
      </w:r>
    </w:p>
    <w:p>
      <w:pPr>
        <w:ind w:left="1940"/>
        <w:spacing w:after="0"/>
        <w:tabs>
          <w:tab w:leader="none" w:pos="2200" w:val="left"/>
        </w:tabs>
        <w:rPr>
          <w:sz w:val="20"/>
          <w:szCs w:val="20"/>
          <w:color w:val="auto"/>
        </w:rPr>
      </w:pPr>
      <w:r>
        <w:rPr>
          <w:rFonts w:ascii="Times New Roman" w:cs="Times New Roman" w:eastAsia="Times New Roman" w:hAnsi="Times New Roman"/>
          <w:sz w:val="14"/>
          <w:szCs w:val="14"/>
          <w:color w:val="auto"/>
        </w:rPr>
        <w:t>/s/</w:t>
        <w:tab/>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5080</wp:posOffset>
            </wp:positionV>
            <wp:extent cx="230568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6">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Name:</w:t>
      </w:r>
    </w:p>
    <w:p>
      <w:pPr>
        <w:spacing w:after="0" w:line="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Arthur H. Penn</w:t>
      </w:r>
    </w:p>
    <w:p>
      <w:pPr>
        <w:spacing w:after="0" w:line="2" w:lineRule="exact"/>
        <w:rPr>
          <w:sz w:val="20"/>
          <w:szCs w:val="20"/>
          <w:color w:val="auto"/>
        </w:rPr>
      </w:pPr>
    </w:p>
    <w:p>
      <w:pPr>
        <w:ind w:left="20"/>
        <w:spacing w:after="0"/>
        <w:tabs>
          <w:tab w:leader="none" w:pos="9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Chief Executive Officer and Chairman of the Board of</w:t>
      </w:r>
    </w:p>
    <w:p>
      <w:pPr>
        <w:ind w:left="2380"/>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134" w:lineRule="exact"/>
        <w:rPr>
          <w:sz w:val="20"/>
          <w:szCs w:val="20"/>
          <w:color w:val="auto"/>
        </w:rPr>
      </w:pPr>
    </w:p>
    <w:p>
      <w:pPr>
        <w:ind w:right="20" w:firstLine="449"/>
        <w:spacing w:after="0" w:line="28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40" w:type="dxa"/>
            <w:vAlign w:val="bottom"/>
          </w:tcPr>
          <w:p>
            <w:pPr>
              <w:spacing w:after="0"/>
              <w:rPr>
                <w:sz w:val="16"/>
                <w:szCs w:val="16"/>
                <w:color w:val="auto"/>
              </w:rPr>
            </w:pPr>
          </w:p>
        </w:tc>
      </w:tr>
      <w:tr>
        <w:trPr>
          <w:trHeight w:val="173"/>
        </w:trPr>
        <w:tc>
          <w:tcPr>
            <w:tcW w:w="34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2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ARTHUR H. PENN</w:t>
            </w:r>
          </w:p>
        </w:tc>
        <w:tc>
          <w:tcPr>
            <w:tcW w:w="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17, 2022</w:t>
            </w:r>
          </w:p>
        </w:tc>
        <w:tc>
          <w:tcPr>
            <w:tcW w:w="340" w:type="dxa"/>
            <w:vAlign w:val="bottom"/>
          </w:tcPr>
          <w:p>
            <w:pPr>
              <w:spacing w:after="0"/>
              <w:rPr>
                <w:sz w:val="15"/>
                <w:szCs w:val="15"/>
                <w:color w:val="auto"/>
              </w:rPr>
            </w:pPr>
          </w:p>
        </w:tc>
      </w:tr>
      <w:tr>
        <w:trPr>
          <w:trHeight w:val="144"/>
        </w:trPr>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Chief Executive Officer and Chairman of the Board of Directors</w:t>
            </w: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4"/>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Arthur H. Penn</w:t>
            </w:r>
          </w:p>
        </w:tc>
        <w:tc>
          <w:tcPr>
            <w:tcW w:w="14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99"/>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2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RICHARD T. ALLOTO, JR.</w:t>
            </w:r>
          </w:p>
        </w:tc>
        <w:tc>
          <w:tcPr>
            <w:tcW w:w="1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17, 2022</w:t>
            </w:r>
          </w:p>
        </w:tc>
        <w:tc>
          <w:tcPr>
            <w:tcW w:w="340" w:type="dxa"/>
            <w:vAlign w:val="bottom"/>
          </w:tcPr>
          <w:p>
            <w:pPr>
              <w:spacing w:after="0"/>
              <w:rPr>
                <w:sz w:val="24"/>
                <w:szCs w:val="24"/>
                <w:color w:val="auto"/>
              </w:rPr>
            </w:pPr>
          </w:p>
        </w:tc>
      </w:tr>
      <w:tr>
        <w:trPr>
          <w:trHeight w:val="145"/>
        </w:trPr>
        <w:tc>
          <w:tcPr>
            <w:tcW w:w="3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color w:val="auto"/>
              </w:rPr>
              <w:t>Chief Financial Officer and Treasurer</w:t>
            </w: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2"/>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Richard T. Allorto, Jr.</w:t>
            </w:r>
          </w:p>
        </w:tc>
        <w:tc>
          <w:tcPr>
            <w:tcW w:w="14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01"/>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2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ADAM K. BERNSTEIN</w:t>
            </w:r>
          </w:p>
        </w:tc>
        <w:tc>
          <w:tcPr>
            <w:tcW w:w="14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17, 2022</w:t>
            </w:r>
          </w:p>
        </w:tc>
        <w:tc>
          <w:tcPr>
            <w:tcW w:w="340" w:type="dxa"/>
            <w:vAlign w:val="bottom"/>
          </w:tcPr>
          <w:p>
            <w:pPr>
              <w:spacing w:after="0"/>
              <w:rPr>
                <w:sz w:val="24"/>
                <w:szCs w:val="24"/>
                <w:color w:val="auto"/>
              </w:rPr>
            </w:pPr>
          </w:p>
        </w:tc>
      </w:tr>
      <w:tr>
        <w:trPr>
          <w:trHeight w:val="145"/>
        </w:trPr>
        <w:tc>
          <w:tcPr>
            <w:tcW w:w="340" w:type="dxa"/>
            <w:vAlign w:val="bottom"/>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4"/>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Adam K. Bernstein</w:t>
            </w:r>
          </w:p>
        </w:tc>
        <w:tc>
          <w:tcPr>
            <w:tcW w:w="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99"/>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2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JEFFREY FLUG</w:t>
            </w:r>
          </w:p>
        </w:tc>
        <w:tc>
          <w:tcPr>
            <w:tcW w:w="14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17, 2022</w:t>
            </w:r>
          </w:p>
        </w:tc>
        <w:tc>
          <w:tcPr>
            <w:tcW w:w="340" w:type="dxa"/>
            <w:vAlign w:val="bottom"/>
          </w:tcPr>
          <w:p>
            <w:pPr>
              <w:spacing w:after="0"/>
              <w:rPr>
                <w:sz w:val="24"/>
                <w:szCs w:val="24"/>
                <w:color w:val="auto"/>
              </w:rPr>
            </w:pPr>
          </w:p>
        </w:tc>
      </w:tr>
      <w:tr>
        <w:trPr>
          <w:trHeight w:val="145"/>
        </w:trPr>
        <w:tc>
          <w:tcPr>
            <w:tcW w:w="340" w:type="dxa"/>
            <w:vAlign w:val="bottom"/>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4"/>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Jeffrey Flug</w:t>
            </w:r>
          </w:p>
        </w:tc>
        <w:tc>
          <w:tcPr>
            <w:tcW w:w="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99"/>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2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MARSHALL BROZOST</w:t>
            </w:r>
          </w:p>
        </w:tc>
        <w:tc>
          <w:tcPr>
            <w:tcW w:w="14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17, 2022</w:t>
            </w:r>
          </w:p>
        </w:tc>
        <w:tc>
          <w:tcPr>
            <w:tcW w:w="340" w:type="dxa"/>
            <w:vAlign w:val="bottom"/>
          </w:tcPr>
          <w:p>
            <w:pPr>
              <w:spacing w:after="0"/>
              <w:rPr>
                <w:sz w:val="24"/>
                <w:szCs w:val="24"/>
                <w:color w:val="auto"/>
              </w:rPr>
            </w:pPr>
          </w:p>
        </w:tc>
      </w:tr>
      <w:tr>
        <w:trPr>
          <w:trHeight w:val="145"/>
        </w:trPr>
        <w:tc>
          <w:tcPr>
            <w:tcW w:w="340" w:type="dxa"/>
            <w:vAlign w:val="bottom"/>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4"/>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Marshall Brozost</w:t>
            </w:r>
          </w:p>
        </w:tc>
        <w:tc>
          <w:tcPr>
            <w:tcW w:w="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99"/>
        </w:trPr>
        <w:tc>
          <w:tcPr>
            <w:tcW w:w="34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w:t>
            </w:r>
          </w:p>
        </w:tc>
        <w:tc>
          <w:tcPr>
            <w:tcW w:w="2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SAMUEL L. KATZ</w:t>
            </w:r>
          </w:p>
        </w:tc>
        <w:tc>
          <w:tcPr>
            <w:tcW w:w="14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17, 2022</w:t>
            </w:r>
          </w:p>
        </w:tc>
        <w:tc>
          <w:tcPr>
            <w:tcW w:w="340" w:type="dxa"/>
            <w:vAlign w:val="bottom"/>
          </w:tcPr>
          <w:p>
            <w:pPr>
              <w:spacing w:after="0"/>
              <w:rPr>
                <w:sz w:val="24"/>
                <w:szCs w:val="24"/>
                <w:color w:val="auto"/>
              </w:rPr>
            </w:pPr>
          </w:p>
        </w:tc>
      </w:tr>
      <w:tr>
        <w:trPr>
          <w:trHeight w:val="145"/>
        </w:trPr>
        <w:tc>
          <w:tcPr>
            <w:tcW w:w="340" w:type="dxa"/>
            <w:vAlign w:val="bottom"/>
          </w:tcPr>
          <w:p>
            <w:pPr>
              <w:spacing w:after="0"/>
              <w:rPr>
                <w:sz w:val="12"/>
                <w:szCs w:val="12"/>
                <w:color w:val="auto"/>
              </w:rPr>
            </w:pPr>
          </w:p>
        </w:tc>
        <w:tc>
          <w:tcPr>
            <w:tcW w:w="2480" w:type="dxa"/>
            <w:vAlign w:val="bottom"/>
            <w:tcBorders>
              <w:bottom w:val="single" w:sz="8" w:color="auto"/>
            </w:tcBorders>
            <w:gridSpan w:val="2"/>
          </w:tcPr>
          <w:p>
            <w:pPr>
              <w:spacing w:after="0"/>
              <w:rPr>
                <w:sz w:val="12"/>
                <w:szCs w:val="12"/>
                <w:color w:val="auto"/>
              </w:rPr>
            </w:pPr>
          </w:p>
        </w:tc>
        <w:tc>
          <w:tcPr>
            <w:tcW w:w="14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84"/>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Samuel L. Katz</w:t>
            </w:r>
          </w:p>
        </w:tc>
        <w:tc>
          <w:tcPr>
            <w:tcW w:w="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336"/>
        </w:trPr>
        <w:tc>
          <w:tcPr>
            <w:tcW w:w="340" w:type="dxa"/>
            <w:vAlign w:val="bottom"/>
          </w:tcPr>
          <w:p>
            <w:pPr>
              <w:spacing w:after="0"/>
              <w:rPr>
                <w:sz w:val="24"/>
                <w:szCs w:val="24"/>
                <w:color w:val="auto"/>
              </w:rPr>
            </w:pPr>
          </w:p>
        </w:tc>
        <w:tc>
          <w:tcPr>
            <w:tcW w:w="2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  </w:t>
            </w:r>
            <w:r>
              <w:rPr>
                <w:rFonts w:ascii="Times New Roman" w:cs="Times New Roman" w:eastAsia="Times New Roman" w:hAnsi="Times New Roman"/>
                <w:sz w:val="14"/>
                <w:szCs w:val="14"/>
                <w:color w:val="auto"/>
              </w:rPr>
              <w:t>JOSÉ A. BRIONES, JR</w:t>
            </w:r>
          </w:p>
        </w:tc>
        <w:tc>
          <w:tcPr>
            <w:tcW w:w="140" w:type="dxa"/>
            <w:vAlign w:val="bottom"/>
          </w:tcPr>
          <w:p>
            <w:pPr>
              <w:spacing w:after="0"/>
              <w:rPr>
                <w:sz w:val="24"/>
                <w:szCs w:val="24"/>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17, 2022</w:t>
            </w:r>
          </w:p>
        </w:tc>
        <w:tc>
          <w:tcPr>
            <w:tcW w:w="340" w:type="dxa"/>
            <w:vAlign w:val="bottom"/>
          </w:tcPr>
          <w:p>
            <w:pPr>
              <w:spacing w:after="0"/>
              <w:rPr>
                <w:sz w:val="24"/>
                <w:szCs w:val="24"/>
                <w:color w:val="auto"/>
              </w:rPr>
            </w:pPr>
          </w:p>
        </w:tc>
      </w:tr>
      <w:tr>
        <w:trPr>
          <w:trHeight w:val="184"/>
        </w:trPr>
        <w:tc>
          <w:tcPr>
            <w:tcW w:w="340" w:type="dxa"/>
            <w:vAlign w:val="bottom"/>
          </w:tcPr>
          <w:p>
            <w:pPr>
              <w:spacing w:after="0"/>
              <w:rPr>
                <w:sz w:val="15"/>
                <w:szCs w:val="15"/>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José A. Briones, Jr.</w:t>
            </w:r>
          </w:p>
        </w:tc>
        <w:tc>
          <w:tcPr>
            <w:tcW w:w="14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569"/>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180" w:type="dxa"/>
            <w:vAlign w:val="bottom"/>
            <w:gridSpan w:val="2"/>
          </w:tcPr>
          <w:p>
            <w:pPr>
              <w:jc w:val="right"/>
              <w:ind w:right="2228"/>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1"/>
        </w:trPr>
        <w:tc>
          <w:tcPr>
            <w:tcW w:w="3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99" w:name="page100"/>
    <w:bookmarkEnd w:id="99"/>
    <w:p>
      <w:pPr>
        <w:ind w:left="10120"/>
        <w:spacing w:after="0"/>
        <w:rPr>
          <w:sz w:val="20"/>
          <w:szCs w:val="20"/>
          <w:color w:val="auto"/>
        </w:rPr>
      </w:pPr>
      <w:r>
        <w:rPr>
          <w:rFonts w:ascii="Times New Roman" w:cs="Times New Roman" w:eastAsia="Times New Roman" w:hAnsi="Times New Roman"/>
          <w:sz w:val="21"/>
          <w:szCs w:val="21"/>
          <w:b w:val="1"/>
          <w:bCs w:val="1"/>
          <w:color w:val="auto"/>
        </w:rPr>
        <w:t>Exhibit 14.1</w:t>
      </w:r>
    </w:p>
    <w:p>
      <w:pPr>
        <w:spacing w:after="0" w:line="2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JOINT CODE OF ETHICS</w:t>
      </w:r>
    </w:p>
    <w:p>
      <w:pPr>
        <w:spacing w:after="0" w:line="2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b w:val="1"/>
          <w:bCs w:val="1"/>
          <w:color w:val="auto"/>
        </w:rPr>
        <w:t>FOR</w:t>
      </w:r>
    </w:p>
    <w:p>
      <w:pPr>
        <w:ind w:left="3180"/>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ind w:left="3100"/>
        <w:spacing w:after="0" w:line="233" w:lineRule="auto"/>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1" w:lineRule="exact"/>
        <w:rPr>
          <w:sz w:val="20"/>
          <w:szCs w:val="20"/>
          <w:color w:val="auto"/>
        </w:rPr>
      </w:pPr>
    </w:p>
    <w:p>
      <w:pPr>
        <w:ind w:right="3200" w:firstLine="3194"/>
        <w:spacing w:after="0" w:line="379" w:lineRule="auto"/>
        <w:rPr>
          <w:sz w:val="20"/>
          <w:szCs w:val="20"/>
          <w:color w:val="auto"/>
        </w:rPr>
      </w:pPr>
      <w:r>
        <w:rPr>
          <w:rFonts w:ascii="Times New Roman" w:cs="Times New Roman" w:eastAsia="Times New Roman" w:hAnsi="Times New Roman"/>
          <w:sz w:val="22"/>
          <w:szCs w:val="22"/>
          <w:b w:val="1"/>
          <w:bCs w:val="1"/>
          <w:color w:val="auto"/>
        </w:rPr>
        <w:t>PENNANTPARK INVESTMENT ADVISERS, LLC Section IStatement of General Fiduciary Principles</w:t>
      </w:r>
    </w:p>
    <w:p>
      <w:pPr>
        <w:spacing w:after="0" w:line="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under the Act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8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Covered Personnel must read and retain this Code.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IIDefinitions</w:t>
      </w:r>
    </w:p>
    <w:p>
      <w:pPr>
        <w:spacing w:after="0" w:line="116" w:lineRule="exact"/>
        <w:rPr>
          <w:sz w:val="20"/>
          <w:szCs w:val="20"/>
          <w:color w:val="auto"/>
        </w:rPr>
      </w:pPr>
    </w:p>
    <w:p>
      <w:pPr>
        <w:ind w:left="860" w:hanging="478"/>
        <w:spacing w:after="0" w:line="258" w:lineRule="auto"/>
        <w:tabs>
          <w:tab w:leader="none" w:pos="8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Person” means any director, officer, general partner or Advisory Person (as defined below) of the Corporations or the Adviser.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0" w:name="page101"/>
    <w:bookmarkEnd w:id="100"/>
    <w:p>
      <w:pPr>
        <w:jc w:val="both"/>
        <w:ind w:left="860" w:hanging="478"/>
        <w:spacing w:after="0" w:line="239" w:lineRule="auto"/>
        <w:tabs>
          <w:tab w:leader="none" w:pos="8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6" w:lineRule="exact"/>
        <w:rPr>
          <w:rFonts w:ascii="Times New Roman" w:cs="Times New Roman" w:eastAsia="Times New Roman" w:hAnsi="Times New Roman"/>
          <w:sz w:val="22"/>
          <w:szCs w:val="22"/>
          <w:color w:val="auto"/>
        </w:rPr>
      </w:pPr>
    </w:p>
    <w:p>
      <w:pPr>
        <w:jc w:val="both"/>
        <w:ind w:left="860" w:hanging="478"/>
        <w:spacing w:after="0" w:line="250" w:lineRule="auto"/>
        <w:tabs>
          <w:tab w:leader="none" w:pos="8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59" w:lineRule="exact"/>
        <w:rPr>
          <w:rFonts w:ascii="Times New Roman" w:cs="Times New Roman" w:eastAsia="Times New Roman" w:hAnsi="Times New Roman"/>
          <w:sz w:val="22"/>
          <w:szCs w:val="22"/>
          <w:color w:val="auto"/>
        </w:rPr>
      </w:pPr>
    </w:p>
    <w:p>
      <w:pPr>
        <w:ind w:left="860" w:hanging="478"/>
        <w:spacing w:after="0" w:line="258" w:lineRule="auto"/>
        <w:tabs>
          <w:tab w:leader="none" w:pos="8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Compliance Officer” means the Chief Compliance Officer of the Corporation (who also may serve as the compliance officer of the Adviser and/or one or more affiliates of the Adviser).</w:t>
      </w:r>
    </w:p>
    <w:p>
      <w:pPr>
        <w:spacing w:after="0" w:line="63"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shall have the same meaning as that set forth in Section 2(a)(9) of the Act.</w:t>
      </w:r>
    </w:p>
    <w:p>
      <w:pPr>
        <w:spacing w:after="0" w:line="98" w:lineRule="exact"/>
        <w:rPr>
          <w:rFonts w:ascii="Times New Roman" w:cs="Times New Roman" w:eastAsia="Times New Roman" w:hAnsi="Times New Roman"/>
          <w:sz w:val="22"/>
          <w:szCs w:val="22"/>
          <w:color w:val="auto"/>
        </w:rPr>
      </w:pPr>
    </w:p>
    <w:p>
      <w:pPr>
        <w:jc w:val="both"/>
        <w:ind w:left="860" w:hanging="478"/>
        <w:spacing w:after="0" w:line="248" w:lineRule="auto"/>
        <w:tabs>
          <w:tab w:leader="none" w:pos="860"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However, a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1" w:name="page102"/>
    <w:bookmarkEnd w:id="101"/>
    <w:p>
      <w:pPr>
        <w:ind w:left="860"/>
        <w:spacing w:after="0"/>
        <w:rPr>
          <w:sz w:val="20"/>
          <w:szCs w:val="20"/>
          <w:color w:val="auto"/>
        </w:rPr>
      </w:pPr>
      <w:r>
        <w:rPr>
          <w:rFonts w:ascii="Times New Roman" w:cs="Times New Roman" w:eastAsia="Times New Roman" w:hAnsi="Times New Roman"/>
          <w:sz w:val="22"/>
          <w:szCs w:val="22"/>
          <w:color w:val="auto"/>
        </w:rPr>
        <w:t>Derivative shall also be applicable to the purchase or sale of a Covered Security relating to that Derivative.</w:t>
      </w:r>
    </w:p>
    <w:p>
      <w:pPr>
        <w:spacing w:after="0" w:line="99" w:lineRule="exact"/>
        <w:rPr>
          <w:sz w:val="20"/>
          <w:szCs w:val="20"/>
          <w:color w:val="auto"/>
        </w:rPr>
      </w:pPr>
    </w:p>
    <w:p>
      <w:pPr>
        <w:ind w:left="860" w:hanging="478"/>
        <w:spacing w:after="0" w:line="271" w:lineRule="auto"/>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 means a director of the Corporation who is not an “interested person” of the Corporation within the meaning of Section 2(a)(19) of the Act.</w:t>
      </w:r>
    </w:p>
    <w:p>
      <w:pPr>
        <w:spacing w:after="0" w:line="36" w:lineRule="exact"/>
        <w:rPr>
          <w:rFonts w:ascii="Times New Roman" w:cs="Times New Roman" w:eastAsia="Times New Roman" w:hAnsi="Times New Roman"/>
          <w:sz w:val="22"/>
          <w:szCs w:val="22"/>
          <w:color w:val="auto"/>
        </w:rPr>
      </w:pPr>
    </w:p>
    <w:p>
      <w:pPr>
        <w:jc w:val="both"/>
        <w:ind w:left="860" w:hanging="478"/>
        <w:spacing w:after="0" w:line="250" w:lineRule="auto"/>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Public Offering” means an offering of securities registered under the Securities Act of 1933, as amended (the “1933 Act”), the issuer of which, immediately before the registration, was not subject to the reporting requirements of Sections 13 or 15(d) of the 1934 Act.</w:t>
      </w:r>
    </w:p>
    <w:p>
      <w:pPr>
        <w:spacing w:after="0" w:line="59"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Offering” means an offering that is exempt from registration under the 1933 Act pursuant to Section 4(2) or Section 4(6) thereof or pursuant to Rule 504, Rule 505, or Rule 506 thereunder.</w:t>
      </w:r>
    </w:p>
    <w:p>
      <w:pPr>
        <w:spacing w:after="0" w:line="36"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List” means the “Pipeline” report of potential investments combined with the current holdings of the clients. PennantPark Access Persons are restricted from trading any security on the Restricted List.</w:t>
      </w:r>
    </w:p>
    <w:p>
      <w:pPr>
        <w:spacing w:after="0" w:line="36"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“Security Held or to be Acquired” by the Corporation means: (i) any Covered Security which, within the most recent 15</w:t>
      </w:r>
    </w:p>
    <w:p>
      <w:pPr>
        <w:spacing w:after="0" w:line="25" w:lineRule="exact"/>
        <w:rPr>
          <w:rFonts w:ascii="Times New Roman" w:cs="Times New Roman" w:eastAsia="Times New Roman" w:hAnsi="Times New Roman"/>
          <w:sz w:val="21"/>
          <w:szCs w:val="21"/>
          <w:color w:val="auto"/>
        </w:rPr>
      </w:pPr>
    </w:p>
    <w:p>
      <w:pPr>
        <w:jc w:val="both"/>
        <w:ind w:left="86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 of this Code.</w:t>
      </w:r>
    </w:p>
    <w:p>
      <w:pPr>
        <w:spacing w:after="0" w:line="70" w:lineRule="exact"/>
        <w:rPr>
          <w:rFonts w:ascii="Times New Roman" w:cs="Times New Roman" w:eastAsia="Times New Roman" w:hAnsi="Times New Roman"/>
          <w:sz w:val="21"/>
          <w:szCs w:val="21"/>
          <w:color w:val="auto"/>
        </w:rPr>
      </w:pPr>
    </w:p>
    <w:p>
      <w:pPr>
        <w:ind w:left="860" w:hanging="478"/>
        <w:spacing w:after="0"/>
        <w:tabs>
          <w:tab w:leader="none" w:pos="8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“17j-1 Organization” means the Corporation or the Adviser, as the context requires.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IIIObjective and General Prohibitions</w:t>
      </w:r>
    </w:p>
    <w:p>
      <w:pPr>
        <w:spacing w:after="0" w:line="1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6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69" w:lineRule="exact"/>
        <w:rPr>
          <w:sz w:val="20"/>
          <w:szCs w:val="20"/>
          <w:color w:val="auto"/>
        </w:rPr>
      </w:pPr>
    </w:p>
    <w:p>
      <w:pPr>
        <w:ind w:left="1140" w:hanging="383"/>
        <w:spacing w:after="0"/>
        <w:tabs>
          <w:tab w:leader="none" w:pos="1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any device, scheme or artifice to defraud the Corporation;</w:t>
      </w:r>
    </w:p>
    <w:p>
      <w:pPr>
        <w:spacing w:after="0" w:line="98"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2" w:name="page103"/>
    <w:bookmarkEnd w:id="102"/>
    <w:p>
      <w:pPr>
        <w:ind w:left="1320" w:right="580" w:hanging="563"/>
        <w:spacing w:after="0" w:line="259" w:lineRule="auto"/>
        <w:tabs>
          <w:tab w:leader="none" w:pos="13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act, practice or course of business that operates or would operate as a fraud or deceit upon the Corporation; or</w:t>
      </w:r>
    </w:p>
    <w:p>
      <w:pPr>
        <w:spacing w:after="0" w:line="62" w:lineRule="exact"/>
        <w:rPr>
          <w:rFonts w:ascii="Times New Roman" w:cs="Times New Roman" w:eastAsia="Times New Roman" w:hAnsi="Times New Roman"/>
          <w:sz w:val="22"/>
          <w:szCs w:val="22"/>
          <w:color w:val="auto"/>
        </w:rPr>
      </w:pPr>
    </w:p>
    <w:p>
      <w:pPr>
        <w:ind w:left="1320" w:hanging="563"/>
        <w:spacing w:after="0"/>
        <w:tabs>
          <w:tab w:leader="none" w:pos="13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manipulative practice with respect to the Corporation.</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Covered Personnel should also recognize that a violation of this Code or of Rule 17j-1 may result in the imposition of:</w:t>
      </w:r>
    </w:p>
    <w:p>
      <w:pPr>
        <w:spacing w:after="0" w:line="28" w:lineRule="exact"/>
        <w:rPr>
          <w:sz w:val="20"/>
          <w:szCs w:val="20"/>
          <w:color w:val="auto"/>
        </w:rPr>
      </w:pPr>
    </w:p>
    <w:p>
      <w:pPr>
        <w:ind w:firstLine="8"/>
        <w:spacing w:after="0" w:line="237" w:lineRule="auto"/>
        <w:tabs>
          <w:tab w:leader="none" w:pos="31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sanctions as provided by Section VIII of this Code; or (2) administrative, civil and, in certain cases, criminal fines, sanctions or penalties.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IVPre-Clearance of Personal Account Transactions; Window Period to Trade PennantPark shares</w:t>
      </w:r>
    </w:p>
    <w:p>
      <w:pPr>
        <w:spacing w:after="0" w:line="11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 and a statement that the Access Person has reviewed the Pipeline Report for any conflicts.</w:t>
      </w:r>
    </w:p>
    <w:p>
      <w:pPr>
        <w:spacing w:after="0" w:line="73" w:lineRule="exact"/>
        <w:rPr>
          <w:sz w:val="20"/>
          <w:szCs w:val="20"/>
          <w:color w:val="auto"/>
        </w:rPr>
      </w:pPr>
    </w:p>
    <w:p>
      <w:pPr>
        <w:ind w:left="760" w:right="1320"/>
        <w:spacing w:after="0" w:line="339" w:lineRule="auto"/>
        <w:rPr>
          <w:sz w:val="20"/>
          <w:szCs w:val="20"/>
          <w:color w:val="auto"/>
        </w:rPr>
      </w:pPr>
      <w:r>
        <w:rPr>
          <w:rFonts w:ascii="Times New Roman" w:cs="Times New Roman" w:eastAsia="Times New Roman" w:hAnsi="Times New Roman"/>
          <w:sz w:val="22"/>
          <w:szCs w:val="22"/>
          <w:color w:val="auto"/>
        </w:rPr>
        <w:t xml:space="preserve">Any approval given under this paragraph will be provided by email and will remain in effect for 72 hours. </w:t>
      </w:r>
      <w:r>
        <w:rPr>
          <w:rFonts w:ascii="Times New Roman" w:cs="Times New Roman" w:eastAsia="Times New Roman" w:hAnsi="Times New Roman"/>
          <w:sz w:val="22"/>
          <w:szCs w:val="22"/>
          <w:u w:val="single" w:color="auto"/>
          <w:color w:val="auto"/>
        </w:rPr>
        <w:t>Exceptions to the Pre-Clearance Requirement Policy,</w:t>
      </w:r>
    </w:p>
    <w:p>
      <w:pPr>
        <w:spacing w:after="0" w:line="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 (ii) in the case of either Corporation’s and the Adviser’s decision to buy or sell the applicable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about the Corporation, including any decision by the Corporation to buy or sell its own shares. Further, the window period may not open in a particular quarter, and it may be closed, as the case may be, prior to the expiration of 30 days or the applicable quarter end, in each case as events require.</w:t>
      </w:r>
    </w:p>
    <w:p>
      <w:pPr>
        <w:spacing w:after="0" w:line="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Additionally, Independent Directors are not required to seek preapproval for any transactions other than those which would trigger reporting requirements as set forth in Section VI (C) of this Code.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VProhibited Transactions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3" w:name="page104"/>
    <w:bookmarkEnd w:id="103"/>
    <w:p>
      <w:pPr>
        <w:jc w:val="both"/>
        <w:ind w:left="860" w:hanging="478"/>
        <w:spacing w:after="0"/>
        <w:tabs>
          <w:tab w:leader="none" w:pos="8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69"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78" w:lineRule="exact"/>
        <w:rPr>
          <w:rFonts w:ascii="Times New Roman" w:cs="Times New Roman" w:eastAsia="Times New Roman" w:hAnsi="Times New Roman"/>
          <w:sz w:val="22"/>
          <w:szCs w:val="22"/>
          <w:color w:val="auto"/>
        </w:rPr>
      </w:pPr>
    </w:p>
    <w:p>
      <w:pPr>
        <w:jc w:val="both"/>
        <w:ind w:left="860" w:hanging="478"/>
        <w:spacing w:after="0" w:line="241" w:lineRule="auto"/>
        <w:tabs>
          <w:tab w:leader="none" w:pos="8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VIReports by Access Persons</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  Personal Securities Holdings Reports.</w:t>
      </w:r>
    </w:p>
    <w:p>
      <w:pPr>
        <w:spacing w:after="0" w:line="98"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hereto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69"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Quarterly Transaction Reports.</w:t>
      </w:r>
    </w:p>
    <w:p>
      <w:pPr>
        <w:spacing w:after="0" w:line="11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Within 30 days after the end of each calendar quarter, each Access Person shall make a written report to the Chief Compliance Officer of all transactions occurring in the quarter in a</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4" w:name="page105"/>
    <w:bookmarkEnd w:id="104"/>
    <w:p>
      <w:pPr>
        <w:spacing w:after="0" w:line="259" w:lineRule="auto"/>
        <w:rPr>
          <w:sz w:val="20"/>
          <w:szCs w:val="20"/>
          <w:color w:val="auto"/>
        </w:rPr>
      </w:pPr>
      <w:r>
        <w:rPr>
          <w:rFonts w:ascii="Times New Roman" w:cs="Times New Roman" w:eastAsia="Times New Roman" w:hAnsi="Times New Roman"/>
          <w:sz w:val="22"/>
          <w:szCs w:val="22"/>
          <w:color w:val="auto"/>
        </w:rPr>
        <w:t>Covered Security in which he or she had any Beneficial Ownership. A form of such report, which is hereinafter called a “Quarterly Securities Transaction Report,” is attached hereto as Schedule B.</w:t>
      </w:r>
    </w:p>
    <w:p>
      <w:pPr>
        <w:spacing w:after="0" w:line="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64" w:lineRule="exact"/>
        <w:rPr>
          <w:sz w:val="20"/>
          <w:szCs w:val="20"/>
          <w:color w:val="auto"/>
        </w:rPr>
      </w:pPr>
    </w:p>
    <w:p>
      <w:pPr>
        <w:ind w:left="1500" w:hanging="743"/>
        <w:spacing w:after="0"/>
        <w:tabs>
          <w:tab w:leader="none" w:pos="15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and nature of the transaction (purchase, sale or any other type of acquisition or disposition);</w:t>
      </w:r>
    </w:p>
    <w:p>
      <w:pPr>
        <w:spacing w:after="0" w:line="98" w:lineRule="exact"/>
        <w:rPr>
          <w:rFonts w:ascii="Times New Roman" w:cs="Times New Roman" w:eastAsia="Times New Roman" w:hAnsi="Times New Roman"/>
          <w:sz w:val="22"/>
          <w:szCs w:val="22"/>
          <w:color w:val="auto"/>
        </w:rPr>
      </w:pPr>
    </w:p>
    <w:p>
      <w:pPr>
        <w:ind w:firstLine="757"/>
        <w:spacing w:after="0" w:line="258" w:lineRule="auto"/>
        <w:tabs>
          <w:tab w:leader="none" w:pos="149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interest rate and maturity date (if applicable), number of shares and principal amount of each Covered Security involved and the price of the Covered Security at which the transaction was effected;</w:t>
      </w:r>
    </w:p>
    <w:p>
      <w:pPr>
        <w:spacing w:after="0" w:line="6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the broker, dealer or bank with or through whom the transaction was effected; and</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report is submitted by the Access Person.</w:t>
      </w:r>
    </w:p>
    <w:p>
      <w:pPr>
        <w:spacing w:after="0" w:line="111"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Directors.</w:t>
      </w:r>
    </w:p>
    <w:p>
      <w:pPr>
        <w:spacing w:after="0" w:line="98"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(D)  Access Persons of the Adviser.</w:t>
      </w:r>
    </w:p>
    <w:p>
      <w:pPr>
        <w:spacing w:after="0" w:line="9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An Access Person of the Adviser need not make a Quarterly Transaction Report if all of the information in the report would duplicate information required to be recorded pursuant to Rules 204-2(a)(12) or (13) under the Advisers Act.</w:t>
      </w:r>
    </w:p>
    <w:p>
      <w:pPr>
        <w:spacing w:after="0" w:line="64"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Brokerage Accounts and Statements.</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Access Persons, except Independent Directors, shall:</w:t>
      </w:r>
    </w:p>
    <w:p>
      <w:pPr>
        <w:spacing w:after="0" w:line="112" w:lineRule="exact"/>
        <w:rPr>
          <w:sz w:val="20"/>
          <w:szCs w:val="20"/>
          <w:color w:val="auto"/>
        </w:rPr>
      </w:pPr>
    </w:p>
    <w:p>
      <w:pPr>
        <w:jc w:val="both"/>
        <w:ind w:firstLine="757"/>
        <w:spacing w:after="0" w:line="244" w:lineRule="auto"/>
        <w:tabs>
          <w:tab w:leader="none" w:pos="149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64" w:lineRule="exact"/>
        <w:rPr>
          <w:rFonts w:ascii="Times New Roman" w:cs="Times New Roman" w:eastAsia="Times New Roman" w:hAnsi="Times New Roman"/>
          <w:sz w:val="22"/>
          <w:szCs w:val="22"/>
          <w:color w:val="auto"/>
        </w:rPr>
      </w:pPr>
    </w:p>
    <w:p>
      <w:pPr>
        <w:ind w:firstLine="757"/>
        <w:spacing w:after="0" w:line="271" w:lineRule="auto"/>
        <w:tabs>
          <w:tab w:leader="none" w:pos="149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brokers, dealers or banks with whom they maintain such an account to provide duplicate account statements to the Chief Compliance Officer.</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5" w:name="page106"/>
    <w:bookmarkEnd w:id="105"/>
    <w:p>
      <w:pPr>
        <w:ind w:left="1500" w:hanging="743"/>
        <w:spacing w:after="0"/>
        <w:tabs>
          <w:tab w:leader="none" w:pos="1500"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certify that they have complied with the requirements of (1) and (2) above.</w:t>
      </w:r>
    </w:p>
    <w:p>
      <w:pPr>
        <w:spacing w:after="0" w:line="98"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Reports.</w:t>
      </w:r>
    </w:p>
    <w:p>
      <w:pPr>
        <w:spacing w:after="0" w:line="112"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2"/>
          <w:szCs w:val="22"/>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  Responsibility to Report.</w:t>
      </w:r>
    </w:p>
    <w:p>
      <w:pPr>
        <w:spacing w:after="0" w:line="9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color w:val="auto"/>
        </w:rPr>
        <w:t>It is the responsibility of each Access Person to take the initiative to comply with the requirements of this Section VI.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(H)  Where to File Reports.</w:t>
      </w:r>
    </w:p>
    <w:p>
      <w:pPr>
        <w:spacing w:after="0" w:line="98"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22"/>
          <w:szCs w:val="22"/>
          <w:color w:val="auto"/>
        </w:rPr>
        <w:t>All Quarterly Securities Transaction Reports and Personal Securities Holdings Reports must be filed with the Chief Compliance Officer.</w:t>
      </w:r>
    </w:p>
    <w:p>
      <w:pPr>
        <w:spacing w:after="0" w:line="36" w:lineRule="exact"/>
        <w:rPr>
          <w:sz w:val="20"/>
          <w:szCs w:val="20"/>
          <w:color w:val="auto"/>
        </w:rPr>
      </w:pPr>
    </w:p>
    <w:p>
      <w:pPr>
        <w:ind w:left="860" w:hanging="478"/>
        <w:spacing w:after="0"/>
        <w:tabs>
          <w:tab w:leader="none" w:pos="86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Disclaimers.</w:t>
      </w:r>
    </w:p>
    <w:p>
      <w:pPr>
        <w:spacing w:after="0" w:line="98"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21"/>
          <w:szCs w:val="21"/>
          <w:color w:val="auto"/>
        </w:rPr>
        <w:t>Any report required by this Section VI may contain a statement that the report will not be construed as an admission that the person making the report has any direct or indirect Beneficial Ownership in the Covered, Security to which the report relates.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VIIAdditional Prohibitions</w:t>
      </w:r>
    </w:p>
    <w:p>
      <w:pPr>
        <w:spacing w:after="0" w:line="1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  Confidentiality of the Corporation’s Transactions.</w:t>
      </w:r>
    </w:p>
    <w:p>
      <w:pPr>
        <w:spacing w:after="0" w:line="98"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2"/>
          <w:szCs w:val="22"/>
          <w:color w:val="auto"/>
        </w:rPr>
        <w:t>Until disclosed in a public report to shareholders or to the Securities and Exchange Commission (the “SEC”)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61"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Outside Business Activities and Directorships.</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78"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Gratuities.</w:t>
      </w:r>
    </w:p>
    <w:p>
      <w:pPr>
        <w:spacing w:after="0" w:line="98"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22"/>
          <w:szCs w:val="22"/>
          <w:color w:val="auto"/>
        </w:rPr>
        <w:t>Covered Personnel shall not, directly or indirectly, take, accept or receive gifts or other consideration in merchandise, services or otherwise of more than nominal value from any person,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6" w:name="page107"/>
    <w:bookmarkEnd w:id="106"/>
    <w:p>
      <w:pPr>
        <w:jc w:val="both"/>
        <w:spacing w:after="0" w:line="259" w:lineRule="auto"/>
        <w:rPr>
          <w:sz w:val="20"/>
          <w:szCs w:val="20"/>
          <w:color w:val="auto"/>
        </w:rPr>
      </w:pPr>
      <w:r>
        <w:rPr>
          <w:rFonts w:ascii="Times New Roman" w:cs="Times New Roman" w:eastAsia="Times New Roman" w:hAnsi="Times New Roman"/>
          <w:sz w:val="22"/>
          <w:szCs w:val="22"/>
          <w:color w:val="auto"/>
        </w:rPr>
        <w:t>firm, corporation, association or other entity other than such person’s employer that does business, or proposes to do business, with the Corporation.</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VIIIProhibition Against Insider Trading</w:t>
      </w:r>
    </w:p>
    <w:p>
      <w:pPr>
        <w:spacing w:after="0" w:line="10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82" w:lineRule="exact"/>
        <w:rPr>
          <w:sz w:val="20"/>
          <w:szCs w:val="20"/>
          <w:color w:val="auto"/>
        </w:rPr>
      </w:pPr>
    </w:p>
    <w:p>
      <w:pPr>
        <w:jc w:val="both"/>
        <w:ind w:left="860" w:hanging="478"/>
        <w:spacing w:after="0" w:line="244" w:lineRule="auto"/>
        <w:tabs>
          <w:tab w:leader="none" w:pos="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78" w:lineRule="exact"/>
        <w:rPr>
          <w:rFonts w:ascii="Times New Roman" w:cs="Times New Roman" w:eastAsia="Times New Roman" w:hAnsi="Times New Roman"/>
          <w:sz w:val="22"/>
          <w:szCs w:val="22"/>
          <w:color w:val="auto"/>
        </w:rPr>
      </w:pPr>
    </w:p>
    <w:p>
      <w:pPr>
        <w:jc w:val="both"/>
        <w:ind w:left="860" w:hanging="478"/>
        <w:spacing w:after="0" w:line="238" w:lineRule="auto"/>
        <w:tabs>
          <w:tab w:leader="none" w:pos="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83"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64" w:lineRule="exact"/>
        <w:rPr>
          <w:rFonts w:ascii="Times New Roman" w:cs="Times New Roman" w:eastAsia="Times New Roman" w:hAnsi="Times New Roman"/>
          <w:sz w:val="22"/>
          <w:szCs w:val="22"/>
          <w:color w:val="auto"/>
        </w:rPr>
      </w:pPr>
    </w:p>
    <w:p>
      <w:pPr>
        <w:jc w:val="both"/>
        <w:ind w:left="860" w:hanging="478"/>
        <w:spacing w:after="0" w:line="250" w:lineRule="auto"/>
        <w:tabs>
          <w:tab w:leader="none" w:pos="8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before executing any trade for himself or herself, or others, including the Corporation or other accounts managed by the Adviser or by a stockholder of the Adviser, or any affiliate of the stockholder (collectively, “Client Accounts”), must determine whether he or she has material, non-public information. Any Advisory Person</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7" w:name="page108"/>
    <w:bookmarkEnd w:id="107"/>
    <w:p>
      <w:pPr>
        <w:ind w:left="860"/>
        <w:spacing w:after="0"/>
        <w:rPr>
          <w:sz w:val="20"/>
          <w:szCs w:val="20"/>
          <w:color w:val="auto"/>
        </w:rPr>
      </w:pPr>
      <w:r>
        <w:rPr>
          <w:rFonts w:ascii="Times New Roman" w:cs="Times New Roman" w:eastAsia="Times New Roman" w:hAnsi="Times New Roman"/>
          <w:sz w:val="22"/>
          <w:szCs w:val="22"/>
          <w:color w:val="auto"/>
        </w:rPr>
        <w:t>who believes he or she is in possession of material, non-public information must take the following steps:</w:t>
      </w:r>
    </w:p>
    <w:p>
      <w:pPr>
        <w:spacing w:after="0" w:line="99" w:lineRule="exact"/>
        <w:rPr>
          <w:sz w:val="20"/>
          <w:szCs w:val="20"/>
          <w:color w:val="auto"/>
        </w:rPr>
      </w:pPr>
    </w:p>
    <w:p>
      <w:pPr>
        <w:ind w:left="1500" w:hanging="743"/>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the information and proposed trade immediately to the Chief Compliance Officer.</w:t>
      </w:r>
    </w:p>
    <w:p>
      <w:pPr>
        <w:spacing w:after="0" w:line="11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purchase or sell the securities on behalf of anyone, including Client Accounts.</w:t>
      </w:r>
    </w:p>
    <w:p>
      <w:pPr>
        <w:spacing w:after="0" w:line="9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communicate the information to any person, other than to the Chief Compliance Officer.</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65" w:lineRule="exact"/>
        <w:rPr>
          <w:sz w:val="20"/>
          <w:szCs w:val="20"/>
          <w:color w:val="auto"/>
        </w:rPr>
      </w:pPr>
    </w:p>
    <w:p>
      <w:pPr>
        <w:jc w:val="both"/>
        <w:ind w:left="860" w:hanging="478"/>
        <w:spacing w:after="0" w:line="239" w:lineRule="auto"/>
        <w:tabs>
          <w:tab w:leader="none" w:pos="8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72" w:lineRule="exact"/>
        <w:rPr>
          <w:rFonts w:ascii="Times New Roman" w:cs="Times New Roman" w:eastAsia="Times New Roman" w:hAnsi="Times New Roman"/>
          <w:sz w:val="22"/>
          <w:szCs w:val="22"/>
          <w:color w:val="auto"/>
        </w:rPr>
      </w:pPr>
    </w:p>
    <w:p>
      <w:pPr>
        <w:jc w:val="both"/>
        <w:ind w:left="860" w:hanging="478"/>
        <w:spacing w:after="0" w:line="253" w:lineRule="auto"/>
        <w:tabs>
          <w:tab w:leader="none" w:pos="86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IXAnnual Certification</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(A)  Access Persons.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8" w:name="page109"/>
    <w:bookmarkEnd w:id="108"/>
    <w:p>
      <w:pPr>
        <w:jc w:val="both"/>
        <w:ind w:firstLine="749"/>
        <w:spacing w:after="0" w:line="251" w:lineRule="auto"/>
        <w:rPr>
          <w:sz w:val="20"/>
          <w:szCs w:val="20"/>
          <w:color w:val="auto"/>
        </w:rPr>
      </w:pPr>
      <w:r>
        <w:rPr>
          <w:rFonts w:ascii="Times New Roman" w:cs="Times New Roman" w:eastAsia="Times New Roman" w:hAnsi="Times New Roman"/>
          <w:sz w:val="22"/>
          <w:szCs w:val="22"/>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57"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Board Review.</w:t>
      </w:r>
    </w:p>
    <w:p>
      <w:pPr>
        <w:spacing w:after="0" w:line="11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No less frequently than annually, the Corporation and the Adviser must furnish to the Corporation’s board of directors, and the board must consider, a written report that: (1) describes any issues arising under this Code or procedures since the last report to the board, including, but not limited to, information about material violations of this Code or procedures and sanctions imposed in response to material violations; and (2) certifies that the Corporation or the Adviser, as applicable, has adopted procedures reasonably necessary to prevent Access Persons from violating this Code.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XSanctions</w:t>
      </w:r>
    </w:p>
    <w:p>
      <w:pPr>
        <w:spacing w:after="0" w:line="10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XIAdministration and Construction</w:t>
      </w:r>
    </w:p>
    <w:p>
      <w:pPr>
        <w:spacing w:after="0" w:line="102" w:lineRule="exact"/>
        <w:rPr>
          <w:sz w:val="20"/>
          <w:szCs w:val="20"/>
          <w:color w:val="auto"/>
        </w:rPr>
      </w:pPr>
    </w:p>
    <w:p>
      <w:pPr>
        <w:ind w:left="860" w:hanging="478"/>
        <w:spacing w:after="0"/>
        <w:tabs>
          <w:tab w:leader="none" w:pos="8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administration of this Code shall be the responsibility of the Chief Compliance Officer.</w:t>
      </w:r>
    </w:p>
    <w:p>
      <w:pPr>
        <w:spacing w:after="0" w:line="98"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Chief Compliance Officer are as follows:</w:t>
      </w:r>
    </w:p>
    <w:p>
      <w:pPr>
        <w:spacing w:after="0" w:line="111" w:lineRule="exact"/>
        <w:rPr>
          <w:rFonts w:ascii="Times New Roman" w:cs="Times New Roman" w:eastAsia="Times New Roman" w:hAnsi="Times New Roman"/>
          <w:sz w:val="22"/>
          <w:szCs w:val="22"/>
          <w:color w:val="auto"/>
        </w:rPr>
      </w:pPr>
    </w:p>
    <w:p>
      <w:pPr>
        <w:jc w:val="both"/>
        <w:ind w:firstLine="757"/>
        <w:spacing w:after="0" w:line="268" w:lineRule="auto"/>
        <w:tabs>
          <w:tab w:leader="none" w:pos="1498" w:val="left"/>
        </w:tabs>
        <w:numPr>
          <w:ilvl w:val="1"/>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41" w:lineRule="exact"/>
        <w:rPr>
          <w:rFonts w:ascii="Times New Roman" w:cs="Times New Roman" w:eastAsia="Times New Roman" w:hAnsi="Times New Roman"/>
          <w:sz w:val="21"/>
          <w:szCs w:val="21"/>
          <w:color w:val="auto"/>
        </w:rPr>
      </w:pPr>
    </w:p>
    <w:p>
      <w:pPr>
        <w:ind w:right="20" w:firstLine="757"/>
        <w:spacing w:after="0" w:line="258" w:lineRule="auto"/>
        <w:tabs>
          <w:tab w:leader="none" w:pos="1498"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providing all Covered Personnel a copy of this Code and informing such persons of their duties and obligations hereunder including any supplemental training that may be required from time to time;</w:t>
      </w:r>
    </w:p>
    <w:p>
      <w:pPr>
        <w:spacing w:after="0" w:line="63"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or supervising the maintenance of all records and reports required by this Code;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9" w:name="page110"/>
    <w:bookmarkEnd w:id="109"/>
    <w:p>
      <w:pPr>
        <w:jc w:val="both"/>
        <w:ind w:firstLine="757"/>
        <w:spacing w:after="0" w:line="251" w:lineRule="auto"/>
        <w:tabs>
          <w:tab w:leader="none" w:pos="149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57" w:lineRule="exact"/>
        <w:rPr>
          <w:rFonts w:ascii="Times New Roman" w:cs="Times New Roman" w:eastAsia="Times New Roman" w:hAnsi="Times New Roman"/>
          <w:sz w:val="22"/>
          <w:szCs w:val="22"/>
          <w:color w:val="auto"/>
        </w:rPr>
      </w:pPr>
    </w:p>
    <w:p>
      <w:pPr>
        <w:ind w:firstLine="757"/>
        <w:spacing w:after="0" w:line="271" w:lineRule="auto"/>
        <w:tabs>
          <w:tab w:leader="none" w:pos="149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either personally or with the assistance of counsel as may be appropriate, of any interpretation of this Code that may appear consistent with the objectives of Rule 17j-1 and this Code;</w:t>
      </w:r>
    </w:p>
    <w:p>
      <w:pPr>
        <w:spacing w:after="0" w:line="36" w:lineRule="exact"/>
        <w:rPr>
          <w:rFonts w:ascii="Times New Roman" w:cs="Times New Roman" w:eastAsia="Times New Roman" w:hAnsi="Times New Roman"/>
          <w:sz w:val="22"/>
          <w:szCs w:val="22"/>
          <w:color w:val="auto"/>
        </w:rPr>
      </w:pPr>
    </w:p>
    <w:p>
      <w:pPr>
        <w:ind w:firstLine="757"/>
        <w:spacing w:after="0" w:line="258" w:lineRule="auto"/>
        <w:tabs>
          <w:tab w:leader="none" w:pos="149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such inspections or investigations as shall reasonably be required to detect and report, with recommendations, any apparent violations of this Code to the board of directors of the Corporation;</w:t>
      </w:r>
    </w:p>
    <w:p>
      <w:pPr>
        <w:spacing w:after="0" w:line="63" w:lineRule="exact"/>
        <w:rPr>
          <w:rFonts w:ascii="Times New Roman" w:cs="Times New Roman" w:eastAsia="Times New Roman" w:hAnsi="Times New Roman"/>
          <w:sz w:val="22"/>
          <w:szCs w:val="22"/>
          <w:color w:val="auto"/>
        </w:rPr>
      </w:pPr>
    </w:p>
    <w:p>
      <w:pPr>
        <w:jc w:val="both"/>
        <w:ind w:firstLine="757"/>
        <w:spacing w:after="0" w:line="250" w:lineRule="auto"/>
        <w:tabs>
          <w:tab w:leader="none" w:pos="149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 (B); and</w:t>
      </w:r>
    </w:p>
    <w:p>
      <w:pPr>
        <w:spacing w:after="0" w:line="59" w:lineRule="exact"/>
        <w:rPr>
          <w:rFonts w:ascii="Times New Roman" w:cs="Times New Roman" w:eastAsia="Times New Roman" w:hAnsi="Times New Roman"/>
          <w:sz w:val="22"/>
          <w:szCs w:val="22"/>
          <w:color w:val="auto"/>
        </w:rPr>
      </w:pPr>
    </w:p>
    <w:p>
      <w:pPr>
        <w:ind w:left="860" w:right="20" w:hanging="478"/>
        <w:spacing w:after="0" w:line="258" w:lineRule="auto"/>
        <w:tabs>
          <w:tab w:leader="none" w:pos="8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Financial Officer shall maintain and cause to be maintained in an easily accessible place at the principal place of business of the 17j-1 Organization, the following records:</w:t>
      </w:r>
    </w:p>
    <w:p>
      <w:pPr>
        <w:spacing w:after="0" w:line="63" w:lineRule="exact"/>
        <w:rPr>
          <w:rFonts w:ascii="Times New Roman" w:cs="Times New Roman" w:eastAsia="Times New Roman" w:hAnsi="Times New Roman"/>
          <w:sz w:val="22"/>
          <w:szCs w:val="22"/>
          <w:color w:val="auto"/>
        </w:rPr>
      </w:pPr>
    </w:p>
    <w:p>
      <w:pPr>
        <w:ind w:firstLine="757"/>
        <w:spacing w:after="0" w:line="258" w:lineRule="auto"/>
        <w:tabs>
          <w:tab w:leader="none" w:pos="149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all codes of ethics adopted by the Corporation or the Adviser and its affiliates, as the case may be, pursuant to Rule 17j-1 that have been in effect at any time during the past five (5) years;</w:t>
      </w:r>
    </w:p>
    <w:p>
      <w:pPr>
        <w:spacing w:after="0" w:line="50" w:lineRule="exact"/>
        <w:rPr>
          <w:rFonts w:ascii="Times New Roman" w:cs="Times New Roman" w:eastAsia="Times New Roman" w:hAnsi="Times New Roman"/>
          <w:sz w:val="22"/>
          <w:szCs w:val="22"/>
          <w:color w:val="auto"/>
        </w:rPr>
      </w:pPr>
    </w:p>
    <w:p>
      <w:pPr>
        <w:ind w:firstLine="757"/>
        <w:spacing w:after="0" w:line="271" w:lineRule="auto"/>
        <w:tabs>
          <w:tab w:leader="none" w:pos="149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each violation of such codes of ethics and of any action taken as a result of such violation for at least five (5) years after the end of the fiscal year in which the violation occurs;</w:t>
      </w:r>
    </w:p>
    <w:p>
      <w:pPr>
        <w:spacing w:after="0" w:line="36" w:lineRule="exact"/>
        <w:rPr>
          <w:rFonts w:ascii="Times New Roman" w:cs="Times New Roman" w:eastAsia="Times New Roman" w:hAnsi="Times New Roman"/>
          <w:sz w:val="22"/>
          <w:szCs w:val="22"/>
          <w:color w:val="auto"/>
        </w:rPr>
      </w:pPr>
    </w:p>
    <w:p>
      <w:pPr>
        <w:ind w:firstLine="757"/>
        <w:spacing w:after="0" w:line="271" w:lineRule="auto"/>
        <w:tabs>
          <w:tab w:leader="none" w:pos="149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an Access Person for at least two (2) years after the end of the fiscal year in which the report is made, and for an additional three (3) years in a place that need not be easily accessible;</w:t>
      </w:r>
    </w:p>
    <w:p>
      <w:pPr>
        <w:spacing w:after="0" w:line="36" w:lineRule="exact"/>
        <w:rPr>
          <w:rFonts w:ascii="Times New Roman" w:cs="Times New Roman" w:eastAsia="Times New Roman" w:hAnsi="Times New Roman"/>
          <w:sz w:val="22"/>
          <w:szCs w:val="22"/>
          <w:color w:val="auto"/>
        </w:rPr>
      </w:pPr>
    </w:p>
    <w:p>
      <w:pPr>
        <w:jc w:val="both"/>
        <w:ind w:firstLine="757"/>
        <w:spacing w:after="0" w:line="250" w:lineRule="auto"/>
        <w:tabs>
          <w:tab w:leader="none" w:pos="149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59" w:lineRule="exact"/>
        <w:rPr>
          <w:rFonts w:ascii="Times New Roman" w:cs="Times New Roman" w:eastAsia="Times New Roman" w:hAnsi="Times New Roman"/>
          <w:sz w:val="22"/>
          <w:szCs w:val="22"/>
          <w:color w:val="auto"/>
        </w:rPr>
      </w:pPr>
    </w:p>
    <w:p>
      <w:pPr>
        <w:ind w:firstLine="757"/>
        <w:spacing w:after="0" w:line="271" w:lineRule="auto"/>
        <w:tabs>
          <w:tab w:leader="none" w:pos="149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all persons who are, or within the past five (5) years have been, required to make reports pursuant to Rule 17j-1 and this Code, or who are or were responsible for reviewing such reports;</w:t>
      </w:r>
    </w:p>
    <w:p>
      <w:pPr>
        <w:spacing w:after="0" w:line="36" w:lineRule="exact"/>
        <w:rPr>
          <w:rFonts w:ascii="Times New Roman" w:cs="Times New Roman" w:eastAsia="Times New Roman" w:hAnsi="Times New Roman"/>
          <w:sz w:val="22"/>
          <w:szCs w:val="22"/>
          <w:color w:val="auto"/>
        </w:rPr>
      </w:pPr>
    </w:p>
    <w:p>
      <w:pPr>
        <w:ind w:firstLine="757"/>
        <w:spacing w:after="0" w:line="258" w:lineRule="auto"/>
        <w:tabs>
          <w:tab w:leader="none" w:pos="149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required by Section VII (B) of this Code for at least two (2) years after the end of the fiscal year in which it is made, and for an additional three (3) years in a place that need not be easily accessible; and</w:t>
      </w:r>
    </w:p>
    <w:p>
      <w:pPr>
        <w:spacing w:after="0" w:line="63" w:lineRule="exact"/>
        <w:rPr>
          <w:rFonts w:ascii="Times New Roman" w:cs="Times New Roman" w:eastAsia="Times New Roman" w:hAnsi="Times New Roman"/>
          <w:sz w:val="22"/>
          <w:szCs w:val="22"/>
          <w:color w:val="auto"/>
        </w:rPr>
      </w:pPr>
    </w:p>
    <w:p>
      <w:pPr>
        <w:jc w:val="both"/>
        <w:ind w:firstLine="757"/>
        <w:spacing w:after="0" w:line="250" w:lineRule="auto"/>
        <w:tabs>
          <w:tab w:leader="none" w:pos="149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59" w:lineRule="exact"/>
        <w:rPr>
          <w:rFonts w:ascii="Times New Roman" w:cs="Times New Roman" w:eastAsia="Times New Roman" w:hAnsi="Times New Roman"/>
          <w:sz w:val="22"/>
          <w:szCs w:val="22"/>
          <w:color w:val="auto"/>
        </w:rPr>
      </w:pPr>
    </w:p>
    <w:p>
      <w:pPr>
        <w:ind w:left="860" w:hanging="478"/>
        <w:spacing w:after="0" w:line="258" w:lineRule="auto"/>
        <w:tabs>
          <w:tab w:leader="none" w:pos="86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Code may not be amended or modified except in a written form that is specifically approved by majority vote of the Independent Directors.</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0" w:name="page111"/>
    <w:bookmarkEnd w:id="110"/>
    <w:p>
      <w:pPr>
        <w:ind w:firstLine="749"/>
        <w:spacing w:after="0" w:line="258" w:lineRule="auto"/>
        <w:rPr>
          <w:sz w:val="20"/>
          <w:szCs w:val="20"/>
          <w:color w:val="auto"/>
        </w:rPr>
      </w:pPr>
      <w:r>
        <w:rPr>
          <w:rFonts w:ascii="Times New Roman" w:cs="Times New Roman" w:eastAsia="Times New Roman" w:hAnsi="Times New Roman"/>
          <w:sz w:val="22"/>
          <w:szCs w:val="22"/>
          <w:color w:val="auto"/>
        </w:rPr>
        <w:t>This Joint Code of Ethics, originally adopted December 12, 2007 and amended as of May 3, 2022, is annually reviewed and approved by the Board of Directors of the Corporation, including a majority of the Independent Directors.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BUSINESS.28110458.6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6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tc>
        <w:tc>
          <w:tcPr>
            <w:tcW w:w="0" w:type="dxa"/>
            <w:vAlign w:val="bottom"/>
          </w:tcPr>
          <w:p>
            <w:pPr>
              <w:spacing w:after="0"/>
              <w:rPr>
                <w:sz w:val="1"/>
                <w:szCs w:val="1"/>
                <w:color w:val="auto"/>
              </w:rPr>
            </w:pPr>
          </w:p>
        </w:tc>
      </w:tr>
      <w:tr>
        <w:trPr>
          <w:trHeight w:val="311"/>
        </w:trPr>
        <w:tc>
          <w:tcPr>
            <w:tcW w:w="4340" w:type="dxa"/>
            <w:vAlign w:val="bottom"/>
          </w:tcPr>
          <w:p>
            <w:pPr>
              <w:spacing w:after="0"/>
              <w:rPr>
                <w:sz w:val="24"/>
                <w:szCs w:val="24"/>
                <w:color w:val="auto"/>
              </w:rPr>
            </w:pPr>
          </w:p>
        </w:tc>
        <w:tc>
          <w:tcPr>
            <w:tcW w:w="6900" w:type="dxa"/>
            <w:vAlign w:val="bottom"/>
          </w:tcPr>
          <w:p>
            <w:pPr>
              <w:jc w:val="right"/>
              <w:ind w:right="4488"/>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tc>
        <w:tc>
          <w:tcPr>
            <w:tcW w:w="0" w:type="dxa"/>
            <w:vAlign w:val="bottom"/>
          </w:tcPr>
          <w:p>
            <w:pPr>
              <w:spacing w:after="0"/>
              <w:rPr>
                <w:sz w:val="1"/>
                <w:szCs w:val="1"/>
                <w:color w:val="auto"/>
              </w:rPr>
            </w:pPr>
          </w:p>
        </w:tc>
      </w:tr>
      <w:tr>
        <w:trPr>
          <w:trHeight w:val="350"/>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entity and place of jurisdiction</w:t>
            </w:r>
          </w:p>
        </w:tc>
        <w:tc>
          <w:tcPr>
            <w:tcW w:w="69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Voting Securities</w:t>
            </w:r>
          </w:p>
        </w:tc>
        <w:tc>
          <w:tcPr>
            <w:tcW w:w="0" w:type="dxa"/>
            <w:vAlign w:val="bottom"/>
          </w:tcPr>
          <w:p>
            <w:pPr>
              <w:spacing w:after="0"/>
              <w:rPr>
                <w:sz w:val="1"/>
                <w:szCs w:val="1"/>
                <w:color w:val="auto"/>
              </w:rPr>
            </w:pPr>
          </w:p>
        </w:tc>
      </w:tr>
      <w:tr>
        <w:trPr>
          <w:trHeight w:val="187"/>
        </w:trPr>
        <w:tc>
          <w:tcPr>
            <w:tcW w:w="4340" w:type="dxa"/>
            <w:vAlign w:val="bottom"/>
            <w:vMerge w:val="continue"/>
          </w:tcPr>
          <w:p>
            <w:pPr>
              <w:spacing w:after="0"/>
              <w:rPr>
                <w:sz w:val="16"/>
                <w:szCs w:val="16"/>
                <w:color w:val="auto"/>
              </w:rPr>
            </w:pPr>
          </w:p>
        </w:tc>
        <w:tc>
          <w:tcPr>
            <w:tcW w:w="69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Owned Percentage</w:t>
            </w:r>
          </w:p>
        </w:tc>
        <w:tc>
          <w:tcPr>
            <w:tcW w:w="0" w:type="dxa"/>
            <w:vAlign w:val="bottom"/>
          </w:tcPr>
          <w:p>
            <w:pPr>
              <w:spacing w:after="0"/>
              <w:rPr>
                <w:sz w:val="1"/>
                <w:szCs w:val="1"/>
                <w:color w:val="auto"/>
              </w:rPr>
            </w:pPr>
          </w:p>
        </w:tc>
      </w:tr>
      <w:tr>
        <w:trPr>
          <w:trHeight w:val="176"/>
        </w:trPr>
        <w:tc>
          <w:tcPr>
            <w:tcW w:w="4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PennantPark Investment Funding I, LLC (Delaware)</w:t>
            </w:r>
          </w:p>
        </w:tc>
        <w:tc>
          <w:tcPr>
            <w:tcW w:w="690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PennantPark SBIC GP II, LLC (Delaware)</w:t>
            </w:r>
          </w:p>
        </w:tc>
        <w:tc>
          <w:tcPr>
            <w:tcW w:w="69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75"/>
        </w:trPr>
        <w:tc>
          <w:tcPr>
            <w:tcW w:w="4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PennantPark SBIC II LP (Delaware)</w:t>
            </w:r>
          </w:p>
        </w:tc>
        <w:tc>
          <w:tcPr>
            <w:tcW w:w="6900" w:type="dxa"/>
            <w:vAlign w:val="bottom"/>
            <w:shd w:val="clear" w:color="auto" w:fill="CCECFF"/>
          </w:tcPr>
          <w:p>
            <w:pPr>
              <w:jc w:val="right"/>
              <w:ind w:right="48"/>
              <w:spacing w:after="0" w:line="175" w:lineRule="exact"/>
              <w:rPr>
                <w:sz w:val="20"/>
                <w:szCs w:val="20"/>
                <w:color w:val="auto"/>
              </w:rPr>
            </w:pPr>
            <w:r>
              <w:rPr>
                <w:rFonts w:ascii="Times New Roman" w:cs="Times New Roman" w:eastAsia="Times New Roman" w:hAnsi="Times New Roman"/>
                <w:sz w:val="14"/>
                <w:szCs w:val="14"/>
                <w:color w:val="auto"/>
              </w:rPr>
              <w:t xml:space="preserve">100 % </w:t>
            </w:r>
            <w:r>
              <w:rPr>
                <w:rFonts w:ascii="Times New Roman" w:cs="Times New Roman" w:eastAsia="Times New Roman" w:hAnsi="Times New Roman"/>
                <w:sz w:val="19"/>
                <w:szCs w:val="19"/>
                <w:color w:val="auto"/>
                <w:vertAlign w:val="superscript"/>
              </w:rPr>
              <w:t>(1)</w:t>
            </w: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PNNT Alabama Holdings Inc. (Delaware)</w:t>
            </w:r>
          </w:p>
        </w:tc>
        <w:tc>
          <w:tcPr>
            <w:tcW w:w="6900" w:type="dxa"/>
            <w:vAlign w:val="bottom"/>
          </w:tcPr>
          <w:p>
            <w:pPr>
              <w:jc w:val="right"/>
              <w:ind w:right="48"/>
              <w:spacing w:after="0" w:line="175" w:lineRule="exact"/>
              <w:rPr>
                <w:sz w:val="20"/>
                <w:szCs w:val="20"/>
                <w:color w:val="auto"/>
              </w:rPr>
            </w:pPr>
            <w:r>
              <w:rPr>
                <w:rFonts w:ascii="Times New Roman" w:cs="Times New Roman" w:eastAsia="Times New Roman" w:hAnsi="Times New Roman"/>
                <w:sz w:val="14"/>
                <w:szCs w:val="14"/>
                <w:color w:val="auto"/>
              </w:rPr>
              <w:t xml:space="preserve">100 % </w:t>
            </w:r>
            <w:r>
              <w:rPr>
                <w:rFonts w:ascii="Times New Roman" w:cs="Times New Roman" w:eastAsia="Times New Roman" w:hAnsi="Times New Roman"/>
                <w:sz w:val="19"/>
                <w:szCs w:val="19"/>
                <w:color w:val="auto"/>
                <w:vertAlign w:val="superscript"/>
              </w:rPr>
              <w:t>(2)</w:t>
            </w:r>
          </w:p>
        </w:tc>
        <w:tc>
          <w:tcPr>
            <w:tcW w:w="0" w:type="dxa"/>
            <w:vAlign w:val="bottom"/>
          </w:tcPr>
          <w:p>
            <w:pPr>
              <w:spacing w:after="0"/>
              <w:rPr>
                <w:sz w:val="1"/>
                <w:szCs w:val="1"/>
                <w:color w:val="auto"/>
              </w:rPr>
            </w:pPr>
          </w:p>
        </w:tc>
      </w:tr>
      <w:tr>
        <w:trPr>
          <w:trHeight w:val="175"/>
        </w:trPr>
        <w:tc>
          <w:tcPr>
            <w:tcW w:w="4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PNNT CI (GALLS) Prime Investment Holdings, LLC (Delaware)</w:t>
            </w:r>
          </w:p>
        </w:tc>
        <w:tc>
          <w:tcPr>
            <w:tcW w:w="6900" w:type="dxa"/>
            <w:vAlign w:val="bottom"/>
            <w:shd w:val="clear" w:color="auto" w:fill="CCECFF"/>
          </w:tcPr>
          <w:p>
            <w:pPr>
              <w:jc w:val="right"/>
              <w:ind w:right="208"/>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76"/>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PNNT Investment Holdings, LLC (Delaware)</w:t>
            </w:r>
          </w:p>
        </w:tc>
        <w:tc>
          <w:tcPr>
            <w:tcW w:w="69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76"/>
        </w:trPr>
        <w:tc>
          <w:tcPr>
            <w:tcW w:w="4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RAM Energy Holdings LLC (Delaware)</w:t>
            </w:r>
          </w:p>
        </w:tc>
        <w:tc>
          <w:tcPr>
            <w:tcW w:w="6900" w:type="dxa"/>
            <w:vAlign w:val="bottom"/>
            <w:shd w:val="clear" w:color="auto" w:fill="CCECFF"/>
          </w:tcPr>
          <w:p>
            <w:pPr>
              <w:jc w:val="right"/>
              <w:ind w:right="48"/>
              <w:spacing w:after="0" w:line="175" w:lineRule="exact"/>
              <w:rPr>
                <w:sz w:val="20"/>
                <w:szCs w:val="20"/>
                <w:color w:val="auto"/>
              </w:rPr>
            </w:pPr>
            <w:r>
              <w:rPr>
                <w:rFonts w:ascii="Times New Roman" w:cs="Times New Roman" w:eastAsia="Times New Roman" w:hAnsi="Times New Roman"/>
                <w:sz w:val="14"/>
                <w:szCs w:val="14"/>
                <w:color w:val="auto"/>
              </w:rPr>
              <w:t xml:space="preserve">100 % </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PennantPark Senior Loan Fund, LLC</w:t>
            </w:r>
          </w:p>
        </w:tc>
        <w:tc>
          <w:tcPr>
            <w:tcW w:w="6900" w:type="dxa"/>
            <w:vAlign w:val="bottom"/>
          </w:tcPr>
          <w:p>
            <w:pPr>
              <w:jc w:val="right"/>
              <w:ind w:right="48"/>
              <w:spacing w:after="0" w:line="175" w:lineRule="exact"/>
              <w:rPr>
                <w:sz w:val="20"/>
                <w:szCs w:val="20"/>
                <w:color w:val="auto"/>
              </w:rPr>
            </w:pPr>
            <w:r>
              <w:rPr>
                <w:rFonts w:ascii="Times New Roman" w:cs="Times New Roman" w:eastAsia="Times New Roman" w:hAnsi="Times New Roman"/>
                <w:sz w:val="14"/>
                <w:szCs w:val="14"/>
                <w:color w:val="auto"/>
              </w:rPr>
              <w:t xml:space="preserve">72 % </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176"/>
        </w:trPr>
        <w:tc>
          <w:tcPr>
            <w:tcW w:w="434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4"/>
                <w:szCs w:val="14"/>
                <w:color w:val="auto"/>
              </w:rPr>
              <w:t>AKW Holdings Limited (Isle of Man)</w:t>
            </w:r>
          </w:p>
        </w:tc>
        <w:tc>
          <w:tcPr>
            <w:tcW w:w="6900" w:type="dxa"/>
            <w:vAlign w:val="bottom"/>
            <w:shd w:val="clear" w:color="auto" w:fill="CCECFF"/>
          </w:tcPr>
          <w:p>
            <w:pPr>
              <w:jc w:val="right"/>
              <w:ind w:right="48"/>
              <w:spacing w:after="0" w:line="175" w:lineRule="exact"/>
              <w:rPr>
                <w:sz w:val="20"/>
                <w:szCs w:val="20"/>
                <w:color w:val="auto"/>
              </w:rPr>
            </w:pPr>
            <w:r>
              <w:rPr>
                <w:rFonts w:ascii="Times New Roman" w:cs="Times New Roman" w:eastAsia="Times New Roman" w:hAnsi="Times New Roman"/>
                <w:sz w:val="14"/>
                <w:szCs w:val="14"/>
                <w:color w:val="auto"/>
              </w:rPr>
              <w:t xml:space="preserve">84 % </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entity is directly owned 99% by us and 1% by PennantPark SBIC GP II, LLC, which is effectively wholly-owned by us.</w:t>
      </w:r>
    </w:p>
    <w:p>
      <w:pPr>
        <w:ind w:left="520" w:hanging="512"/>
        <w:spacing w:after="0" w:line="189" w:lineRule="auto"/>
        <w:tabs>
          <w:tab w:leader="none" w:pos="520" w:val="left"/>
        </w:tabs>
        <w:numPr>
          <w:ilvl w:val="0"/>
          <w:numId w:val="10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entity is not operational.</w:t>
      </w:r>
    </w:p>
    <w:p>
      <w:pPr>
        <w:spacing w:after="0" w:line="3" w:lineRule="exact"/>
        <w:rPr>
          <w:rFonts w:ascii="Times New Roman" w:cs="Times New Roman" w:eastAsia="Times New Roman" w:hAnsi="Times New Roman"/>
          <w:sz w:val="19"/>
          <w:szCs w:val="19"/>
          <w:color w:val="auto"/>
          <w:vertAlign w:val="superscript"/>
        </w:rPr>
      </w:pPr>
    </w:p>
    <w:p>
      <w:pPr>
        <w:ind w:left="520" w:hanging="512"/>
        <w:spacing w:after="0" w:line="189" w:lineRule="auto"/>
        <w:tabs>
          <w:tab w:leader="none" w:pos="520" w:val="left"/>
        </w:tabs>
        <w:numPr>
          <w:ilvl w:val="0"/>
          <w:numId w:val="10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is a controlled affiliated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N-2 of PennantPark Investment Corporation and Subsidiaries (the Company) of our report dated November 17, 2022 relating to the consolidated financial statements of the Company, appearing in the Annual Report on Form 10-K of the Company for the year ended September 30, 2022. We also consent to the use in such Registration Statement of our report dated November 17, 2022, relating to the senior securities table appearing as Exhibit 99.4 in the accompanying Form 10-K of the Company for the year ended September 30, 2022.</w:t>
      </w:r>
    </w:p>
    <w:p>
      <w:pPr>
        <w:spacing w:after="0" w:line="18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also consent to the reference to our firm under the headings “Senior Securities” in the accompanying Form 10-K and “Independent Registered Public Accounting Firm” in such Registration Statement on Form N-2.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N-2 (No. 333-230014) of PennantPark Investment Corporation of our reports dated November 16, 2021 and November 16, 2020, relating to the consolidated financial statements of Ram Energy Holdings LLC as of and for the years ended September 30, 2022, 2021 and 2020, respectively, which appear in this Annual Report on Form 10-K.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5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1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and Chairman of the Board of Directors of PennantPark Investment Corporation, certify that:</w:t>
      </w:r>
    </w:p>
    <w:p>
      <w:pPr>
        <w:spacing w:after="0" w:line="150" w:lineRule="exact"/>
        <w:rPr>
          <w:sz w:val="20"/>
          <w:szCs w:val="20"/>
          <w:color w:val="auto"/>
        </w:rPr>
      </w:pPr>
    </w:p>
    <w:p>
      <w:pPr>
        <w:ind w:left="400" w:hanging="137"/>
        <w:spacing w:after="0"/>
        <w:tabs>
          <w:tab w:leader="none" w:pos="4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PennantPark Investment Corporation;</w:t>
      </w:r>
    </w:p>
    <w:p>
      <w:pPr>
        <w:spacing w:after="0" w:line="149" w:lineRule="exact"/>
        <w:rPr>
          <w:rFonts w:ascii="Times New Roman" w:cs="Times New Roman" w:eastAsia="Times New Roman" w:hAnsi="Times New Roman"/>
          <w:sz w:val="14"/>
          <w:szCs w:val="14"/>
          <w:color w:val="auto"/>
        </w:rPr>
      </w:pPr>
    </w:p>
    <w:p>
      <w:pPr>
        <w:ind w:left="260" w:right="620" w:firstLine="3"/>
        <w:spacing w:after="0" w:line="282" w:lineRule="auto"/>
        <w:tabs>
          <w:tab w:leader="none" w:pos="404"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4"/>
          <w:szCs w:val="14"/>
          <w:color w:val="auto"/>
        </w:rPr>
      </w:pPr>
    </w:p>
    <w:p>
      <w:pPr>
        <w:ind w:left="260" w:right="80" w:firstLine="3"/>
        <w:spacing w:after="0" w:line="282" w:lineRule="auto"/>
        <w:tabs>
          <w:tab w:leader="none" w:pos="404"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4"/>
          <w:szCs w:val="14"/>
          <w:color w:val="auto"/>
        </w:rPr>
      </w:pPr>
    </w:p>
    <w:p>
      <w:pPr>
        <w:ind w:left="260" w:right="260" w:firstLine="3"/>
        <w:spacing w:after="0" w:line="282" w:lineRule="auto"/>
        <w:tabs>
          <w:tab w:leader="none" w:pos="404"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Times New Roman" w:cs="Times New Roman" w:eastAsia="Times New Roman" w:hAnsi="Times New Roman"/>
          <w:sz w:val="14"/>
          <w:szCs w:val="14"/>
          <w:color w:val="auto"/>
        </w:rPr>
      </w:pPr>
    </w:p>
    <w:p>
      <w:pPr>
        <w:ind w:left="520" w:right="60" w:hanging="3"/>
        <w:spacing w:after="0" w:line="302" w:lineRule="auto"/>
        <w:tabs>
          <w:tab w:leader="none" w:pos="668"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0" w:lineRule="exact"/>
        <w:rPr>
          <w:rFonts w:ascii="Times New Roman" w:cs="Times New Roman" w:eastAsia="Times New Roman" w:hAnsi="Times New Roman"/>
          <w:sz w:val="14"/>
          <w:szCs w:val="14"/>
          <w:color w:val="auto"/>
        </w:rPr>
      </w:pPr>
    </w:p>
    <w:p>
      <w:pPr>
        <w:ind w:left="520" w:right="120" w:hanging="3"/>
        <w:spacing w:after="0" w:line="282" w:lineRule="auto"/>
        <w:tabs>
          <w:tab w:leader="none" w:pos="676"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94" w:lineRule="exact"/>
        <w:rPr>
          <w:rFonts w:ascii="Times New Roman" w:cs="Times New Roman" w:eastAsia="Times New Roman" w:hAnsi="Times New Roman"/>
          <w:sz w:val="14"/>
          <w:szCs w:val="14"/>
          <w:color w:val="auto"/>
        </w:rPr>
      </w:pPr>
    </w:p>
    <w:p>
      <w:pPr>
        <w:ind w:left="520" w:right="300" w:hanging="3"/>
        <w:spacing w:after="0" w:line="282" w:lineRule="auto"/>
        <w:tabs>
          <w:tab w:leader="none" w:pos="668"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4"/>
          <w:szCs w:val="14"/>
          <w:color w:val="auto"/>
        </w:rPr>
      </w:pPr>
    </w:p>
    <w:p>
      <w:pPr>
        <w:ind w:left="520" w:right="280" w:hanging="3"/>
        <w:spacing w:after="0" w:line="282" w:lineRule="auto"/>
        <w:tabs>
          <w:tab w:leader="none" w:pos="676"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4"/>
          <w:szCs w:val="14"/>
          <w:color w:val="auto"/>
        </w:rPr>
      </w:pPr>
    </w:p>
    <w:p>
      <w:pPr>
        <w:ind w:left="260" w:right="420" w:firstLine="3"/>
        <w:spacing w:after="0" w:line="282" w:lineRule="auto"/>
        <w:tabs>
          <w:tab w:leader="none" w:pos="404"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4"/>
          <w:szCs w:val="14"/>
          <w:color w:val="auto"/>
        </w:rPr>
      </w:pPr>
    </w:p>
    <w:p>
      <w:pPr>
        <w:ind w:left="520" w:right="660" w:hanging="3"/>
        <w:spacing w:after="0" w:line="282" w:lineRule="auto"/>
        <w:tabs>
          <w:tab w:leader="none" w:pos="668"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4"/>
          <w:szCs w:val="14"/>
          <w:color w:val="auto"/>
        </w:rPr>
      </w:pPr>
    </w:p>
    <w:p>
      <w:pPr>
        <w:ind w:left="680" w:hanging="163"/>
        <w:spacing w:after="0"/>
        <w:tabs>
          <w:tab w:leader="none" w:pos="68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17, 2022</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84607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8"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Name:</w:t>
        <w:tab/>
        <w:t>Arthur H. Penn</w:t>
      </w:r>
    </w:p>
    <w:p>
      <w:pPr>
        <w:spacing w:after="0" w:line="2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2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CERTIFICATION PURSUANT TO SECTION 302</w:t>
      </w:r>
    </w:p>
    <w:p>
      <w:pPr>
        <w:spacing w:after="0" w:line="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CHIEF FINANCIAL OFFICER CERTIFICATION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Richard T. Allorto, Jr., Chief Financial Officer of PennantPark Investment Corporation, certify that:</w:t>
      </w:r>
    </w:p>
    <w:p>
      <w:pPr>
        <w:spacing w:after="0" w:line="206" w:lineRule="exact"/>
        <w:rPr>
          <w:sz w:val="20"/>
          <w:szCs w:val="20"/>
          <w:color w:val="auto"/>
        </w:rPr>
      </w:pPr>
    </w:p>
    <w:p>
      <w:pPr>
        <w:ind w:left="160" w:hanging="152"/>
        <w:spacing w:after="0"/>
        <w:tabs>
          <w:tab w:leader="none" w:pos="16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PennantPark Investment Corporation;</w:t>
      </w:r>
    </w:p>
    <w:p>
      <w:pPr>
        <w:spacing w:after="0" w:line="205" w:lineRule="exact"/>
        <w:rPr>
          <w:rFonts w:ascii="Times New Roman" w:cs="Times New Roman" w:eastAsia="Times New Roman" w:hAnsi="Times New Roman"/>
          <w:sz w:val="15"/>
          <w:szCs w:val="15"/>
          <w:color w:val="auto"/>
        </w:rPr>
      </w:pPr>
    </w:p>
    <w:p>
      <w:pPr>
        <w:ind w:right="220" w:firstLine="8"/>
        <w:spacing w:after="0" w:line="280" w:lineRule="auto"/>
        <w:tabs>
          <w:tab w:leader="none" w:pos="153"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Times New Roman" w:cs="Times New Roman" w:eastAsia="Times New Roman" w:hAnsi="Times New Roman"/>
          <w:sz w:val="15"/>
          <w:szCs w:val="15"/>
          <w:color w:val="auto"/>
        </w:rPr>
      </w:pPr>
    </w:p>
    <w:p>
      <w:pPr>
        <w:ind w:right="320" w:firstLine="8"/>
        <w:spacing w:after="0" w:line="280" w:lineRule="auto"/>
        <w:tabs>
          <w:tab w:leader="none" w:pos="153"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5"/>
          <w:szCs w:val="15"/>
          <w:color w:val="auto"/>
        </w:rPr>
      </w:pPr>
    </w:p>
    <w:p>
      <w:pPr>
        <w:ind w:left="160" w:hanging="152"/>
        <w:spacing w:after="0"/>
        <w:tabs>
          <w:tab w:leader="none" w:pos="16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19"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5"/>
          <w:szCs w:val="15"/>
          <w:color w:val="auto"/>
        </w:rPr>
      </w:pPr>
    </w:p>
    <w:p>
      <w:pPr>
        <w:ind w:left="520" w:right="180" w:hanging="3"/>
        <w:spacing w:after="0" w:line="262" w:lineRule="auto"/>
        <w:tabs>
          <w:tab w:leader="none" w:pos="677"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7" w:lineRule="exact"/>
        <w:rPr>
          <w:rFonts w:ascii="Times New Roman" w:cs="Times New Roman" w:eastAsia="Times New Roman" w:hAnsi="Times New Roman"/>
          <w:sz w:val="15"/>
          <w:szCs w:val="15"/>
          <w:color w:val="auto"/>
        </w:rPr>
      </w:pPr>
    </w:p>
    <w:p>
      <w:pPr>
        <w:ind w:left="520" w:right="80" w:hanging="3"/>
        <w:spacing w:after="0" w:line="262" w:lineRule="auto"/>
        <w:tabs>
          <w:tab w:leader="none" w:pos="686"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64" w:lineRule="exact"/>
        <w:rPr>
          <w:rFonts w:ascii="Times New Roman" w:cs="Times New Roman" w:eastAsia="Times New Roman" w:hAnsi="Times New Roman"/>
          <w:sz w:val="15"/>
          <w:szCs w:val="15"/>
          <w:color w:val="auto"/>
        </w:rPr>
      </w:pPr>
    </w:p>
    <w:p>
      <w:pPr>
        <w:ind w:left="520" w:right="440" w:hanging="3"/>
        <w:spacing w:after="0" w:line="280" w:lineRule="auto"/>
        <w:tabs>
          <w:tab w:leader="none" w:pos="677"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5"/>
          <w:szCs w:val="15"/>
          <w:color w:val="auto"/>
        </w:rPr>
      </w:pPr>
    </w:p>
    <w:p>
      <w:pPr>
        <w:ind w:left="520" w:right="40" w:hanging="3"/>
        <w:spacing w:after="0" w:line="262" w:lineRule="auto"/>
        <w:tabs>
          <w:tab w:leader="none" w:pos="686"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5"/>
          <w:szCs w:val="15"/>
          <w:color w:val="auto"/>
        </w:rPr>
      </w:pPr>
    </w:p>
    <w:p>
      <w:pPr>
        <w:ind w:right="20" w:firstLine="8"/>
        <w:spacing w:after="0" w:line="280" w:lineRule="auto"/>
        <w:tabs>
          <w:tab w:leader="none" w:pos="153"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5"/>
          <w:szCs w:val="15"/>
          <w:color w:val="auto"/>
        </w:rPr>
      </w:pPr>
    </w:p>
    <w:p>
      <w:pPr>
        <w:ind w:left="520" w:right="20" w:hanging="3"/>
        <w:spacing w:after="0" w:line="280" w:lineRule="auto"/>
        <w:tabs>
          <w:tab w:leader="none" w:pos="677"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Times New Roman" w:cs="Times New Roman" w:eastAsia="Times New Roman" w:hAnsi="Times New Roman"/>
          <w:sz w:val="15"/>
          <w:szCs w:val="15"/>
          <w:color w:val="auto"/>
        </w:rPr>
      </w:pPr>
    </w:p>
    <w:p>
      <w:pPr>
        <w:ind w:left="680" w:hanging="163"/>
        <w:spacing w:after="0"/>
        <w:tabs>
          <w:tab w:leader="none" w:pos="680"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November 16, 2022</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/s/ Richard T. Allorto, Jr.</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8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5"/>
                <w:szCs w:val="15"/>
                <w:color w:val="auto"/>
              </w:rPr>
              <w:t>Name:</w:t>
            </w:r>
          </w:p>
        </w:tc>
        <w:tc>
          <w:tcPr>
            <w:tcW w:w="2620" w:type="dxa"/>
            <w:vAlign w:val="bottom"/>
            <w:tcBorders>
              <w:top w:val="single" w:sz="8" w:color="auto"/>
            </w:tcBorders>
          </w:tcPr>
          <w:p>
            <w:pPr>
              <w:ind w:left="560"/>
              <w:spacing w:after="0" w:line="159" w:lineRule="exact"/>
              <w:rPr>
                <w:sz w:val="20"/>
                <w:szCs w:val="20"/>
                <w:color w:val="auto"/>
              </w:rPr>
            </w:pPr>
            <w:r>
              <w:rPr>
                <w:rFonts w:ascii="Times New Roman" w:cs="Times New Roman" w:eastAsia="Times New Roman" w:hAnsi="Times New Roman"/>
                <w:sz w:val="15"/>
                <w:szCs w:val="15"/>
                <w:color w:val="auto"/>
              </w:rPr>
              <w:t>Richard T. Allorto, Jr.</w:t>
            </w:r>
          </w:p>
        </w:tc>
        <w:tc>
          <w:tcPr>
            <w:tcW w:w="7640" w:type="dxa"/>
            <w:vAlign w:val="bottom"/>
          </w:tcPr>
          <w:p>
            <w:pPr>
              <w:spacing w:after="0"/>
              <w:rPr>
                <w:sz w:val="13"/>
                <w:szCs w:val="13"/>
                <w:color w:val="auto"/>
              </w:rPr>
            </w:pPr>
          </w:p>
        </w:tc>
      </w:tr>
      <w:tr>
        <w:trPr>
          <w:trHeight w:val="198"/>
        </w:trPr>
        <w:tc>
          <w:tcPr>
            <w:tcW w:w="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Title:</w:t>
            </w:r>
          </w:p>
        </w:tc>
        <w:tc>
          <w:tcPr>
            <w:tcW w:w="2620" w:type="dxa"/>
            <w:vAlign w:val="bottom"/>
          </w:tcPr>
          <w:p>
            <w:pPr>
              <w:ind w:left="560"/>
              <w:spacing w:after="0"/>
              <w:rPr>
                <w:sz w:val="20"/>
                <w:szCs w:val="20"/>
                <w:color w:val="auto"/>
              </w:rPr>
            </w:pPr>
            <w:r>
              <w:rPr>
                <w:rFonts w:ascii="Times New Roman" w:cs="Times New Roman" w:eastAsia="Times New Roman" w:hAnsi="Times New Roman"/>
                <w:sz w:val="15"/>
                <w:szCs w:val="15"/>
                <w:color w:val="auto"/>
              </w:rPr>
              <w:t>Chief Financial Officer</w:t>
            </w:r>
          </w:p>
        </w:tc>
        <w:tc>
          <w:tcPr>
            <w:tcW w:w="7640" w:type="dxa"/>
            <w:vAlign w:val="bottom"/>
          </w:tcPr>
          <w:p>
            <w:pPr>
              <w:spacing w:after="0"/>
              <w:rPr>
                <w:sz w:val="17"/>
                <w:szCs w:val="17"/>
                <w:color w:val="auto"/>
              </w:rPr>
            </w:pPr>
          </w:p>
        </w:tc>
      </w:tr>
      <w:tr>
        <w:trPr>
          <w:trHeight w:val="339"/>
        </w:trPr>
        <w:tc>
          <w:tcPr>
            <w:tcW w:w="9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Section 1350)</w:t>
      </w:r>
    </w:p>
    <w:p>
      <w:pPr>
        <w:spacing w:after="0" w:line="134" w:lineRule="exact"/>
        <w:rPr>
          <w:sz w:val="20"/>
          <w:szCs w:val="20"/>
          <w:color w:val="auto"/>
        </w:rPr>
      </w:pPr>
    </w:p>
    <w:p>
      <w:pPr>
        <w:ind w:right="140" w:firstLine="509"/>
        <w:spacing w:after="0" w:line="302" w:lineRule="auto"/>
        <w:rPr>
          <w:sz w:val="20"/>
          <w:szCs w:val="20"/>
          <w:color w:val="auto"/>
        </w:rPr>
      </w:pPr>
      <w:r>
        <w:rPr>
          <w:rFonts w:ascii="Times New Roman" w:cs="Times New Roman" w:eastAsia="Times New Roman" w:hAnsi="Times New Roman"/>
          <w:sz w:val="14"/>
          <w:szCs w:val="14"/>
          <w:color w:val="auto"/>
        </w:rPr>
        <w:t>In connection with the Annual Report on Form 10-K of PennantPark Investment Corporation for the annual period ended September 30, 2022 as filed with the Securities and Exchange Commission on the date hereof (the “Report”), I, Arthur H. Penn, as Chief Executive Officer of the Registrant hereby certify, to the best of my knowledge that:</w:t>
      </w:r>
    </w:p>
    <w:p>
      <w:pPr>
        <w:spacing w:after="0" w:line="67" w:lineRule="exact"/>
        <w:rPr>
          <w:sz w:val="20"/>
          <w:szCs w:val="20"/>
          <w:color w:val="auto"/>
        </w:rPr>
      </w:pPr>
    </w:p>
    <w:p>
      <w:pPr>
        <w:ind w:left="460" w:hanging="197"/>
        <w:spacing w:after="0"/>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4"/>
          <w:szCs w:val="14"/>
          <w:color w:val="auto"/>
        </w:rPr>
      </w:pPr>
    </w:p>
    <w:p>
      <w:pPr>
        <w:ind w:left="460" w:hanging="197"/>
        <w:spacing w:after="0"/>
        <w:tabs>
          <w:tab w:leader="none" w:pos="4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Arthur H. Penn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Arthur H. Penn</w:t>
            </w:r>
          </w:p>
        </w:tc>
        <w:tc>
          <w:tcPr>
            <w:tcW w:w="6760" w:type="dxa"/>
            <w:vAlign w:val="bottom"/>
          </w:tcPr>
          <w:p>
            <w:pPr>
              <w:spacing w:after="0"/>
              <w:rPr>
                <w:sz w:val="13"/>
                <w:szCs w:val="13"/>
                <w:color w:val="auto"/>
              </w:rPr>
            </w:pP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November 17, 2022</w:t>
            </w:r>
          </w:p>
        </w:tc>
        <w:tc>
          <w:tcPr>
            <w:tcW w:w="6760" w:type="dxa"/>
            <w:vAlign w:val="bottom"/>
          </w:tcPr>
          <w:p>
            <w:pPr>
              <w:spacing w:after="0"/>
              <w:rPr>
                <w:sz w:val="16"/>
                <w:szCs w:val="16"/>
                <w:color w:val="auto"/>
              </w:rPr>
            </w:pPr>
          </w:p>
        </w:tc>
      </w:tr>
      <w:tr>
        <w:trPr>
          <w:trHeight w:val="314"/>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Section 1350)</w:t>
      </w:r>
    </w:p>
    <w:p>
      <w:pPr>
        <w:spacing w:after="0" w:line="134" w:lineRule="exact"/>
        <w:rPr>
          <w:sz w:val="20"/>
          <w:szCs w:val="20"/>
          <w:color w:val="auto"/>
        </w:rPr>
      </w:pPr>
    </w:p>
    <w:p>
      <w:pPr>
        <w:ind w:right="140" w:firstLine="509"/>
        <w:spacing w:after="0" w:line="302" w:lineRule="auto"/>
        <w:rPr>
          <w:sz w:val="20"/>
          <w:szCs w:val="20"/>
          <w:color w:val="auto"/>
        </w:rPr>
      </w:pPr>
      <w:r>
        <w:rPr>
          <w:rFonts w:ascii="Times New Roman" w:cs="Times New Roman" w:eastAsia="Times New Roman" w:hAnsi="Times New Roman"/>
          <w:sz w:val="14"/>
          <w:szCs w:val="14"/>
          <w:color w:val="auto"/>
        </w:rPr>
        <w:t>In connection with the Annual Report on Form 10-K of PennantPark Investment Corporation for the annual period ended September 30, 2022 as filed with the Securities and Exchange Commission on the date hereof (the “Report”), I, Richard Cheung, as Chief Financial Officer of the Registrant hereby certify, to the best of my knowledge that:</w:t>
      </w:r>
    </w:p>
    <w:p>
      <w:pPr>
        <w:spacing w:after="0" w:line="67" w:lineRule="exact"/>
        <w:rPr>
          <w:sz w:val="20"/>
          <w:szCs w:val="20"/>
          <w:color w:val="auto"/>
        </w:rPr>
      </w:pPr>
    </w:p>
    <w:p>
      <w:pPr>
        <w:ind w:left="460" w:hanging="197"/>
        <w:spacing w:after="0"/>
        <w:tabs>
          <w:tab w:leader="none" w:pos="4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49" w:lineRule="exact"/>
        <w:rPr>
          <w:rFonts w:ascii="Times New Roman" w:cs="Times New Roman" w:eastAsia="Times New Roman" w:hAnsi="Times New Roman"/>
          <w:sz w:val="14"/>
          <w:szCs w:val="14"/>
          <w:color w:val="auto"/>
        </w:rPr>
      </w:pPr>
    </w:p>
    <w:p>
      <w:pPr>
        <w:ind w:left="460" w:hanging="197"/>
        <w:spacing w:after="0"/>
        <w:tabs>
          <w:tab w:leader="none" w:pos="46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Richard Allorto</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Name:</w:t>
            </w:r>
          </w:p>
        </w:tc>
        <w:tc>
          <w:tcPr>
            <w:tcW w:w="398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Richard T. Allorto, Jr.</w:t>
            </w:r>
          </w:p>
        </w:tc>
        <w:tc>
          <w:tcPr>
            <w:tcW w:w="6760" w:type="dxa"/>
            <w:vAlign w:val="bottom"/>
          </w:tcPr>
          <w:p>
            <w:pPr>
              <w:spacing w:after="0"/>
              <w:rPr>
                <w:sz w:val="13"/>
                <w:szCs w:val="13"/>
                <w:color w:val="auto"/>
              </w:rPr>
            </w:pPr>
          </w:p>
        </w:tc>
      </w:tr>
      <w:tr>
        <w:trPr>
          <w:trHeight w:val="176"/>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6760" w:type="dxa"/>
            <w:vAlign w:val="bottom"/>
          </w:tcPr>
          <w:p>
            <w:pPr>
              <w:spacing w:after="0"/>
              <w:rPr>
                <w:sz w:val="15"/>
                <w:szCs w:val="15"/>
                <w:color w:val="auto"/>
              </w:rPr>
            </w:pPr>
          </w:p>
        </w:tc>
      </w:tr>
      <w:tr>
        <w:trPr>
          <w:trHeight w:val="188"/>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November 17, 2022</w:t>
            </w:r>
          </w:p>
        </w:tc>
        <w:tc>
          <w:tcPr>
            <w:tcW w:w="6760" w:type="dxa"/>
            <w:vAlign w:val="bottom"/>
          </w:tcPr>
          <w:p>
            <w:pPr>
              <w:spacing w:after="0"/>
              <w:rPr>
                <w:sz w:val="16"/>
                <w:szCs w:val="16"/>
                <w:color w:val="auto"/>
              </w:rPr>
            </w:pPr>
          </w:p>
        </w:tc>
      </w:tr>
      <w:tr>
        <w:trPr>
          <w:trHeight w:val="489"/>
        </w:trPr>
        <w:tc>
          <w:tcPr>
            <w:tcW w:w="50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Exhibit 99.1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PENNANTPARK INVESTMENT CORPORATION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PENNANTPARK FLOATING RATE CAPITAL LTD.</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u w:val="single" w:color="auto"/>
          <w:color w:val="auto"/>
        </w:rPr>
        <w:t>PRIVACY POLICY</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PennantPark Investment Corporation and PennantPark Floating Rate Capital Ltd. Investors:</w:t>
      </w:r>
    </w:p>
    <w:p>
      <w:pPr>
        <w:spacing w:after="0" w:line="200" w:lineRule="exact"/>
        <w:rPr>
          <w:sz w:val="20"/>
          <w:szCs w:val="20"/>
          <w:color w:val="auto"/>
        </w:rPr>
      </w:pPr>
    </w:p>
    <w:p>
      <w:pPr>
        <w:spacing w:after="0" w:line="301" w:lineRule="exact"/>
        <w:rPr>
          <w:sz w:val="20"/>
          <w:szCs w:val="20"/>
          <w:color w:val="auto"/>
        </w:rPr>
      </w:pPr>
    </w:p>
    <w:p>
      <w:pPr>
        <w:ind w:right="240" w:firstLine="449"/>
        <w:spacing w:after="0" w:line="261" w:lineRule="auto"/>
        <w:rPr>
          <w:sz w:val="20"/>
          <w:szCs w:val="20"/>
          <w:color w:val="auto"/>
        </w:rPr>
      </w:pPr>
      <w:r>
        <w:rPr>
          <w:rFonts w:ascii="Times New Roman" w:cs="Times New Roman" w:eastAsia="Times New Roman" w:hAnsi="Times New Roman"/>
          <w:sz w:val="14"/>
          <w:szCs w:val="14"/>
          <w:color w:val="auto"/>
        </w:rPr>
        <w:t>We take precautions to maintain the privacy of personal information concerning our investors. These precautions include the adoption of certain procedures designed to maintain and secure your nonpublic personal information from inappropriate disclosure to unaffiliated third parties. We are sending this notice in accordance with applicable federal regulations. This notice applies to investors in PennantPark Investment Corporation and PennantPark Floating Rate Capital Ltd. (collectively, the “Corporation”).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rPr>
        <w:t>What kind of personal information do we have about you and where did we get it?</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We collect nonpublic personal information about you from the following sources:</w:t>
      </w:r>
    </w:p>
    <w:p>
      <w:pPr>
        <w:spacing w:after="0" w:line="109" w:lineRule="exact"/>
        <w:rPr>
          <w:sz w:val="20"/>
          <w:szCs w:val="20"/>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we may receive from you in subscription agreements or other related documents or forms; and</w:t>
      </w:r>
    </w:p>
    <w:p>
      <w:pPr>
        <w:spacing w:after="0" w:line="122"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about your transactions with our affiliates and us.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do we protect your personal information?</w:t>
      </w:r>
    </w:p>
    <w:p>
      <w:pPr>
        <w:spacing w:after="0" w:line="2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We do not disclose any nonpublic personal information about our investors or former investors to anyone, except as permitted by law.</w:t>
      </w:r>
    </w:p>
    <w:p>
      <w:pPr>
        <w:spacing w:after="0" w:line="244" w:lineRule="exact"/>
        <w:rPr>
          <w:sz w:val="20"/>
          <w:szCs w:val="20"/>
          <w:color w:val="auto"/>
        </w:rPr>
      </w:pPr>
    </w:p>
    <w:p>
      <w:pPr>
        <w:ind w:right="120" w:firstLine="449"/>
        <w:spacing w:after="0" w:line="261" w:lineRule="auto"/>
        <w:rPr>
          <w:sz w:val="20"/>
          <w:szCs w:val="20"/>
          <w:color w:val="auto"/>
        </w:rPr>
      </w:pPr>
      <w:r>
        <w:rPr>
          <w:rFonts w:ascii="Times New Roman" w:cs="Times New Roman" w:eastAsia="Times New Roman" w:hAnsi="Times New Roman"/>
          <w:sz w:val="14"/>
          <w:szCs w:val="14"/>
          <w:color w:val="auto"/>
        </w:rPr>
        <w:t>We restrict access to nonpublic personal information about you to those employees and agents of PennantPark Investment Advisers, LLC, its affiliates and unaffiliated third party service providers (which may include a custodian, transfer agent or printer) who need to know that information in order to provide services to you or to the Corporation. In that regard, we note that we maintain physical, electronic, and procedural safeguards that comply with federal standards to safeguard your nonpublic personal information and which we believe is adequate to prevent unauthorized disclosure of such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What do we do with personal information about our former investors?</w:t>
      </w:r>
    </w:p>
    <w:p>
      <w:pPr>
        <w:spacing w:after="0" w:line="248" w:lineRule="exact"/>
        <w:rPr>
          <w:sz w:val="20"/>
          <w:szCs w:val="20"/>
          <w:color w:val="auto"/>
        </w:rPr>
      </w:pPr>
    </w:p>
    <w:p>
      <w:pPr>
        <w:ind w:right="220" w:firstLine="449"/>
        <w:spacing w:after="0" w:line="282" w:lineRule="auto"/>
        <w:rPr>
          <w:sz w:val="20"/>
          <w:szCs w:val="20"/>
          <w:color w:val="auto"/>
        </w:rPr>
      </w:pPr>
      <w:r>
        <w:rPr>
          <w:rFonts w:ascii="Times New Roman" w:cs="Times New Roman" w:eastAsia="Times New Roman" w:hAnsi="Times New Roman"/>
          <w:sz w:val="14"/>
          <w:szCs w:val="14"/>
          <w:color w:val="auto"/>
        </w:rPr>
        <w:t>If an investor decides to no longer do business with us, we will continue to follow this privacy policy with respect to the information we have in our possession about such investor and his/her account.</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If you have any questions concerning our privacy policies, please contact our Chief Financial Officer, Richard T. Allorto, Jr., at (212) 905-1001.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jc w:val="right"/>
        <w:spacing w:after="0"/>
        <w:rPr>
          <w:sz w:val="20"/>
          <w:szCs w:val="20"/>
          <w:color w:val="auto"/>
        </w:rPr>
      </w:pPr>
      <w:r>
        <w:rPr>
          <w:rFonts w:ascii="Calibri" w:cs="Calibri" w:eastAsia="Calibri" w:hAnsi="Calibri"/>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660"/>
        <w:spacing w:after="0"/>
        <w:rPr>
          <w:sz w:val="20"/>
          <w:szCs w:val="20"/>
          <w:color w:val="auto"/>
        </w:rPr>
      </w:pPr>
      <w:r>
        <w:rPr>
          <w:rFonts w:ascii="Trebuchet MS" w:cs="Trebuchet MS" w:eastAsia="Trebuchet MS" w:hAnsi="Trebuchet MS"/>
          <w:sz w:val="29"/>
          <w:szCs w:val="29"/>
          <w:b w:val="1"/>
          <w:bCs w:val="1"/>
          <w:color w:val="auto"/>
        </w:rPr>
        <w:t>RAM ENERGY HOLDINGS LLC AND</w:t>
      </w:r>
    </w:p>
    <w:p>
      <w:pPr>
        <w:spacing w:after="0" w:line="41" w:lineRule="exact"/>
        <w:rPr>
          <w:sz w:val="20"/>
          <w:szCs w:val="20"/>
          <w:color w:val="auto"/>
        </w:rPr>
      </w:pPr>
    </w:p>
    <w:p>
      <w:pPr>
        <w:ind w:left="3660"/>
        <w:spacing w:after="0"/>
        <w:rPr>
          <w:sz w:val="20"/>
          <w:szCs w:val="20"/>
          <w:color w:val="auto"/>
        </w:rPr>
      </w:pPr>
      <w:r>
        <w:rPr>
          <w:rFonts w:ascii="Trebuchet MS" w:cs="Trebuchet MS" w:eastAsia="Trebuchet MS" w:hAnsi="Trebuchet MS"/>
          <w:sz w:val="29"/>
          <w:szCs w:val="29"/>
          <w:b w:val="1"/>
          <w:bCs w:val="1"/>
          <w:color w:val="auto"/>
        </w:rPr>
        <w:t>SUBSIDIARIES</w:t>
      </w:r>
    </w:p>
    <w:p>
      <w:pPr>
        <w:spacing w:after="0" w:line="234" w:lineRule="exact"/>
        <w:rPr>
          <w:sz w:val="20"/>
          <w:szCs w:val="20"/>
          <w:color w:val="auto"/>
        </w:rPr>
      </w:pPr>
    </w:p>
    <w:p>
      <w:pPr>
        <w:ind w:left="3660"/>
        <w:spacing w:after="0"/>
        <w:rPr>
          <w:sz w:val="20"/>
          <w:szCs w:val="20"/>
          <w:color w:val="auto"/>
        </w:rPr>
      </w:pPr>
      <w:r>
        <w:rPr>
          <w:rFonts w:ascii="Trebuchet MS" w:cs="Trebuchet MS" w:eastAsia="Trebuchet MS" w:hAnsi="Trebuchet MS"/>
          <w:sz w:val="25"/>
          <w:szCs w:val="25"/>
          <w:color w:val="auto"/>
        </w:rPr>
        <w:t>Consolidated Financial Statements</w:t>
      </w:r>
    </w:p>
    <w:p>
      <w:pPr>
        <w:spacing w:after="0" w:line="243" w:lineRule="exact"/>
        <w:rPr>
          <w:sz w:val="20"/>
          <w:szCs w:val="20"/>
          <w:color w:val="auto"/>
        </w:rPr>
      </w:pPr>
    </w:p>
    <w:p>
      <w:pPr>
        <w:ind w:left="3660"/>
        <w:spacing w:after="0"/>
        <w:rPr>
          <w:sz w:val="20"/>
          <w:szCs w:val="20"/>
          <w:color w:val="auto"/>
        </w:rPr>
      </w:pPr>
      <w:r>
        <w:rPr>
          <w:rFonts w:ascii="Trebuchet MS" w:cs="Trebuchet MS" w:eastAsia="Trebuchet MS" w:hAnsi="Trebuchet MS"/>
          <w:sz w:val="22"/>
          <w:szCs w:val="22"/>
          <w:color w:val="auto"/>
        </w:rPr>
        <w:t>As of and for the Year Ended September</w:t>
      </w:r>
    </w:p>
    <w:p>
      <w:pPr>
        <w:spacing w:after="0" w:line="1" w:lineRule="exact"/>
        <w:rPr>
          <w:sz w:val="20"/>
          <w:szCs w:val="20"/>
          <w:color w:val="auto"/>
        </w:rPr>
      </w:pPr>
    </w:p>
    <w:p>
      <w:pPr>
        <w:ind w:left="3660"/>
        <w:spacing w:after="0"/>
        <w:rPr>
          <w:sz w:val="20"/>
          <w:szCs w:val="20"/>
          <w:color w:val="auto"/>
        </w:rPr>
      </w:pPr>
      <w:r>
        <w:rPr>
          <w:rFonts w:ascii="Trebuchet MS" w:cs="Trebuchet MS" w:eastAsia="Trebuchet MS" w:hAnsi="Trebuchet MS"/>
          <w:sz w:val="22"/>
          <w:szCs w:val="22"/>
          <w:color w:val="auto"/>
        </w:rPr>
        <w:t>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2816860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92" w:right="459" w:bottom="1440" w:gutter="0" w:footer="0" w:header="0"/>
        </w:sectPr>
      </w:pPr>
    </w:p>
    <w:bookmarkStart w:id="120" w:name="page121"/>
    <w:bookmarkEnd w:id="120"/>
    <w:p>
      <w:pPr>
        <w:ind w:left="2620"/>
        <w:spacing w:after="0"/>
        <w:rPr>
          <w:sz w:val="20"/>
          <w:szCs w:val="20"/>
          <w:color w:val="auto"/>
        </w:rPr>
      </w:pPr>
      <w:r>
        <w:rPr>
          <w:rFonts w:ascii="Trebuchet MS" w:cs="Trebuchet MS" w:eastAsia="Trebuchet MS" w:hAnsi="Trebuchet MS"/>
          <w:sz w:val="29"/>
          <w:szCs w:val="29"/>
          <w:b w:val="1"/>
          <w:bCs w:val="1"/>
          <w:color w:val="auto"/>
        </w:rPr>
        <w:t>RAM ENERGY HOLDINGS LLC</w:t>
      </w:r>
    </w:p>
    <w:p>
      <w:pPr>
        <w:spacing w:after="0" w:line="41" w:lineRule="exact"/>
        <w:rPr>
          <w:sz w:val="20"/>
          <w:szCs w:val="20"/>
          <w:color w:val="auto"/>
        </w:rPr>
      </w:pPr>
    </w:p>
    <w:p>
      <w:pPr>
        <w:ind w:left="3440"/>
        <w:spacing w:after="0"/>
        <w:rPr>
          <w:sz w:val="20"/>
          <w:szCs w:val="20"/>
          <w:color w:val="auto"/>
        </w:rPr>
      </w:pPr>
      <w:r>
        <w:rPr>
          <w:rFonts w:ascii="Trebuchet MS" w:cs="Trebuchet MS" w:eastAsia="Trebuchet MS" w:hAnsi="Trebuchet MS"/>
          <w:sz w:val="29"/>
          <w:szCs w:val="29"/>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15875</wp:posOffset>
            </wp:positionV>
            <wp:extent cx="7132320" cy="2603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8" w:lineRule="exact"/>
        <w:rPr>
          <w:sz w:val="20"/>
          <w:szCs w:val="20"/>
          <w:color w:val="auto"/>
        </w:rPr>
      </w:pPr>
    </w:p>
    <w:p>
      <w:pPr>
        <w:jc w:val="center"/>
        <w:ind w:right="39"/>
        <w:spacing w:after="0"/>
        <w:rPr>
          <w:sz w:val="20"/>
          <w:szCs w:val="20"/>
          <w:color w:val="auto"/>
        </w:rPr>
      </w:pPr>
      <w:r>
        <w:rPr>
          <w:rFonts w:ascii="Trebuchet MS" w:cs="Trebuchet MS" w:eastAsia="Trebuchet MS" w:hAnsi="Trebuchet MS"/>
          <w:sz w:val="25"/>
          <w:szCs w:val="25"/>
          <w:color w:val="auto"/>
        </w:rPr>
        <w:t>Consolidated Financial Statements</w:t>
      </w:r>
    </w:p>
    <w:p>
      <w:pPr>
        <w:spacing w:after="0" w:line="216" w:lineRule="exact"/>
        <w:rPr>
          <w:sz w:val="20"/>
          <w:szCs w:val="20"/>
          <w:color w:val="auto"/>
        </w:rPr>
      </w:pPr>
    </w:p>
    <w:p>
      <w:pPr>
        <w:jc w:val="center"/>
        <w:ind w:right="99"/>
        <w:spacing w:after="0"/>
        <w:rPr>
          <w:sz w:val="20"/>
          <w:szCs w:val="20"/>
          <w:color w:val="auto"/>
        </w:rPr>
      </w:pPr>
      <w:r>
        <w:rPr>
          <w:rFonts w:ascii="Trebuchet MS" w:cs="Trebuchet MS" w:eastAsia="Trebuchet MS" w:hAnsi="Trebuchet MS"/>
          <w:sz w:val="21"/>
          <w:szCs w:val="21"/>
          <w:color w:val="auto"/>
        </w:rPr>
        <w:t>As of and for the Year Ended September</w:t>
      </w:r>
    </w:p>
    <w:p>
      <w:pPr>
        <w:spacing w:after="0" w:line="13" w:lineRule="exact"/>
        <w:rPr>
          <w:sz w:val="20"/>
          <w:szCs w:val="20"/>
          <w:color w:val="auto"/>
        </w:rPr>
      </w:pPr>
    </w:p>
    <w:p>
      <w:pPr>
        <w:jc w:val="center"/>
        <w:ind w:right="39"/>
        <w:spacing w:after="0"/>
        <w:rPr>
          <w:sz w:val="20"/>
          <w:szCs w:val="20"/>
          <w:color w:val="auto"/>
        </w:rPr>
      </w:pPr>
      <w:r>
        <w:rPr>
          <w:rFonts w:ascii="Trebuchet MS" w:cs="Trebuchet MS" w:eastAsia="Trebuchet MS" w:hAnsi="Trebuchet MS"/>
          <w:sz w:val="22"/>
          <w:szCs w:val="22"/>
          <w:color w:val="auto"/>
        </w:rPr>
        <w:t>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974090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64" w:right="1440" w:bottom="1440" w:gutter="0" w:footer="0" w:header="0"/>
        </w:sectPr>
      </w:pPr>
    </w:p>
    <w:bookmarkStart w:id="121" w:name="page122"/>
    <w:bookmarkEnd w:id="121"/>
    <w:p>
      <w:pPr>
        <w:jc w:val="center"/>
        <w:ind w:right="-59"/>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64" w:lineRule="exact"/>
        <w:rPr>
          <w:sz w:val="20"/>
          <w:szCs w:val="20"/>
          <w:color w:val="auto"/>
        </w:rPr>
      </w:pPr>
    </w:p>
    <w:p>
      <w:pPr>
        <w:jc w:val="center"/>
        <w:ind w:right="-79"/>
        <w:spacing w:after="0"/>
        <w:rPr>
          <w:sz w:val="20"/>
          <w:szCs w:val="20"/>
          <w:color w:val="auto"/>
        </w:rPr>
      </w:pPr>
      <w:r>
        <w:rPr>
          <w:rFonts w:ascii="Trebuchet MS" w:cs="Trebuchet MS" w:eastAsia="Trebuchet MS" w:hAnsi="Trebuchet MS"/>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32320"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320" w:type="dxa"/>
            <w:vAlign w:val="bottom"/>
            <w:gridSpan w:val="6"/>
            <w:vMerge w:val="restart"/>
          </w:tcPr>
          <w:p>
            <w:pPr>
              <w:spacing w:after="0"/>
              <w:rPr>
                <w:sz w:val="20"/>
                <w:szCs w:val="20"/>
                <w:color w:val="auto"/>
              </w:rPr>
            </w:pPr>
            <w:r>
              <w:rPr>
                <w:rFonts w:ascii="Trebuchet MS" w:cs="Trebuchet MS" w:eastAsia="Trebuchet MS" w:hAnsi="Trebuchet MS"/>
                <w:sz w:val="19"/>
                <w:szCs w:val="19"/>
                <w:b w:val="1"/>
                <w:bCs w:val="1"/>
                <w:color w:val="0000FF"/>
              </w:rPr>
              <w:t>Independent Auditor’s Report</w:t>
            </w:r>
          </w:p>
        </w:tc>
        <w:tc>
          <w:tcPr>
            <w:tcW w:w="3800" w:type="dxa"/>
            <w:vAlign w:val="bottom"/>
          </w:tcPr>
          <w:p>
            <w:pPr>
              <w:ind w:left="3380"/>
              <w:spacing w:after="0"/>
              <w:rPr>
                <w:sz w:val="20"/>
                <w:szCs w:val="20"/>
                <w:color w:val="auto"/>
              </w:rPr>
            </w:pPr>
            <w:r>
              <w:rPr>
                <w:rFonts w:ascii="Trebuchet MS" w:cs="Trebuchet MS" w:eastAsia="Trebuchet MS" w:hAnsi="Trebuchet MS"/>
                <w:sz w:val="19"/>
                <w:szCs w:val="19"/>
                <w:b w:val="1"/>
                <w:bCs w:val="1"/>
                <w:color w:val="auto"/>
                <w:w w:val="95"/>
              </w:rPr>
              <w:t>Page</w:t>
            </w:r>
          </w:p>
        </w:tc>
        <w:tc>
          <w:tcPr>
            <w:tcW w:w="0" w:type="dxa"/>
            <w:vAlign w:val="bottom"/>
          </w:tcPr>
          <w:p>
            <w:pPr>
              <w:spacing w:after="0"/>
              <w:rPr>
                <w:sz w:val="1"/>
                <w:szCs w:val="1"/>
                <w:color w:val="auto"/>
              </w:rPr>
            </w:pPr>
          </w:p>
        </w:tc>
      </w:tr>
      <w:tr>
        <w:trPr>
          <w:trHeight w:val="193"/>
        </w:trPr>
        <w:tc>
          <w:tcPr>
            <w:tcW w:w="7320" w:type="dxa"/>
            <w:vAlign w:val="bottom"/>
            <w:gridSpan w:val="6"/>
            <w:vMerge w:val="continue"/>
          </w:tcPr>
          <w:p>
            <w:pPr>
              <w:spacing w:after="0"/>
              <w:rPr>
                <w:sz w:val="16"/>
                <w:szCs w:val="16"/>
                <w:color w:val="auto"/>
              </w:rPr>
            </w:pPr>
          </w:p>
        </w:tc>
        <w:tc>
          <w:tcPr>
            <w:tcW w:w="3800" w:type="dxa"/>
            <w:vAlign w:val="bottom"/>
          </w:tcPr>
          <w:p>
            <w:pPr>
              <w:jc w:val="center"/>
              <w:ind w:left="3286"/>
              <w:spacing w:after="0" w:line="193" w:lineRule="exact"/>
              <w:rPr>
                <w:sz w:val="20"/>
                <w:szCs w:val="20"/>
                <w:color w:val="auto"/>
              </w:rPr>
            </w:pPr>
            <w:r>
              <w:rPr>
                <w:rFonts w:ascii="Trebuchet MS" w:cs="Trebuchet MS" w:eastAsia="Trebuchet MS" w:hAnsi="Trebuchet MS"/>
                <w:sz w:val="19"/>
                <w:szCs w:val="19"/>
                <w:color w:val="auto"/>
                <w:w w:val="96"/>
              </w:rPr>
              <w:t>3-4</w:t>
            </w:r>
          </w:p>
        </w:tc>
        <w:tc>
          <w:tcPr>
            <w:tcW w:w="0" w:type="dxa"/>
            <w:vAlign w:val="bottom"/>
          </w:tcPr>
          <w:p>
            <w:pPr>
              <w:spacing w:after="0"/>
              <w:rPr>
                <w:sz w:val="1"/>
                <w:szCs w:val="1"/>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7320" w:type="dxa"/>
            <w:vAlign w:val="bottom"/>
            <w:gridSpan w:val="6"/>
          </w:tcPr>
          <w:p>
            <w:pPr>
              <w:spacing w:after="0"/>
              <w:rPr>
                <w:sz w:val="20"/>
                <w:szCs w:val="20"/>
                <w:color w:val="auto"/>
              </w:rPr>
            </w:pPr>
            <w:r>
              <w:rPr>
                <w:rFonts w:ascii="Trebuchet MS" w:cs="Trebuchet MS" w:eastAsia="Trebuchet MS" w:hAnsi="Trebuchet MS"/>
                <w:sz w:val="19"/>
                <w:szCs w:val="19"/>
                <w:b w:val="1"/>
                <w:bCs w:val="1"/>
                <w:color w:val="auto"/>
              </w:rPr>
              <w:t>Consolidated Financial Statements</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20" w:type="dxa"/>
            <w:vAlign w:val="bottom"/>
          </w:tcPr>
          <w:p>
            <w:pPr>
              <w:spacing w:after="0"/>
              <w:rPr>
                <w:sz w:val="24"/>
                <w:szCs w:val="24"/>
                <w:color w:val="auto"/>
              </w:rPr>
            </w:pPr>
          </w:p>
        </w:tc>
        <w:tc>
          <w:tcPr>
            <w:tcW w:w="4560" w:type="dxa"/>
            <w:vAlign w:val="bottom"/>
            <w:tcBorders>
              <w:bottom w:val="single" w:sz="8" w:color="0000FF"/>
            </w:tcBorders>
            <w:gridSpan w:val="3"/>
          </w:tcPr>
          <w:p>
            <w:pPr>
              <w:spacing w:after="0"/>
              <w:rPr>
                <w:sz w:val="20"/>
                <w:szCs w:val="20"/>
                <w:color w:val="auto"/>
              </w:rPr>
            </w:pPr>
            <w:r>
              <w:rPr>
                <w:rFonts w:ascii="Trebuchet MS" w:cs="Trebuchet MS" w:eastAsia="Trebuchet MS" w:hAnsi="Trebuchet MS"/>
                <w:sz w:val="19"/>
                <w:szCs w:val="19"/>
                <w:color w:val="0000FF"/>
                <w:w w:val="99"/>
              </w:rPr>
              <w:t>Consolidated Balance Sheet as of September 30, 2021</w:t>
            </w:r>
          </w:p>
        </w:tc>
        <w:tc>
          <w:tcPr>
            <w:tcW w:w="2540" w:type="dxa"/>
            <w:vAlign w:val="bottom"/>
            <w:gridSpan w:val="2"/>
          </w:tcPr>
          <w:p>
            <w:pPr>
              <w:spacing w:after="0"/>
              <w:rPr>
                <w:sz w:val="24"/>
                <w:szCs w:val="24"/>
                <w:color w:val="auto"/>
              </w:rPr>
            </w:pPr>
          </w:p>
        </w:tc>
        <w:tc>
          <w:tcPr>
            <w:tcW w:w="3800" w:type="dxa"/>
            <w:vAlign w:val="bottom"/>
          </w:tcPr>
          <w:p>
            <w:pPr>
              <w:jc w:val="center"/>
              <w:ind w:left="3286"/>
              <w:spacing w:after="0"/>
              <w:rPr>
                <w:sz w:val="20"/>
                <w:szCs w:val="20"/>
                <w:color w:val="auto"/>
              </w:rPr>
            </w:pPr>
            <w:r>
              <w:rPr>
                <w:rFonts w:ascii="Trebuchet MS" w:cs="Trebuchet MS" w:eastAsia="Trebuchet MS" w:hAnsi="Trebuchet MS"/>
                <w:sz w:val="19"/>
                <w:szCs w:val="19"/>
                <w:color w:val="auto"/>
                <w:w w:val="99"/>
              </w:rPr>
              <w:t>6</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6620" w:type="dxa"/>
            <w:vAlign w:val="bottom"/>
            <w:tcBorders>
              <w:bottom w:val="single" w:sz="8" w:color="0000FF"/>
            </w:tcBorders>
            <w:gridSpan w:val="4"/>
          </w:tcPr>
          <w:p>
            <w:pPr>
              <w:spacing w:after="0"/>
              <w:rPr>
                <w:sz w:val="20"/>
                <w:szCs w:val="20"/>
                <w:color w:val="auto"/>
              </w:rPr>
            </w:pPr>
            <w:r>
              <w:rPr>
                <w:rFonts w:ascii="Trebuchet MS" w:cs="Trebuchet MS" w:eastAsia="Trebuchet MS" w:hAnsi="Trebuchet MS"/>
                <w:sz w:val="19"/>
                <w:szCs w:val="19"/>
                <w:color w:val="0000FF"/>
                <w:w w:val="98"/>
              </w:rPr>
              <w:t>Consolidated Statement of Operations for the Year Ended September 30, 2021</w:t>
            </w:r>
          </w:p>
        </w:tc>
        <w:tc>
          <w:tcPr>
            <w:tcW w:w="480" w:type="dxa"/>
            <w:vAlign w:val="bottom"/>
          </w:tcPr>
          <w:p>
            <w:pPr>
              <w:spacing w:after="0"/>
              <w:rPr>
                <w:sz w:val="24"/>
                <w:szCs w:val="24"/>
                <w:color w:val="auto"/>
              </w:rPr>
            </w:pPr>
          </w:p>
        </w:tc>
        <w:tc>
          <w:tcPr>
            <w:tcW w:w="3800" w:type="dxa"/>
            <w:vAlign w:val="bottom"/>
          </w:tcPr>
          <w:p>
            <w:pPr>
              <w:jc w:val="center"/>
              <w:ind w:left="3286"/>
              <w:spacing w:after="0"/>
              <w:rPr>
                <w:sz w:val="20"/>
                <w:szCs w:val="20"/>
                <w:color w:val="auto"/>
              </w:rPr>
            </w:pPr>
            <w:r>
              <w:rPr>
                <w:rFonts w:ascii="Trebuchet MS" w:cs="Trebuchet MS" w:eastAsia="Trebuchet MS" w:hAnsi="Trebuchet MS"/>
                <w:sz w:val="19"/>
                <w:szCs w:val="19"/>
                <w:color w:val="auto"/>
                <w:w w:val="99"/>
              </w:rPr>
              <w:t>7</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7100" w:type="dxa"/>
            <w:vAlign w:val="bottom"/>
            <w:tcBorders>
              <w:bottom w:val="single" w:sz="8" w:color="0000FF"/>
            </w:tcBorders>
            <w:gridSpan w:val="5"/>
          </w:tcPr>
          <w:p>
            <w:pPr>
              <w:spacing w:after="0"/>
              <w:rPr>
                <w:sz w:val="20"/>
                <w:szCs w:val="20"/>
                <w:color w:val="auto"/>
              </w:rPr>
            </w:pPr>
            <w:r>
              <w:rPr>
                <w:rFonts w:ascii="Trebuchet MS" w:cs="Trebuchet MS" w:eastAsia="Trebuchet MS" w:hAnsi="Trebuchet MS"/>
                <w:sz w:val="19"/>
                <w:szCs w:val="19"/>
                <w:color w:val="0000FF"/>
                <w:w w:val="98"/>
              </w:rPr>
              <w:t>Consolidated Statement of Member’s Equity for the Year Ended September 30, 2021</w:t>
            </w:r>
          </w:p>
        </w:tc>
        <w:tc>
          <w:tcPr>
            <w:tcW w:w="3800" w:type="dxa"/>
            <w:vAlign w:val="bottom"/>
          </w:tcPr>
          <w:p>
            <w:pPr>
              <w:jc w:val="center"/>
              <w:ind w:left="3286"/>
              <w:spacing w:after="0"/>
              <w:rPr>
                <w:sz w:val="20"/>
                <w:szCs w:val="20"/>
                <w:color w:val="auto"/>
              </w:rPr>
            </w:pPr>
            <w:r>
              <w:rPr>
                <w:rFonts w:ascii="Trebuchet MS" w:cs="Trebuchet MS" w:eastAsia="Trebuchet MS" w:hAnsi="Trebuchet MS"/>
                <w:sz w:val="19"/>
                <w:szCs w:val="19"/>
                <w:color w:val="auto"/>
                <w:w w:val="99"/>
              </w:rPr>
              <w:t>8</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7100" w:type="dxa"/>
            <w:vAlign w:val="bottom"/>
            <w:gridSpan w:val="5"/>
          </w:tcPr>
          <w:p>
            <w:pPr>
              <w:spacing w:after="0"/>
              <w:rPr>
                <w:sz w:val="20"/>
                <w:szCs w:val="20"/>
                <w:color w:val="auto"/>
              </w:rPr>
            </w:pPr>
            <w:r>
              <w:rPr>
                <w:rFonts w:ascii="Trebuchet MS" w:cs="Trebuchet MS" w:eastAsia="Trebuchet MS" w:hAnsi="Trebuchet MS"/>
                <w:sz w:val="19"/>
                <w:szCs w:val="19"/>
                <w:color w:val="0000FF"/>
              </w:rPr>
              <w:t>Consolidated Statement of Cash Flows for the Year Ended September 30, 2021</w:t>
            </w:r>
          </w:p>
        </w:tc>
        <w:tc>
          <w:tcPr>
            <w:tcW w:w="3800" w:type="dxa"/>
            <w:vAlign w:val="bottom"/>
          </w:tcPr>
          <w:p>
            <w:pPr>
              <w:jc w:val="center"/>
              <w:ind w:left="3286"/>
              <w:spacing w:after="0"/>
              <w:rPr>
                <w:sz w:val="20"/>
                <w:szCs w:val="20"/>
                <w:color w:val="auto"/>
              </w:rPr>
            </w:pPr>
            <w:r>
              <w:rPr>
                <w:rFonts w:ascii="Trebuchet MS" w:cs="Trebuchet MS" w:eastAsia="Trebuchet MS" w:hAnsi="Trebuchet MS"/>
                <w:sz w:val="19"/>
                <w:szCs w:val="19"/>
                <w:color w:val="auto"/>
                <w:w w:val="99"/>
              </w:rPr>
              <w:t>9</w:t>
            </w:r>
          </w:p>
        </w:tc>
        <w:tc>
          <w:tcPr>
            <w:tcW w:w="0" w:type="dxa"/>
            <w:vAlign w:val="bottom"/>
          </w:tcPr>
          <w:p>
            <w:pPr>
              <w:spacing w:after="0"/>
              <w:rPr>
                <w:sz w:val="1"/>
                <w:szCs w:val="1"/>
                <w:color w:val="auto"/>
              </w:rPr>
            </w:pPr>
          </w:p>
        </w:tc>
      </w:tr>
      <w:tr>
        <w:trPr>
          <w:trHeight w:val="439"/>
        </w:trPr>
        <w:tc>
          <w:tcPr>
            <w:tcW w:w="220" w:type="dxa"/>
            <w:vAlign w:val="bottom"/>
          </w:tcPr>
          <w:p>
            <w:pPr>
              <w:spacing w:after="0"/>
              <w:rPr>
                <w:sz w:val="24"/>
                <w:szCs w:val="24"/>
                <w:color w:val="auto"/>
              </w:rPr>
            </w:pPr>
          </w:p>
        </w:tc>
        <w:tc>
          <w:tcPr>
            <w:tcW w:w="3700" w:type="dxa"/>
            <w:vAlign w:val="bottom"/>
            <w:tcBorders>
              <w:top w:val="single" w:sz="8" w:color="0000FF"/>
              <w:bottom w:val="single" w:sz="8" w:color="0000FF"/>
            </w:tcBorders>
            <w:gridSpan w:val="2"/>
          </w:tcPr>
          <w:p>
            <w:pPr>
              <w:spacing w:after="0"/>
              <w:rPr>
                <w:sz w:val="20"/>
                <w:szCs w:val="20"/>
                <w:color w:val="auto"/>
              </w:rPr>
            </w:pPr>
            <w:r>
              <w:rPr>
                <w:rFonts w:ascii="Trebuchet MS" w:cs="Trebuchet MS" w:eastAsia="Trebuchet MS" w:hAnsi="Trebuchet MS"/>
                <w:sz w:val="19"/>
                <w:szCs w:val="19"/>
                <w:color w:val="0000FF"/>
                <w:w w:val="99"/>
              </w:rPr>
              <w:t>Notes to Consolidated Financial Statements</w:t>
            </w:r>
          </w:p>
        </w:tc>
        <w:tc>
          <w:tcPr>
            <w:tcW w:w="2920" w:type="dxa"/>
            <w:vAlign w:val="bottom"/>
            <w:tcBorders>
              <w:top w:val="single" w:sz="8" w:color="0000FF"/>
            </w:tcBorders>
            <w:gridSpan w:val="2"/>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tcPr>
          <w:p>
            <w:pPr>
              <w:jc w:val="center"/>
              <w:ind w:left="3286"/>
              <w:spacing w:after="0"/>
              <w:rPr>
                <w:sz w:val="20"/>
                <w:szCs w:val="20"/>
                <w:color w:val="auto"/>
              </w:rPr>
            </w:pPr>
            <w:r>
              <w:rPr>
                <w:rFonts w:ascii="Trebuchet MS" w:cs="Trebuchet MS" w:eastAsia="Trebuchet MS" w:hAnsi="Trebuchet MS"/>
                <w:sz w:val="19"/>
                <w:szCs w:val="19"/>
                <w:color w:val="auto"/>
                <w:w w:val="96"/>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rebuchet MS" w:cs="Trebuchet MS" w:eastAsia="Trebuchet MS" w:hAnsi="Trebuchet MS"/>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53975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40" w:top="190" w:right="439" w:bottom="1440" w:gutter="0" w:footer="0" w:header="0"/>
        </w:sectPr>
      </w:pPr>
    </w:p>
    <w:bookmarkStart w:id="122" w:name="page123"/>
    <w:bookmarkEnd w:id="122"/>
    <w:p>
      <w:pPr>
        <w:spacing w:after="0"/>
        <w:rPr>
          <w:sz w:val="20"/>
          <w:szCs w:val="20"/>
          <w:color w:val="auto"/>
        </w:rPr>
      </w:pPr>
      <w:r>
        <w:rPr>
          <w:rFonts w:ascii="Trebuchet MS" w:cs="Trebuchet MS" w:eastAsia="Trebuchet MS" w:hAnsi="Trebuchet MS"/>
          <w:sz w:val="22"/>
          <w:szCs w:val="22"/>
          <w:b w:val="1"/>
          <w:bCs w:val="1"/>
          <w:color w:val="auto"/>
        </w:rPr>
        <w:t>Independent Auditor’s Report</w:t>
      </w:r>
    </w:p>
    <w:p>
      <w:pPr>
        <w:spacing w:after="0" w:line="232"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To the Board of Directors</w:t>
      </w:r>
    </w:p>
    <w:p>
      <w:pPr>
        <w:spacing w:after="0" w:line="234" w:lineRule="auto"/>
        <w:rPr>
          <w:sz w:val="20"/>
          <w:szCs w:val="20"/>
          <w:color w:val="auto"/>
        </w:rPr>
      </w:pPr>
      <w:r>
        <w:rPr>
          <w:rFonts w:ascii="Trebuchet MS" w:cs="Trebuchet MS" w:eastAsia="Trebuchet MS" w:hAnsi="Trebuchet MS"/>
          <w:sz w:val="19"/>
          <w:szCs w:val="19"/>
          <w:color w:val="auto"/>
        </w:rPr>
        <w:t>RAM Energy Holdings LLC</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Tulsa, Oklahoma</w:t>
      </w:r>
    </w:p>
    <w:p>
      <w:pPr>
        <w:spacing w:after="0" w:line="12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Opinion</w:t>
      </w:r>
    </w:p>
    <w:p>
      <w:pPr>
        <w:spacing w:after="0" w:line="207" w:lineRule="exact"/>
        <w:rPr>
          <w:sz w:val="20"/>
          <w:szCs w:val="20"/>
          <w:color w:val="auto"/>
        </w:rPr>
      </w:pPr>
    </w:p>
    <w:p>
      <w:pPr>
        <w:jc w:val="both"/>
        <w:spacing w:after="0" w:line="241" w:lineRule="auto"/>
        <w:rPr>
          <w:sz w:val="20"/>
          <w:szCs w:val="20"/>
          <w:color w:val="auto"/>
        </w:rPr>
      </w:pPr>
      <w:r>
        <w:rPr>
          <w:rFonts w:ascii="Trebuchet MS" w:cs="Trebuchet MS" w:eastAsia="Trebuchet MS" w:hAnsi="Trebuchet MS"/>
          <w:sz w:val="19"/>
          <w:szCs w:val="19"/>
          <w:color w:val="auto"/>
        </w:rPr>
        <w:t>We have audited the accompanying consolidated financial statements of RAM Energy Holdings LLC and its subsidiaries (the “Company”), which comprise the consolidated balance sheet as of September 30, 2021, and the related consolidated statements of operations, member’s equity, and cash flows for the year then ended, and the related notes to the consolidated financial statements.</w:t>
      </w:r>
    </w:p>
    <w:p>
      <w:pPr>
        <w:spacing w:after="0" w:line="16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our opinion, the accompanying consolidated financial statements present fairly, in all material respects, the financial position of the Company as of September 30, 2021, and the results of its operations and its cash flows for the year then ended in accordance with accounting principles generally accepted in the United States of America.</w:t>
      </w:r>
    </w:p>
    <w:p>
      <w:pPr>
        <w:spacing w:after="0" w:line="13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Basis for Opinion</w:t>
      </w:r>
    </w:p>
    <w:p>
      <w:pPr>
        <w:spacing w:after="0" w:line="2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We conducted our audit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Responsibilites of Management for the Consolidated Financial Statements</w:t>
      </w:r>
    </w:p>
    <w:p>
      <w:pPr>
        <w:spacing w:after="0" w:line="2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spacing w:after="0" w:line="182"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preparing the consolidated financial statements, management is required to evaluate whether there are conditions or events, considered in the aggregate, that raise substantial doubt about the Company’s ability to continue as a going concern within one year after the date that the consolidated financial statements are issued or available to be issued.</w:t>
      </w:r>
    </w:p>
    <w:p>
      <w:pPr>
        <w:spacing w:after="0" w:line="12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Auditor’s Responsibilites for the Audit of the Consolidated Financial Statements</w:t>
      </w:r>
    </w:p>
    <w:p>
      <w:pPr>
        <w:spacing w:after="0" w:line="2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20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3" w:name="page124"/>
    <w:bookmarkEnd w:id="123"/>
    <w:p>
      <w:pPr>
        <w:spacing w:after="0"/>
        <w:rPr>
          <w:sz w:val="20"/>
          <w:szCs w:val="20"/>
          <w:color w:val="auto"/>
        </w:rPr>
      </w:pPr>
      <w:r>
        <w:rPr>
          <w:rFonts w:ascii="Trebuchet MS" w:cs="Trebuchet MS" w:eastAsia="Trebuchet MS" w:hAnsi="Trebuchet MS"/>
          <w:sz w:val="19"/>
          <w:szCs w:val="19"/>
          <w:color w:val="auto"/>
        </w:rPr>
        <w:t>In performing an audit in accordance with GAAS, we:</w:t>
      </w:r>
    </w:p>
    <w:p>
      <w:pPr>
        <w:spacing w:after="0" w:line="160" w:lineRule="exact"/>
        <w:rPr>
          <w:sz w:val="20"/>
          <w:szCs w:val="20"/>
          <w:color w:val="auto"/>
        </w:rPr>
      </w:pPr>
    </w:p>
    <w:p>
      <w:pPr>
        <w:ind w:left="760"/>
        <w:spacing w:after="0"/>
        <w:rPr>
          <w:sz w:val="20"/>
          <w:szCs w:val="20"/>
          <w:color w:val="auto"/>
        </w:rPr>
      </w:pPr>
      <w:r>
        <w:rPr>
          <w:rFonts w:ascii="Trebuchet MS" w:cs="Trebuchet MS" w:eastAsia="Trebuchet MS" w:hAnsi="Trebuchet MS"/>
          <w:sz w:val="19"/>
          <w:szCs w:val="19"/>
          <w:color w:val="auto"/>
        </w:rPr>
        <w:t>Exercise professional judgment and maintain professional skepticism throughout the audit.</w:t>
      </w:r>
    </w:p>
    <w:p>
      <w:pPr>
        <w:spacing w:after="0" w:line="184" w:lineRule="exact"/>
        <w:rPr>
          <w:sz w:val="20"/>
          <w:szCs w:val="20"/>
          <w:color w:val="auto"/>
        </w:rPr>
      </w:pPr>
    </w:p>
    <w:p>
      <w:pPr>
        <w:ind w:left="1140" w:firstLine="4"/>
        <w:spacing w:after="0" w:line="252" w:lineRule="auto"/>
        <w:rPr>
          <w:sz w:val="20"/>
          <w:szCs w:val="20"/>
          <w:color w:val="auto"/>
        </w:rPr>
      </w:pPr>
      <w:r>
        <w:rPr>
          <w:rFonts w:ascii="Trebuchet MS" w:cs="Trebuchet MS" w:eastAsia="Trebuchet MS" w:hAnsi="Trebuchet MS"/>
          <w:sz w:val="19"/>
          <w:szCs w:val="19"/>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155" w:lineRule="exact"/>
        <w:rPr>
          <w:sz w:val="20"/>
          <w:szCs w:val="20"/>
          <w:color w:val="auto"/>
        </w:rPr>
      </w:pPr>
    </w:p>
    <w:p>
      <w:pPr>
        <w:ind w:left="1140" w:firstLine="44"/>
        <w:spacing w:after="0" w:line="244" w:lineRule="auto"/>
        <w:rPr>
          <w:sz w:val="20"/>
          <w:szCs w:val="20"/>
          <w:color w:val="auto"/>
        </w:rPr>
      </w:pPr>
      <w:r>
        <w:rPr>
          <w:rFonts w:ascii="Trebuchet MS" w:cs="Trebuchet MS" w:eastAsia="Trebuchet MS" w:hAnsi="Trebuchet MS"/>
          <w:sz w:val="19"/>
          <w:szCs w:val="19"/>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77" w:lineRule="exact"/>
        <w:rPr>
          <w:sz w:val="20"/>
          <w:szCs w:val="20"/>
          <w:color w:val="auto"/>
        </w:rPr>
      </w:pPr>
    </w:p>
    <w:p>
      <w:pPr>
        <w:ind w:left="1140" w:firstLine="17"/>
        <w:spacing w:after="0" w:line="254" w:lineRule="auto"/>
        <w:rPr>
          <w:sz w:val="20"/>
          <w:szCs w:val="20"/>
          <w:color w:val="auto"/>
        </w:rPr>
      </w:pPr>
      <w:r>
        <w:rPr>
          <w:rFonts w:ascii="Trebuchet MS" w:cs="Trebuchet MS" w:eastAsia="Trebuchet MS" w:hAnsi="Trebuchet MS"/>
          <w:sz w:val="19"/>
          <w:szCs w:val="19"/>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54" w:lineRule="exact"/>
        <w:rPr>
          <w:sz w:val="20"/>
          <w:szCs w:val="20"/>
          <w:color w:val="auto"/>
        </w:rPr>
      </w:pPr>
    </w:p>
    <w:p>
      <w:pPr>
        <w:ind w:left="1140" w:right="20" w:firstLine="4"/>
        <w:spacing w:after="0" w:line="254" w:lineRule="auto"/>
        <w:rPr>
          <w:sz w:val="20"/>
          <w:szCs w:val="20"/>
          <w:color w:val="auto"/>
        </w:rPr>
      </w:pPr>
      <w:r>
        <w:rPr>
          <w:rFonts w:ascii="Trebuchet MS" w:cs="Trebuchet MS" w:eastAsia="Trebuchet MS" w:hAnsi="Trebuchet MS"/>
          <w:sz w:val="19"/>
          <w:szCs w:val="19"/>
          <w:color w:val="auto"/>
        </w:rPr>
        <w:t>Conclude whether, in our judgment, there are conditions or events, considered in the aggregate, that raise substantial doubt about the Company’s ability to continue as a going concern for a reasonable period of time.</w:t>
      </w:r>
    </w:p>
    <w:p>
      <w:pPr>
        <w:spacing w:after="0" w:line="17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93"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 BDO USA, LLP</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Houston, Texas</w:t>
      </w:r>
    </w:p>
    <w:p>
      <w:pPr>
        <w:spacing w:after="0"/>
        <w:rPr>
          <w:sz w:val="20"/>
          <w:szCs w:val="20"/>
          <w:color w:val="auto"/>
        </w:rPr>
      </w:pPr>
      <w:r>
        <w:rPr>
          <w:rFonts w:ascii="Trebuchet MS" w:cs="Trebuchet MS" w:eastAsia="Trebuchet MS" w:hAnsi="Trebuchet MS"/>
          <w:sz w:val="19"/>
          <w:szCs w:val="19"/>
          <w:color w:val="auto"/>
        </w:rPr>
        <w:t>November 16, 2021</w:t>
      </w:r>
    </w:p>
    <w:p>
      <w:pPr>
        <w:spacing w:after="0" w:line="225"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24" w:name="page125"/>
    <w:bookmarkEnd w:id="124"/>
    <w:p>
      <w:pPr>
        <w:jc w:val="center"/>
        <w:ind w:right="19"/>
        <w:spacing w:after="0"/>
        <w:rPr>
          <w:sz w:val="20"/>
          <w:szCs w:val="20"/>
          <w:color w:val="auto"/>
        </w:rPr>
      </w:pPr>
      <w:r>
        <w:rPr>
          <w:rFonts w:ascii="Trebuchet MS" w:cs="Trebuchet MS" w:eastAsia="Trebuchet MS" w:hAnsi="Trebuchet MS"/>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66"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313"/>
        </w:trPr>
        <w:tc>
          <w:tcPr>
            <w:tcW w:w="9660" w:type="dxa"/>
            <w:vAlign w:val="bottom"/>
          </w:tcPr>
          <w:p>
            <w:pPr>
              <w:ind w:left="316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9660" w:type="dxa"/>
            <w:vAlign w:val="bottom"/>
          </w:tcPr>
          <w:p>
            <w:pPr>
              <w:ind w:left="4240"/>
              <w:spacing w:after="0"/>
              <w:rPr>
                <w:sz w:val="20"/>
                <w:szCs w:val="20"/>
                <w:color w:val="auto"/>
              </w:rPr>
            </w:pPr>
            <w:r>
              <w:rPr>
                <w:rFonts w:ascii="Trebuchet MS" w:cs="Trebuchet MS" w:eastAsia="Trebuchet MS" w:hAnsi="Trebuchet MS"/>
                <w:sz w:val="22"/>
                <w:szCs w:val="22"/>
                <w:b w:val="1"/>
                <w:bCs w:val="1"/>
                <w:color w:val="auto"/>
              </w:rPr>
              <w:t>Consolidated Balance Sheet</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6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07"/>
        </w:trPr>
        <w:tc>
          <w:tcPr>
            <w:tcW w:w="966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1580" w:type="dxa"/>
            <w:vAlign w:val="bottom"/>
            <w:tcBorders>
              <w:bottom w:val="single" w:sz="8" w:color="auto"/>
            </w:tcBorders>
          </w:tcPr>
          <w:p>
            <w:pPr>
              <w:jc w:val="right"/>
              <w:ind w:right="746"/>
              <w:spacing w:after="0"/>
              <w:rPr>
                <w:sz w:val="20"/>
                <w:szCs w:val="20"/>
                <w:color w:val="auto"/>
              </w:rPr>
            </w:pPr>
            <w:r>
              <w:rPr>
                <w:rFonts w:ascii="Trebuchet MS" w:cs="Trebuchet MS" w:eastAsia="Trebuchet MS" w:hAnsi="Trebuchet MS"/>
                <w:sz w:val="19"/>
                <w:szCs w:val="19"/>
                <w:b w:val="1"/>
                <w:bCs w:val="1"/>
                <w:color w:val="auto"/>
              </w:rPr>
              <w:t>2021</w:t>
            </w:r>
          </w:p>
        </w:tc>
        <w:tc>
          <w:tcPr>
            <w:tcW w:w="0" w:type="dxa"/>
            <w:vAlign w:val="bottom"/>
          </w:tcPr>
          <w:p>
            <w:pPr>
              <w:spacing w:after="0"/>
              <w:rPr>
                <w:sz w:val="1"/>
                <w:szCs w:val="1"/>
                <w:color w:val="auto"/>
              </w:rPr>
            </w:pPr>
          </w:p>
        </w:tc>
      </w:tr>
      <w:tr>
        <w:trPr>
          <w:trHeight w:val="228"/>
        </w:trPr>
        <w:tc>
          <w:tcPr>
            <w:tcW w:w="96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Assets</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96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Current Assets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660" w:type="dxa"/>
            <w:vAlign w:val="bottom"/>
          </w:tcPr>
          <w:p>
            <w:pPr>
              <w:ind w:left="260"/>
              <w:spacing w:after="0"/>
              <w:rPr>
                <w:sz w:val="20"/>
                <w:szCs w:val="20"/>
                <w:color w:val="auto"/>
              </w:rPr>
            </w:pPr>
            <w:r>
              <w:rPr>
                <w:rFonts w:ascii="Trebuchet MS" w:cs="Trebuchet MS" w:eastAsia="Trebuchet MS" w:hAnsi="Trebuchet MS"/>
                <w:sz w:val="19"/>
                <w:szCs w:val="19"/>
                <w:color w:val="auto"/>
              </w:rPr>
              <w:t>Cash and cash equivalents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60" w:type="dxa"/>
            <w:vAlign w:val="bottom"/>
          </w:tcPr>
          <w:p>
            <w:pPr>
              <w:ind w:left="9260"/>
              <w:spacing w:after="0" w:line="216" w:lineRule="exact"/>
              <w:rPr>
                <w:sz w:val="20"/>
                <w:szCs w:val="20"/>
                <w:color w:val="auto"/>
              </w:rPr>
            </w:pPr>
            <w:r>
              <w:rPr>
                <w:rFonts w:ascii="Trebuchet MS" w:cs="Trebuchet MS" w:eastAsia="Trebuchet MS" w:hAnsi="Trebuchet MS"/>
                <w:sz w:val="19"/>
                <w:szCs w:val="19"/>
                <w:color w:val="auto"/>
              </w:rPr>
              <w:t>$</w:t>
            </w:r>
          </w:p>
        </w:tc>
        <w:tc>
          <w:tcPr>
            <w:tcW w:w="1580" w:type="dxa"/>
            <w:vAlign w:val="bottom"/>
          </w:tcPr>
          <w:p>
            <w:pPr>
              <w:jc w:val="right"/>
              <w:ind w:right="26"/>
              <w:spacing w:after="0" w:line="216" w:lineRule="exact"/>
              <w:rPr>
                <w:sz w:val="20"/>
                <w:szCs w:val="20"/>
                <w:color w:val="auto"/>
              </w:rPr>
            </w:pPr>
            <w:r>
              <w:rPr>
                <w:rFonts w:ascii="Trebuchet MS" w:cs="Trebuchet MS" w:eastAsia="Trebuchet MS" w:hAnsi="Trebuchet MS"/>
                <w:sz w:val="19"/>
                <w:szCs w:val="19"/>
                <w:color w:val="auto"/>
              </w:rPr>
              <w:t>27,466,302</w:t>
            </w:r>
          </w:p>
        </w:tc>
        <w:tc>
          <w:tcPr>
            <w:tcW w:w="0" w:type="dxa"/>
            <w:vAlign w:val="bottom"/>
          </w:tcPr>
          <w:p>
            <w:pPr>
              <w:spacing w:after="0"/>
              <w:rPr>
                <w:sz w:val="1"/>
                <w:szCs w:val="1"/>
                <w:color w:val="auto"/>
              </w:rPr>
            </w:pPr>
          </w:p>
        </w:tc>
      </w:tr>
      <w:tr>
        <w:trPr>
          <w:trHeight w:val="225"/>
        </w:trPr>
        <w:tc>
          <w:tcPr>
            <w:tcW w:w="9660" w:type="dxa"/>
            <w:vAlign w:val="bottom"/>
          </w:tcPr>
          <w:p>
            <w:pPr>
              <w:ind w:left="260"/>
              <w:spacing w:after="0"/>
              <w:rPr>
                <w:sz w:val="20"/>
                <w:szCs w:val="20"/>
                <w:color w:val="auto"/>
              </w:rPr>
            </w:pPr>
            <w:r>
              <w:rPr>
                <w:rFonts w:ascii="Trebuchet MS" w:cs="Trebuchet MS" w:eastAsia="Trebuchet MS" w:hAnsi="Trebuchet MS"/>
                <w:sz w:val="19"/>
                <w:szCs w:val="19"/>
                <w:color w:val="auto"/>
              </w:rPr>
              <w:t>Accounts receivable, net</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4,572,592</w:t>
            </w:r>
          </w:p>
        </w:tc>
        <w:tc>
          <w:tcPr>
            <w:tcW w:w="0" w:type="dxa"/>
            <w:vAlign w:val="bottom"/>
          </w:tcPr>
          <w:p>
            <w:pPr>
              <w:spacing w:after="0"/>
              <w:rPr>
                <w:sz w:val="1"/>
                <w:szCs w:val="1"/>
                <w:color w:val="auto"/>
              </w:rPr>
            </w:pPr>
          </w:p>
        </w:tc>
      </w:tr>
      <w:tr>
        <w:trPr>
          <w:trHeight w:val="189"/>
        </w:trPr>
        <w:tc>
          <w:tcPr>
            <w:tcW w:w="966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Derivative assets</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vMerge w:val="continue"/>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14,806</w:t>
            </w:r>
          </w:p>
        </w:tc>
        <w:tc>
          <w:tcPr>
            <w:tcW w:w="0" w:type="dxa"/>
            <w:vAlign w:val="bottom"/>
          </w:tcPr>
          <w:p>
            <w:pPr>
              <w:spacing w:after="0"/>
              <w:rPr>
                <w:sz w:val="1"/>
                <w:szCs w:val="1"/>
                <w:color w:val="auto"/>
              </w:rPr>
            </w:pPr>
          </w:p>
        </w:tc>
      </w:tr>
      <w:tr>
        <w:trPr>
          <w:trHeight w:val="189"/>
        </w:trPr>
        <w:tc>
          <w:tcPr>
            <w:tcW w:w="966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Prepaid expenses</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vMerge w:val="continue"/>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185,530</w:t>
            </w:r>
          </w:p>
        </w:tc>
        <w:tc>
          <w:tcPr>
            <w:tcW w:w="0" w:type="dxa"/>
            <w:vAlign w:val="bottom"/>
          </w:tcPr>
          <w:p>
            <w:pPr>
              <w:spacing w:after="0"/>
              <w:rPr>
                <w:sz w:val="1"/>
                <w:szCs w:val="1"/>
                <w:color w:val="auto"/>
              </w:rPr>
            </w:pPr>
          </w:p>
        </w:tc>
      </w:tr>
      <w:tr>
        <w:trPr>
          <w:trHeight w:val="192"/>
        </w:trPr>
        <w:tc>
          <w:tcPr>
            <w:tcW w:w="9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Total Current Assets</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32,239,230</w:t>
            </w:r>
          </w:p>
        </w:tc>
        <w:tc>
          <w:tcPr>
            <w:tcW w:w="0" w:type="dxa"/>
            <w:vAlign w:val="bottom"/>
          </w:tcPr>
          <w:p>
            <w:pPr>
              <w:spacing w:after="0"/>
              <w:rPr>
                <w:sz w:val="1"/>
                <w:szCs w:val="1"/>
                <w:color w:val="auto"/>
              </w:rPr>
            </w:pPr>
          </w:p>
        </w:tc>
      </w:tr>
      <w:tr>
        <w:trPr>
          <w:trHeight w:val="166"/>
        </w:trPr>
        <w:tc>
          <w:tcPr>
            <w:tcW w:w="9660" w:type="dxa"/>
            <w:vAlign w:val="bottom"/>
            <w:vMerge w:val="restart"/>
          </w:tcPr>
          <w:p>
            <w:pPr>
              <w:ind w:left="20"/>
              <w:spacing w:after="0"/>
              <w:rPr>
                <w:sz w:val="20"/>
                <w:szCs w:val="20"/>
                <w:color w:val="auto"/>
              </w:rPr>
            </w:pPr>
            <w:r>
              <w:rPr>
                <w:rFonts w:ascii="Trebuchet MS" w:cs="Trebuchet MS" w:eastAsia="Trebuchet MS" w:hAnsi="Trebuchet MS"/>
                <w:sz w:val="19"/>
                <w:szCs w:val="19"/>
                <w:b w:val="1"/>
                <w:bCs w:val="1"/>
                <w:color w:val="auto"/>
              </w:rPr>
              <w:t>Property and Equipment, at Cost</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6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9660" w:type="dxa"/>
            <w:vAlign w:val="bottom"/>
          </w:tcPr>
          <w:p>
            <w:pPr>
              <w:ind w:left="260"/>
              <w:spacing w:after="0"/>
              <w:rPr>
                <w:sz w:val="20"/>
                <w:szCs w:val="20"/>
                <w:color w:val="auto"/>
              </w:rPr>
            </w:pPr>
            <w:r>
              <w:rPr>
                <w:rFonts w:ascii="Trebuchet MS" w:cs="Trebuchet MS" w:eastAsia="Trebuchet MS" w:hAnsi="Trebuchet MS"/>
                <w:sz w:val="19"/>
                <w:szCs w:val="19"/>
                <w:color w:val="auto"/>
              </w:rPr>
              <w:t>Proved oil and natural gas properties and equipment, full cost method</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125,102,893</w:t>
            </w:r>
          </w:p>
        </w:tc>
        <w:tc>
          <w:tcPr>
            <w:tcW w:w="0" w:type="dxa"/>
            <w:vAlign w:val="bottom"/>
          </w:tcPr>
          <w:p>
            <w:pPr>
              <w:spacing w:after="0"/>
              <w:rPr>
                <w:sz w:val="1"/>
                <w:szCs w:val="1"/>
                <w:color w:val="auto"/>
              </w:rPr>
            </w:pPr>
          </w:p>
        </w:tc>
      </w:tr>
      <w:tr>
        <w:trPr>
          <w:trHeight w:val="189"/>
        </w:trPr>
        <w:tc>
          <w:tcPr>
            <w:tcW w:w="966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Unproved oil and natural gas properties</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vMerge w:val="continue"/>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7,544,317</w:t>
            </w:r>
          </w:p>
        </w:tc>
        <w:tc>
          <w:tcPr>
            <w:tcW w:w="0" w:type="dxa"/>
            <w:vAlign w:val="bottom"/>
          </w:tcPr>
          <w:p>
            <w:pPr>
              <w:spacing w:after="0"/>
              <w:rPr>
                <w:sz w:val="1"/>
                <w:szCs w:val="1"/>
                <w:color w:val="auto"/>
              </w:rPr>
            </w:pPr>
          </w:p>
        </w:tc>
      </w:tr>
      <w:tr>
        <w:trPr>
          <w:trHeight w:val="189"/>
        </w:trPr>
        <w:tc>
          <w:tcPr>
            <w:tcW w:w="966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Gas gathering and processing equipment</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vMerge w:val="continue"/>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18,159,939</w:t>
            </w:r>
          </w:p>
        </w:tc>
        <w:tc>
          <w:tcPr>
            <w:tcW w:w="0" w:type="dxa"/>
            <w:vAlign w:val="bottom"/>
          </w:tcPr>
          <w:p>
            <w:pPr>
              <w:spacing w:after="0"/>
              <w:rPr>
                <w:sz w:val="1"/>
                <w:szCs w:val="1"/>
                <w:color w:val="auto"/>
              </w:rPr>
            </w:pPr>
          </w:p>
        </w:tc>
      </w:tr>
      <w:tr>
        <w:trPr>
          <w:trHeight w:val="189"/>
        </w:trPr>
        <w:tc>
          <w:tcPr>
            <w:tcW w:w="966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Other property and equipment</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vMerge w:val="continue"/>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651,138</w:t>
            </w:r>
          </w:p>
        </w:tc>
        <w:tc>
          <w:tcPr>
            <w:tcW w:w="0" w:type="dxa"/>
            <w:vAlign w:val="bottom"/>
          </w:tcPr>
          <w:p>
            <w:pPr>
              <w:spacing w:after="0"/>
              <w:rPr>
                <w:sz w:val="1"/>
                <w:szCs w:val="1"/>
                <w:color w:val="auto"/>
              </w:rPr>
            </w:pPr>
          </w:p>
        </w:tc>
      </w:tr>
      <w:tr>
        <w:trPr>
          <w:trHeight w:val="192"/>
        </w:trPr>
        <w:tc>
          <w:tcPr>
            <w:tcW w:w="9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966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Less: accumulated depreciation, depletion, amortization and impairment</w:t>
            </w:r>
          </w:p>
        </w:tc>
        <w:tc>
          <w:tcPr>
            <w:tcW w:w="15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151,458,287</w:t>
            </w:r>
          </w:p>
        </w:tc>
        <w:tc>
          <w:tcPr>
            <w:tcW w:w="0" w:type="dxa"/>
            <w:vAlign w:val="bottom"/>
          </w:tcPr>
          <w:p>
            <w:pPr>
              <w:spacing w:after="0"/>
              <w:rPr>
                <w:sz w:val="1"/>
                <w:szCs w:val="1"/>
                <w:color w:val="auto"/>
              </w:rPr>
            </w:pPr>
          </w:p>
        </w:tc>
      </w:tr>
      <w:tr>
        <w:trPr>
          <w:trHeight w:val="233"/>
        </w:trPr>
        <w:tc>
          <w:tcPr>
            <w:tcW w:w="9660" w:type="dxa"/>
            <w:vAlign w:val="bottom"/>
            <w:tcBorders>
              <w:bottom w:val="single" w:sz="8" w:color="auto"/>
            </w:tcBorders>
            <w:vMerge w:val="continue"/>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(100,129,778 )</w:t>
            </w: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Net Property and Equipment</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51,328,509</w:t>
            </w:r>
          </w:p>
        </w:tc>
        <w:tc>
          <w:tcPr>
            <w:tcW w:w="0" w:type="dxa"/>
            <w:vAlign w:val="bottom"/>
          </w:tcPr>
          <w:p>
            <w:pPr>
              <w:spacing w:after="0"/>
              <w:rPr>
                <w:sz w:val="1"/>
                <w:szCs w:val="1"/>
                <w:color w:val="auto"/>
              </w:rPr>
            </w:pPr>
          </w:p>
        </w:tc>
      </w:tr>
      <w:tr>
        <w:trPr>
          <w:trHeight w:val="166"/>
        </w:trPr>
        <w:tc>
          <w:tcPr>
            <w:tcW w:w="9660" w:type="dxa"/>
            <w:vAlign w:val="bottom"/>
            <w:vMerge w:val="restart"/>
          </w:tcPr>
          <w:p>
            <w:pPr>
              <w:ind w:left="20"/>
              <w:spacing w:after="0"/>
              <w:rPr>
                <w:sz w:val="20"/>
                <w:szCs w:val="20"/>
                <w:color w:val="auto"/>
              </w:rPr>
            </w:pPr>
            <w:r>
              <w:rPr>
                <w:rFonts w:ascii="Trebuchet MS" w:cs="Trebuchet MS" w:eastAsia="Trebuchet MS" w:hAnsi="Trebuchet MS"/>
                <w:sz w:val="19"/>
                <w:szCs w:val="19"/>
                <w:b w:val="1"/>
                <w:bCs w:val="1"/>
                <w:color w:val="auto"/>
              </w:rPr>
              <w:t>Other Assets</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96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9660" w:type="dxa"/>
            <w:vAlign w:val="bottom"/>
          </w:tcPr>
          <w:p>
            <w:pPr>
              <w:ind w:left="260"/>
              <w:spacing w:after="0"/>
              <w:rPr>
                <w:sz w:val="20"/>
                <w:szCs w:val="20"/>
                <w:color w:val="auto"/>
              </w:rPr>
            </w:pPr>
            <w:r>
              <w:rPr>
                <w:rFonts w:ascii="Trebuchet MS" w:cs="Trebuchet MS" w:eastAsia="Trebuchet MS" w:hAnsi="Trebuchet MS"/>
                <w:sz w:val="19"/>
                <w:szCs w:val="19"/>
                <w:color w:val="auto"/>
              </w:rPr>
              <w:t>Derivative assets</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100,052</w:t>
            </w:r>
          </w:p>
        </w:tc>
        <w:tc>
          <w:tcPr>
            <w:tcW w:w="0" w:type="dxa"/>
            <w:vAlign w:val="bottom"/>
          </w:tcPr>
          <w:p>
            <w:pPr>
              <w:spacing w:after="0"/>
              <w:rPr>
                <w:sz w:val="1"/>
                <w:szCs w:val="1"/>
                <w:color w:val="auto"/>
              </w:rPr>
            </w:pPr>
          </w:p>
        </w:tc>
      </w:tr>
      <w:tr>
        <w:trPr>
          <w:trHeight w:val="189"/>
        </w:trPr>
        <w:tc>
          <w:tcPr>
            <w:tcW w:w="966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Restricted cash</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vMerge w:val="continue"/>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1,123,069</w:t>
            </w:r>
          </w:p>
        </w:tc>
        <w:tc>
          <w:tcPr>
            <w:tcW w:w="0" w:type="dxa"/>
            <w:vAlign w:val="bottom"/>
          </w:tcPr>
          <w:p>
            <w:pPr>
              <w:spacing w:after="0"/>
              <w:rPr>
                <w:sz w:val="1"/>
                <w:szCs w:val="1"/>
                <w:color w:val="auto"/>
              </w:rPr>
            </w:pPr>
          </w:p>
        </w:tc>
      </w:tr>
      <w:tr>
        <w:trPr>
          <w:trHeight w:val="189"/>
        </w:trPr>
        <w:tc>
          <w:tcPr>
            <w:tcW w:w="966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Other</w:t>
            </w: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60" w:type="dxa"/>
            <w:vAlign w:val="bottom"/>
            <w:vMerge w:val="continue"/>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15,334</w:t>
            </w:r>
          </w:p>
        </w:tc>
        <w:tc>
          <w:tcPr>
            <w:tcW w:w="0" w:type="dxa"/>
            <w:vAlign w:val="bottom"/>
          </w:tcPr>
          <w:p>
            <w:pPr>
              <w:spacing w:after="0"/>
              <w:rPr>
                <w:sz w:val="1"/>
                <w:szCs w:val="1"/>
                <w:color w:val="auto"/>
              </w:rPr>
            </w:pPr>
          </w:p>
        </w:tc>
      </w:tr>
      <w:tr>
        <w:trPr>
          <w:trHeight w:val="192"/>
        </w:trPr>
        <w:tc>
          <w:tcPr>
            <w:tcW w:w="96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Total Other Assets</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1,238,455</w:t>
            </w:r>
          </w:p>
        </w:tc>
        <w:tc>
          <w:tcPr>
            <w:tcW w:w="0" w:type="dxa"/>
            <w:vAlign w:val="bottom"/>
          </w:tcPr>
          <w:p>
            <w:pPr>
              <w:spacing w:after="0"/>
              <w:rPr>
                <w:sz w:val="1"/>
                <w:szCs w:val="1"/>
                <w:color w:val="auto"/>
              </w:rPr>
            </w:pPr>
          </w:p>
        </w:tc>
      </w:tr>
      <w:tr>
        <w:trPr>
          <w:trHeight w:val="169"/>
        </w:trPr>
        <w:tc>
          <w:tcPr>
            <w:tcW w:w="96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660" w:type="dxa"/>
            <w:vAlign w:val="bottom"/>
          </w:tcPr>
          <w:p>
            <w:pPr>
              <w:ind w:left="20"/>
              <w:spacing w:after="0" w:line="170" w:lineRule="exact"/>
              <w:rPr>
                <w:sz w:val="20"/>
                <w:szCs w:val="20"/>
                <w:color w:val="auto"/>
              </w:rPr>
            </w:pPr>
            <w:r>
              <w:rPr>
                <w:rFonts w:ascii="Trebuchet MS" w:cs="Trebuchet MS" w:eastAsia="Trebuchet MS" w:hAnsi="Trebuchet MS"/>
                <w:sz w:val="19"/>
                <w:szCs w:val="19"/>
                <w:b w:val="1"/>
                <w:bCs w:val="1"/>
                <w:color w:val="auto"/>
              </w:rPr>
              <w:t>Total Assets</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9660" w:type="dxa"/>
            <w:vAlign w:val="bottom"/>
          </w:tcPr>
          <w:p>
            <w:pPr>
              <w:ind w:left="9260"/>
              <w:spacing w:after="0"/>
              <w:rPr>
                <w:sz w:val="20"/>
                <w:szCs w:val="20"/>
                <w:color w:val="auto"/>
              </w:rPr>
            </w:pPr>
            <w:r>
              <w:rPr>
                <w:rFonts w:ascii="Trebuchet MS" w:cs="Trebuchet MS" w:eastAsia="Trebuchet MS" w:hAnsi="Trebuchet MS"/>
                <w:sz w:val="19"/>
                <w:szCs w:val="19"/>
                <w:color w:val="auto"/>
              </w:rPr>
              <w:t>$</w:t>
            </w:r>
          </w:p>
        </w:tc>
        <w:tc>
          <w:tcPr>
            <w:tcW w:w="15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84,806,194</w:t>
            </w:r>
          </w:p>
        </w:tc>
        <w:tc>
          <w:tcPr>
            <w:tcW w:w="0" w:type="dxa"/>
            <w:vAlign w:val="bottom"/>
          </w:tcPr>
          <w:p>
            <w:pPr>
              <w:spacing w:after="0"/>
              <w:rPr>
                <w:sz w:val="1"/>
                <w:szCs w:val="1"/>
                <w:color w:val="auto"/>
              </w:rPr>
            </w:pPr>
          </w:p>
        </w:tc>
      </w:tr>
    </w:tbl>
    <w:p>
      <w:pPr>
        <w:ind w:left="20"/>
        <w:spacing w:after="0"/>
        <w:rPr>
          <w:sz w:val="20"/>
          <w:szCs w:val="20"/>
          <w:color w:val="auto"/>
        </w:rPr>
      </w:pPr>
      <w:r>
        <w:rPr>
          <w:rFonts w:ascii="Trebuchet MS" w:cs="Trebuchet MS" w:eastAsia="Trebuchet MS" w:hAnsi="Trebuchet MS"/>
          <w:sz w:val="19"/>
          <w:szCs w:val="19"/>
          <w:b w:val="1"/>
          <w:bCs w:val="1"/>
          <w:color w:val="auto"/>
        </w:rPr>
        <w:t>Liabilities and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2"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Current Liabilities</w:t>
      </w:r>
    </w:p>
    <w:p>
      <w:pPr>
        <w:sectPr>
          <w:pgSz w:w="11900" w:h="16838" w:orient="portrait"/>
          <w:cols w:equalWidth="0" w:num="1">
            <w:col w:w="11240"/>
          </w:cols>
          <w:pgMar w:left="320" w:top="352" w:right="339" w:bottom="0" w:gutter="0" w:footer="0" w:header="0"/>
        </w:sectPr>
      </w:pPr>
    </w:p>
    <w:p>
      <w:pPr>
        <w:spacing w:after="0" w:line="190"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Accounts payable</w:t>
      </w:r>
    </w:p>
    <w:p>
      <w:pPr>
        <w:spacing w:after="0" w:line="184"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Revenue payable</w:t>
      </w:r>
    </w:p>
    <w:p>
      <w:pPr>
        <w:spacing w:after="0" w:line="184"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Accrued liabilities</w:t>
      </w:r>
    </w:p>
    <w:p>
      <w:pPr>
        <w:spacing w:after="0" w:line="184"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Derivative liabilities</w:t>
      </w:r>
    </w:p>
    <w:p>
      <w:pPr>
        <w:spacing w:after="0" w:line="184"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Current portion of asset retirement obligations</w:t>
      </w:r>
    </w:p>
    <w:p>
      <w:pPr>
        <w:spacing w:after="0" w:line="192"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Long-Term Liabilities</w:t>
      </w:r>
    </w:p>
    <w:p>
      <w:pPr>
        <w:spacing w:after="0" w:line="190"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Derivative liabilities</w:t>
      </w:r>
    </w:p>
    <w:p>
      <w:pPr>
        <w:spacing w:after="0" w:line="184" w:lineRule="exact"/>
        <w:rPr>
          <w:sz w:val="20"/>
          <w:szCs w:val="20"/>
          <w:color w:val="auto"/>
        </w:rPr>
      </w:pPr>
    </w:p>
    <w:p>
      <w:pPr>
        <w:ind w:left="260"/>
        <w:spacing w:after="0"/>
        <w:rPr>
          <w:sz w:val="20"/>
          <w:szCs w:val="20"/>
          <w:color w:val="auto"/>
        </w:rPr>
      </w:pPr>
      <w:r>
        <w:rPr>
          <w:rFonts w:ascii="Trebuchet MS" w:cs="Trebuchet MS" w:eastAsia="Trebuchet MS" w:hAnsi="Trebuchet MS"/>
          <w:sz w:val="18"/>
          <w:szCs w:val="18"/>
          <w:color w:val="auto"/>
        </w:rPr>
        <w:t>Asset Retirement Obligations, net of current portion</w:t>
      </w:r>
    </w:p>
    <w:p>
      <w:pPr>
        <w:spacing w:after="0" w:line="196"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Long-Term Debt, net</w:t>
      </w:r>
    </w:p>
    <w:p>
      <w:pPr>
        <w:spacing w:after="0" w:line="192"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Total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4"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Commitments and Contingencies (Note 8)</w:t>
      </w:r>
    </w:p>
    <w:p>
      <w:pPr>
        <w:spacing w:after="0" w:line="184"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Member’s Equity</w:t>
      </w:r>
    </w:p>
    <w:p>
      <w:pPr>
        <w:spacing w:after="0" w:line="198"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Total Liabilities and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left="1025" w:hanging="1025"/>
        <w:spacing w:after="0"/>
        <w:tabs>
          <w:tab w:leader="none" w:pos="1025" w:val="left"/>
        </w:tabs>
        <w:numPr>
          <w:ilvl w:val="0"/>
          <w:numId w:val="114"/>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4,591,853</w:t>
      </w:r>
    </w:p>
    <w:p>
      <w:pPr>
        <w:spacing w:after="0" w:line="184" w:lineRule="exact"/>
        <w:rPr>
          <w:rFonts w:ascii="Trebuchet MS" w:cs="Trebuchet MS" w:eastAsia="Trebuchet MS" w:hAnsi="Trebuchet MS"/>
          <w:sz w:val="19"/>
          <w:szCs w:val="19"/>
          <w:color w:val="auto"/>
        </w:rPr>
      </w:pPr>
    </w:p>
    <w:p>
      <w:pPr>
        <w:ind w:left="10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3,494,864</w:t>
      </w:r>
    </w:p>
    <w:p>
      <w:pPr>
        <w:spacing w:after="0" w:line="184" w:lineRule="exact"/>
        <w:rPr>
          <w:rFonts w:ascii="Trebuchet MS" w:cs="Trebuchet MS" w:eastAsia="Trebuchet MS" w:hAnsi="Trebuchet MS"/>
          <w:sz w:val="19"/>
          <w:szCs w:val="19"/>
          <w:color w:val="auto"/>
        </w:rPr>
      </w:pPr>
    </w:p>
    <w:p>
      <w:pPr>
        <w:ind w:left="10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1,005,360</w:t>
      </w:r>
    </w:p>
    <w:p>
      <w:pPr>
        <w:spacing w:after="0" w:line="184" w:lineRule="exact"/>
        <w:rPr>
          <w:rFonts w:ascii="Trebuchet MS" w:cs="Trebuchet MS" w:eastAsia="Trebuchet MS" w:hAnsi="Trebuchet MS"/>
          <w:sz w:val="19"/>
          <w:szCs w:val="19"/>
          <w:color w:val="auto"/>
        </w:rPr>
      </w:pPr>
    </w:p>
    <w:p>
      <w:pPr>
        <w:ind w:left="10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5,185,147</w:t>
      </w:r>
    </w:p>
    <w:p>
      <w:pPr>
        <w:spacing w:after="0" w:line="184" w:lineRule="exact"/>
        <w:rPr>
          <w:rFonts w:ascii="Trebuchet MS" w:cs="Trebuchet MS" w:eastAsia="Trebuchet MS" w:hAnsi="Trebuchet MS"/>
          <w:sz w:val="19"/>
          <w:szCs w:val="19"/>
          <w:color w:val="auto"/>
        </w:rPr>
      </w:pPr>
    </w:p>
    <w:p>
      <w:pPr>
        <w:ind w:left="1205"/>
        <w:spacing w:after="0"/>
        <w:rPr>
          <w:rFonts w:ascii="Trebuchet MS" w:cs="Trebuchet MS" w:eastAsia="Trebuchet MS" w:hAnsi="Trebuchet MS"/>
          <w:sz w:val="19"/>
          <w:szCs w:val="19"/>
          <w:color w:val="auto"/>
        </w:rPr>
      </w:pPr>
      <w:r>
        <w:rPr>
          <w:rFonts w:ascii="Trebuchet MS" w:cs="Trebuchet MS" w:eastAsia="Trebuchet MS" w:hAnsi="Trebuchet MS"/>
          <w:sz w:val="18"/>
          <w:szCs w:val="18"/>
          <w:color w:val="auto"/>
        </w:rPr>
        <w:t>780,292</w:t>
      </w:r>
    </w:p>
    <w:p>
      <w:pPr>
        <w:spacing w:after="0" w:line="209" w:lineRule="exact"/>
        <w:rPr>
          <w:sz w:val="20"/>
          <w:szCs w:val="20"/>
          <w:color w:val="auto"/>
        </w:rPr>
      </w:pPr>
    </w:p>
    <w:p>
      <w:pPr>
        <w:ind w:left="925"/>
        <w:spacing w:after="0"/>
        <w:rPr>
          <w:sz w:val="20"/>
          <w:szCs w:val="20"/>
          <w:color w:val="auto"/>
        </w:rPr>
      </w:pPr>
      <w:r>
        <w:rPr>
          <w:rFonts w:ascii="Trebuchet MS" w:cs="Trebuchet MS" w:eastAsia="Trebuchet MS" w:hAnsi="Trebuchet MS"/>
          <w:sz w:val="19"/>
          <w:szCs w:val="19"/>
          <w:color w:val="auto"/>
        </w:rPr>
        <w:t>15,057,516</w:t>
      </w:r>
    </w:p>
    <w:p>
      <w:pPr>
        <w:spacing w:after="0" w:line="200" w:lineRule="exact"/>
        <w:rPr>
          <w:sz w:val="20"/>
          <w:szCs w:val="20"/>
          <w:color w:val="auto"/>
        </w:rPr>
      </w:pPr>
    </w:p>
    <w:p>
      <w:pPr>
        <w:spacing w:after="0" w:line="389" w:lineRule="exact"/>
        <w:rPr>
          <w:sz w:val="20"/>
          <w:szCs w:val="20"/>
          <w:color w:val="auto"/>
        </w:rPr>
      </w:pPr>
    </w:p>
    <w:p>
      <w:pPr>
        <w:jc w:val="right"/>
        <w:ind w:right="120"/>
        <w:spacing w:after="0"/>
        <w:rPr>
          <w:sz w:val="20"/>
          <w:szCs w:val="20"/>
          <w:color w:val="auto"/>
        </w:rPr>
      </w:pPr>
      <w:r>
        <w:rPr>
          <w:rFonts w:ascii="Trebuchet MS" w:cs="Trebuchet MS" w:eastAsia="Trebuchet MS" w:hAnsi="Trebuchet MS"/>
          <w:sz w:val="19"/>
          <w:szCs w:val="19"/>
          <w:color w:val="auto"/>
        </w:rPr>
        <w:t>1,689,999</w:t>
      </w:r>
    </w:p>
    <w:p>
      <w:pPr>
        <w:spacing w:after="0" w:line="184" w:lineRule="exact"/>
        <w:rPr>
          <w:sz w:val="20"/>
          <w:szCs w:val="20"/>
          <w:color w:val="auto"/>
        </w:rPr>
      </w:pPr>
    </w:p>
    <w:p>
      <w:pPr>
        <w:jc w:val="right"/>
        <w:ind w:right="120"/>
        <w:spacing w:after="0"/>
        <w:rPr>
          <w:sz w:val="20"/>
          <w:szCs w:val="20"/>
          <w:color w:val="auto"/>
        </w:rPr>
      </w:pPr>
      <w:r>
        <w:rPr>
          <w:rFonts w:ascii="Trebuchet MS" w:cs="Trebuchet MS" w:eastAsia="Trebuchet MS" w:hAnsi="Trebuchet MS"/>
          <w:sz w:val="19"/>
          <w:szCs w:val="19"/>
          <w:color w:val="auto"/>
        </w:rPr>
        <w:t>4,447,549</w:t>
      </w:r>
    </w:p>
    <w:p>
      <w:pPr>
        <w:spacing w:after="0" w:line="184" w:lineRule="exact"/>
        <w:rPr>
          <w:sz w:val="20"/>
          <w:szCs w:val="20"/>
          <w:color w:val="auto"/>
        </w:rPr>
      </w:pPr>
    </w:p>
    <w:p>
      <w:pPr>
        <w:jc w:val="right"/>
        <w:ind w:right="120"/>
        <w:spacing w:after="0"/>
        <w:rPr>
          <w:sz w:val="20"/>
          <w:szCs w:val="20"/>
          <w:color w:val="auto"/>
        </w:rPr>
      </w:pPr>
      <w:r>
        <w:rPr>
          <w:rFonts w:ascii="Trebuchet MS" w:cs="Trebuchet MS" w:eastAsia="Trebuchet MS" w:hAnsi="Trebuchet MS"/>
          <w:sz w:val="19"/>
          <w:szCs w:val="19"/>
          <w:color w:val="auto"/>
        </w:rPr>
        <w:t>41,253,592</w:t>
      </w:r>
    </w:p>
    <w:p>
      <w:pPr>
        <w:spacing w:after="0" w:line="198" w:lineRule="exact"/>
        <w:rPr>
          <w:sz w:val="20"/>
          <w:szCs w:val="20"/>
          <w:color w:val="auto"/>
        </w:rPr>
      </w:pPr>
    </w:p>
    <w:p>
      <w:pPr>
        <w:jc w:val="right"/>
        <w:ind w:right="120"/>
        <w:spacing w:after="0"/>
        <w:rPr>
          <w:sz w:val="20"/>
          <w:szCs w:val="20"/>
          <w:color w:val="auto"/>
        </w:rPr>
      </w:pPr>
      <w:r>
        <w:rPr>
          <w:rFonts w:ascii="Trebuchet MS" w:cs="Trebuchet MS" w:eastAsia="Trebuchet MS" w:hAnsi="Trebuchet MS"/>
          <w:sz w:val="19"/>
          <w:szCs w:val="19"/>
          <w:color w:val="auto"/>
        </w:rPr>
        <w:t>47,391,140</w:t>
      </w:r>
    </w:p>
    <w:p>
      <w:pPr>
        <w:spacing w:after="0" w:line="200" w:lineRule="exact"/>
        <w:rPr>
          <w:sz w:val="20"/>
          <w:szCs w:val="20"/>
          <w:color w:val="auto"/>
        </w:rPr>
      </w:pPr>
    </w:p>
    <w:p>
      <w:pPr>
        <w:spacing w:after="0" w:line="389" w:lineRule="exact"/>
        <w:rPr>
          <w:sz w:val="20"/>
          <w:szCs w:val="20"/>
          <w:color w:val="auto"/>
        </w:rPr>
      </w:pPr>
    </w:p>
    <w:p>
      <w:pPr>
        <w:ind w:left="925"/>
        <w:spacing w:after="0"/>
        <w:rPr>
          <w:sz w:val="20"/>
          <w:szCs w:val="20"/>
          <w:color w:val="auto"/>
        </w:rPr>
      </w:pPr>
      <w:r>
        <w:rPr>
          <w:rFonts w:ascii="Trebuchet MS" w:cs="Trebuchet MS" w:eastAsia="Trebuchet MS" w:hAnsi="Trebuchet MS"/>
          <w:sz w:val="19"/>
          <w:szCs w:val="19"/>
          <w:color w:val="auto"/>
        </w:rPr>
        <w:t>22,357,538</w:t>
      </w:r>
    </w:p>
    <w:p>
      <w:pPr>
        <w:spacing w:after="0" w:line="22" w:lineRule="exact"/>
        <w:rPr>
          <w:sz w:val="20"/>
          <w:szCs w:val="20"/>
          <w:color w:val="auto"/>
        </w:rPr>
      </w:pPr>
    </w:p>
    <w:p>
      <w:pPr>
        <w:ind w:left="925" w:hanging="925"/>
        <w:spacing w:after="0"/>
        <w:tabs>
          <w:tab w:leader="none" w:pos="925" w:val="left"/>
        </w:tabs>
        <w:numPr>
          <w:ilvl w:val="0"/>
          <w:numId w:val="115"/>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84,806,194</w:t>
      </w:r>
    </w:p>
    <w:p>
      <w:pPr>
        <w:sectPr>
          <w:pgSz w:w="11900" w:h="16838" w:orient="portrait"/>
          <w:cols w:equalWidth="0" w:num="2">
            <w:col w:w="8535" w:space="720"/>
            <w:col w:w="1985"/>
          </w:cols>
          <w:pgMar w:left="320" w:top="352" w:right="339" w:bottom="0" w:gutter="0" w:footer="0" w:header="0"/>
          <w:type w:val="continuous"/>
        </w:sectPr>
      </w:pPr>
    </w:p>
    <w:bookmarkStart w:id="126" w:name="page127"/>
    <w:bookmarkEnd w:id="126"/>
    <w:p>
      <w:pPr>
        <w:jc w:val="center"/>
        <w:ind w:right="19"/>
        <w:spacing w:after="0"/>
        <w:rPr>
          <w:sz w:val="20"/>
          <w:szCs w:val="20"/>
          <w:color w:val="auto"/>
        </w:rPr>
      </w:pPr>
      <w:r>
        <w:rPr>
          <w:rFonts w:ascii="Trebuchet MS" w:cs="Trebuchet MS" w:eastAsia="Trebuchet MS" w:hAnsi="Trebuchet MS"/>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407" w:right="1440"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53975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7" w:right="1440" w:bottom="1440" w:gutter="0" w:footer="0" w:header="0"/>
          <w:type w:val="continuous"/>
        </w:sectPr>
      </w:pPr>
    </w:p>
    <w:bookmarkStart w:id="127" w:name="page128"/>
    <w:bookmarkEnd w:id="127"/>
    <w:p>
      <w:pPr>
        <w:jc w:val="center"/>
        <w:ind w:right="-19"/>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64"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2"/>
          <w:szCs w:val="22"/>
          <w:b w:val="1"/>
          <w:bCs w:val="1"/>
          <w:color w:val="auto"/>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wp:posOffset>
            </wp:positionV>
            <wp:extent cx="7123430" cy="260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8">
                      <a:extLst>
                        <a:ext uri="{28A0092B-C50C-407E-A947-70E740481C1C}"/>
                      </a:extLst>
                    </a:blip>
                    <a:srcRect/>
                    <a:stretch>
                      <a:fillRect/>
                    </a:stretch>
                  </pic:blipFill>
                  <pic:spPr bwMode="auto">
                    <a:xfrm>
                      <a:off x="0" y="0"/>
                      <a:ext cx="7123430" cy="26035"/>
                    </a:xfrm>
                    <a:prstGeom prst="rect">
                      <a:avLst/>
                    </a:prstGeom>
                    <a:noFill/>
                  </pic:spPr>
                </pic:pic>
              </a:graphicData>
            </a:graphic>
          </wp:anchor>
        </w:drawing>
      </w:r>
    </w:p>
    <w:p>
      <w:pPr>
        <w:sectPr>
          <w:pgSz w:w="11900" w:h="16838" w:orient="portrait"/>
          <w:cols w:equalWidth="0" w:num="1">
            <w:col w:w="11200"/>
          </w:cols>
          <w:pgMar w:left="340" w:top="352" w:right="35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713232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color w:val="auto"/>
        </w:rPr>
        <w:t>Revenues</w:t>
      </w:r>
    </w:p>
    <w:p>
      <w:pPr>
        <w:spacing w:after="0" w:line="1"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Crude oil sales</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Natural gas sales</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Natural gas liquids sales</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Water supply services</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Gathering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13232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color w:val="auto"/>
        </w:rPr>
        <w:t>Total Revenues</w:t>
      </w:r>
    </w:p>
    <w:p>
      <w:pPr>
        <w:spacing w:after="0"/>
        <w:rPr>
          <w:sz w:val="20"/>
          <w:szCs w:val="20"/>
          <w:color w:val="auto"/>
        </w:rPr>
      </w:pPr>
      <w:r>
        <w:rPr>
          <w:rFonts w:ascii="Trebuchet MS" w:cs="Trebuchet MS" w:eastAsia="Trebuchet MS" w:hAnsi="Trebuchet MS"/>
          <w:sz w:val="19"/>
          <w:szCs w:val="19"/>
          <w:b w:val="1"/>
          <w:bCs w:val="1"/>
          <w:color w:val="auto"/>
        </w:rPr>
        <w:t>Operating Expenses</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Oil and natural gas operating expenses</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Oil and natural gas production taxes</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Water usage</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Depreciation, depletion and amortization</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Accretion of asset retirement obligations</w:t>
      </w:r>
    </w:p>
    <w:p>
      <w:pPr>
        <w:spacing w:after="0" w:line="178" w:lineRule="exact"/>
        <w:rPr>
          <w:sz w:val="20"/>
          <w:szCs w:val="20"/>
          <w:color w:val="auto"/>
        </w:rPr>
      </w:pPr>
    </w:p>
    <w:p>
      <w:pPr>
        <w:ind w:left="240"/>
        <w:spacing w:after="0"/>
        <w:rPr>
          <w:sz w:val="20"/>
          <w:szCs w:val="20"/>
          <w:color w:val="auto"/>
        </w:rPr>
      </w:pPr>
      <w:r>
        <w:rPr>
          <w:rFonts w:ascii="Trebuchet MS" w:cs="Trebuchet MS" w:eastAsia="Trebuchet MS" w:hAnsi="Trebuchet MS"/>
          <w:sz w:val="18"/>
          <w:szCs w:val="18"/>
          <w:color w:val="auto"/>
        </w:rPr>
        <w:t>General and administrative, overhead and other</w:t>
      </w:r>
    </w:p>
    <w:p>
      <w:pPr>
        <w:ind w:left="420"/>
        <w:spacing w:after="0"/>
        <w:rPr>
          <w:sz w:val="20"/>
          <w:szCs w:val="20"/>
          <w:color w:val="auto"/>
        </w:rPr>
      </w:pPr>
      <w:r>
        <w:rPr>
          <w:rFonts w:ascii="Trebuchet MS" w:cs="Trebuchet MS" w:eastAsia="Trebuchet MS" w:hAnsi="Trebuchet MS"/>
          <w:sz w:val="19"/>
          <w:szCs w:val="19"/>
          <w:color w:val="auto"/>
        </w:rPr>
        <w:t>expenses, net of operator's overhead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wp:posOffset>
            </wp:positionV>
            <wp:extent cx="71323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color w:val="auto"/>
        </w:rPr>
        <w:t>Income from Operations</w:t>
      </w:r>
    </w:p>
    <w:p>
      <w:pPr>
        <w:spacing w:after="0"/>
        <w:rPr>
          <w:sz w:val="20"/>
          <w:szCs w:val="20"/>
          <w:color w:val="auto"/>
        </w:rPr>
      </w:pPr>
      <w:r>
        <w:rPr>
          <w:rFonts w:ascii="Trebuchet MS" w:cs="Trebuchet MS" w:eastAsia="Trebuchet MS" w:hAnsi="Trebuchet MS"/>
          <w:sz w:val="19"/>
          <w:szCs w:val="19"/>
          <w:b w:val="1"/>
          <w:bCs w:val="1"/>
          <w:color w:val="auto"/>
        </w:rPr>
        <w:t>Other Income (Expense)</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Interest expense</w:t>
      </w:r>
    </w:p>
    <w:p>
      <w:pPr>
        <w:spacing w:after="0" w:line="9"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Interest income</w:t>
      </w:r>
    </w:p>
    <w:p>
      <w:pPr>
        <w:spacing w:after="0" w:line="184"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Loss on derivative instruments</w:t>
      </w:r>
    </w:p>
    <w:p>
      <w:pPr>
        <w:spacing w:after="0" w:line="9" w:lineRule="exact"/>
        <w:rPr>
          <w:sz w:val="20"/>
          <w:szCs w:val="20"/>
          <w:color w:val="auto"/>
        </w:rPr>
      </w:pPr>
    </w:p>
    <w:p>
      <w:pPr>
        <w:ind w:left="240"/>
        <w:spacing w:after="0"/>
        <w:rPr>
          <w:sz w:val="20"/>
          <w:szCs w:val="20"/>
          <w:color w:val="auto"/>
        </w:rPr>
      </w:pPr>
      <w:r>
        <w:rPr>
          <w:rFonts w:ascii="Trebuchet MS" w:cs="Trebuchet MS" w:eastAsia="Trebuchet MS" w:hAnsi="Trebuchet MS"/>
          <w:sz w:val="19"/>
          <w:szCs w:val="19"/>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1323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71323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ind w:left="705"/>
        <w:spacing w:after="0"/>
        <w:rPr>
          <w:sz w:val="20"/>
          <w:szCs w:val="20"/>
          <w:color w:val="auto"/>
        </w:rPr>
      </w:pPr>
      <w:r>
        <w:rPr>
          <w:rFonts w:ascii="Trebuchet MS" w:cs="Trebuchet MS" w:eastAsia="Trebuchet MS" w:hAnsi="Trebuchet MS"/>
          <w:sz w:val="19"/>
          <w:szCs w:val="19"/>
          <w:b w:val="1"/>
          <w:bCs w:val="1"/>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25" w:hanging="925"/>
        <w:spacing w:after="0"/>
        <w:tabs>
          <w:tab w:leader="none" w:pos="925" w:val="left"/>
        </w:tabs>
        <w:numPr>
          <w:ilvl w:val="0"/>
          <w:numId w:val="116"/>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19,730,676</w:t>
      </w:r>
    </w:p>
    <w:p>
      <w:pPr>
        <w:spacing w:after="0" w:line="184" w:lineRule="exact"/>
        <w:rPr>
          <w:rFonts w:ascii="Trebuchet MS" w:cs="Trebuchet MS" w:eastAsia="Trebuchet MS" w:hAnsi="Trebuchet MS"/>
          <w:sz w:val="19"/>
          <w:szCs w:val="19"/>
          <w:color w:val="auto"/>
        </w:rPr>
      </w:pPr>
    </w:p>
    <w:p>
      <w:pPr>
        <w:ind w:left="9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24,629,252</w:t>
      </w:r>
    </w:p>
    <w:p>
      <w:pPr>
        <w:spacing w:after="0" w:line="184" w:lineRule="exact"/>
        <w:rPr>
          <w:rFonts w:ascii="Trebuchet MS" w:cs="Trebuchet MS" w:eastAsia="Trebuchet MS" w:hAnsi="Trebuchet MS"/>
          <w:sz w:val="19"/>
          <w:szCs w:val="19"/>
          <w:color w:val="auto"/>
        </w:rPr>
      </w:pPr>
    </w:p>
    <w:p>
      <w:pPr>
        <w:ind w:left="9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10,706,765</w:t>
      </w:r>
    </w:p>
    <w:p>
      <w:pPr>
        <w:spacing w:after="0" w:line="184" w:lineRule="exact"/>
        <w:rPr>
          <w:rFonts w:ascii="Trebuchet MS" w:cs="Trebuchet MS" w:eastAsia="Trebuchet MS" w:hAnsi="Trebuchet MS"/>
          <w:sz w:val="19"/>
          <w:szCs w:val="19"/>
          <w:color w:val="auto"/>
        </w:rPr>
      </w:pPr>
    </w:p>
    <w:p>
      <w:pPr>
        <w:ind w:left="120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384,205</w:t>
      </w:r>
    </w:p>
    <w:p>
      <w:pPr>
        <w:spacing w:after="0" w:line="184" w:lineRule="exact"/>
        <w:rPr>
          <w:rFonts w:ascii="Trebuchet MS" w:cs="Trebuchet MS" w:eastAsia="Trebuchet MS" w:hAnsi="Trebuchet MS"/>
          <w:sz w:val="19"/>
          <w:szCs w:val="19"/>
          <w:color w:val="auto"/>
        </w:rPr>
      </w:pPr>
    </w:p>
    <w:p>
      <w:pPr>
        <w:ind w:left="10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2,480,249</w:t>
      </w:r>
    </w:p>
    <w:p>
      <w:pPr>
        <w:spacing w:after="0" w:line="211" w:lineRule="exact"/>
        <w:rPr>
          <w:rFonts w:ascii="Trebuchet MS" w:cs="Trebuchet MS" w:eastAsia="Trebuchet MS" w:hAnsi="Trebuchet MS"/>
          <w:sz w:val="19"/>
          <w:szCs w:val="19"/>
          <w:color w:val="auto"/>
        </w:rPr>
      </w:pPr>
    </w:p>
    <w:p>
      <w:pPr>
        <w:ind w:left="9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57,931,147</w:t>
      </w:r>
    </w:p>
    <w:p>
      <w:pPr>
        <w:spacing w:after="0" w:line="200" w:lineRule="exact"/>
        <w:rPr>
          <w:rFonts w:ascii="Trebuchet MS" w:cs="Trebuchet MS" w:eastAsia="Trebuchet MS" w:hAnsi="Trebuchet MS"/>
          <w:sz w:val="19"/>
          <w:szCs w:val="19"/>
          <w:color w:val="auto"/>
        </w:rPr>
      </w:pPr>
    </w:p>
    <w:p>
      <w:pPr>
        <w:spacing w:after="0" w:line="389" w:lineRule="exact"/>
        <w:rPr>
          <w:rFonts w:ascii="Trebuchet MS" w:cs="Trebuchet MS" w:eastAsia="Trebuchet MS" w:hAnsi="Trebuchet MS"/>
          <w:sz w:val="19"/>
          <w:szCs w:val="19"/>
          <w:color w:val="auto"/>
        </w:rPr>
      </w:pPr>
    </w:p>
    <w:p>
      <w:pPr>
        <w:ind w:left="9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14,980,252</w:t>
      </w:r>
    </w:p>
    <w:p>
      <w:pPr>
        <w:spacing w:after="0" w:line="184" w:lineRule="exact"/>
        <w:rPr>
          <w:rFonts w:ascii="Trebuchet MS" w:cs="Trebuchet MS" w:eastAsia="Trebuchet MS" w:hAnsi="Trebuchet MS"/>
          <w:sz w:val="19"/>
          <w:szCs w:val="19"/>
          <w:color w:val="auto"/>
        </w:rPr>
      </w:pPr>
    </w:p>
    <w:p>
      <w:pPr>
        <w:ind w:left="10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1,803,035</w:t>
      </w:r>
    </w:p>
    <w:p>
      <w:pPr>
        <w:spacing w:after="0" w:line="184" w:lineRule="exact"/>
        <w:rPr>
          <w:rFonts w:ascii="Trebuchet MS" w:cs="Trebuchet MS" w:eastAsia="Trebuchet MS" w:hAnsi="Trebuchet MS"/>
          <w:sz w:val="19"/>
          <w:szCs w:val="19"/>
          <w:color w:val="auto"/>
        </w:rPr>
      </w:pPr>
    </w:p>
    <w:p>
      <w:pPr>
        <w:ind w:left="130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75,000</w:t>
      </w:r>
    </w:p>
    <w:p>
      <w:pPr>
        <w:spacing w:after="0" w:line="184" w:lineRule="exact"/>
        <w:rPr>
          <w:rFonts w:ascii="Trebuchet MS" w:cs="Trebuchet MS" w:eastAsia="Trebuchet MS" w:hAnsi="Trebuchet MS"/>
          <w:sz w:val="19"/>
          <w:szCs w:val="19"/>
          <w:color w:val="auto"/>
        </w:rPr>
      </w:pPr>
    </w:p>
    <w:p>
      <w:pPr>
        <w:ind w:left="10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9,402,159</w:t>
      </w:r>
    </w:p>
    <w:p>
      <w:pPr>
        <w:spacing w:after="0" w:line="184" w:lineRule="exact"/>
        <w:rPr>
          <w:rFonts w:ascii="Trebuchet MS" w:cs="Trebuchet MS" w:eastAsia="Trebuchet MS" w:hAnsi="Trebuchet MS"/>
          <w:sz w:val="19"/>
          <w:szCs w:val="19"/>
          <w:color w:val="auto"/>
        </w:rPr>
      </w:pPr>
    </w:p>
    <w:p>
      <w:pPr>
        <w:ind w:left="120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608,494</w:t>
      </w:r>
    </w:p>
    <w:p>
      <w:pPr>
        <w:spacing w:after="0" w:line="184" w:lineRule="exact"/>
        <w:rPr>
          <w:rFonts w:ascii="Trebuchet MS" w:cs="Trebuchet MS" w:eastAsia="Trebuchet MS" w:hAnsi="Trebuchet MS"/>
          <w:sz w:val="19"/>
          <w:szCs w:val="19"/>
          <w:color w:val="auto"/>
        </w:rPr>
      </w:pPr>
    </w:p>
    <w:p>
      <w:pPr>
        <w:ind w:left="10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4,475,254</w:t>
      </w:r>
    </w:p>
    <w:p>
      <w:pPr>
        <w:spacing w:after="0" w:line="211" w:lineRule="exact"/>
        <w:rPr>
          <w:rFonts w:ascii="Trebuchet MS" w:cs="Trebuchet MS" w:eastAsia="Trebuchet MS" w:hAnsi="Trebuchet MS"/>
          <w:sz w:val="19"/>
          <w:szCs w:val="19"/>
          <w:color w:val="auto"/>
        </w:rPr>
      </w:pPr>
    </w:p>
    <w:p>
      <w:pPr>
        <w:ind w:left="9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31,344,194</w:t>
      </w:r>
    </w:p>
    <w:p>
      <w:pPr>
        <w:spacing w:after="0" w:line="211" w:lineRule="exact"/>
        <w:rPr>
          <w:rFonts w:ascii="Trebuchet MS" w:cs="Trebuchet MS" w:eastAsia="Trebuchet MS" w:hAnsi="Trebuchet MS"/>
          <w:sz w:val="19"/>
          <w:szCs w:val="19"/>
          <w:color w:val="auto"/>
        </w:rPr>
      </w:pPr>
    </w:p>
    <w:p>
      <w:pPr>
        <w:ind w:left="925"/>
        <w:spacing w:after="0"/>
        <w:rPr>
          <w:rFonts w:ascii="Trebuchet MS" w:cs="Trebuchet MS" w:eastAsia="Trebuchet MS" w:hAnsi="Trebuchet MS"/>
          <w:sz w:val="19"/>
          <w:szCs w:val="19"/>
          <w:color w:val="auto"/>
        </w:rPr>
      </w:pPr>
      <w:r>
        <w:rPr>
          <w:rFonts w:ascii="Trebuchet MS" w:cs="Trebuchet MS" w:eastAsia="Trebuchet MS" w:hAnsi="Trebuchet MS"/>
          <w:sz w:val="19"/>
          <w:szCs w:val="19"/>
          <w:color w:val="auto"/>
        </w:rPr>
        <w:t>26,586,953</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rebuchet MS" w:cs="Trebuchet MS" w:eastAsia="Trebuchet MS" w:hAnsi="Trebuchet MS"/>
          <w:sz w:val="19"/>
          <w:szCs w:val="19"/>
          <w:color w:val="auto"/>
        </w:rPr>
        <w:t>(1,529,501 )</w:t>
      </w:r>
    </w:p>
    <w:p>
      <w:pPr>
        <w:spacing w:after="0" w:line="184" w:lineRule="exact"/>
        <w:rPr>
          <w:sz w:val="20"/>
          <w:szCs w:val="20"/>
          <w:color w:val="auto"/>
        </w:rPr>
      </w:pPr>
    </w:p>
    <w:p>
      <w:pPr>
        <w:ind w:left="1305"/>
        <w:spacing w:after="0"/>
        <w:rPr>
          <w:sz w:val="20"/>
          <w:szCs w:val="20"/>
          <w:color w:val="auto"/>
        </w:rPr>
      </w:pPr>
      <w:r>
        <w:rPr>
          <w:rFonts w:ascii="Trebuchet MS" w:cs="Trebuchet MS" w:eastAsia="Trebuchet MS" w:hAnsi="Trebuchet MS"/>
          <w:sz w:val="19"/>
          <w:szCs w:val="19"/>
          <w:color w:val="auto"/>
        </w:rPr>
        <w:t>14,591</w:t>
      </w:r>
    </w:p>
    <w:p>
      <w:pPr>
        <w:spacing w:after="0" w:line="9" w:lineRule="exact"/>
        <w:rPr>
          <w:sz w:val="20"/>
          <w:szCs w:val="20"/>
          <w:color w:val="auto"/>
        </w:rPr>
      </w:pPr>
    </w:p>
    <w:p>
      <w:pPr>
        <w:jc w:val="right"/>
        <w:spacing w:after="0"/>
        <w:rPr>
          <w:sz w:val="20"/>
          <w:szCs w:val="20"/>
          <w:color w:val="auto"/>
        </w:rPr>
      </w:pPr>
      <w:r>
        <w:rPr>
          <w:rFonts w:ascii="Trebuchet MS" w:cs="Trebuchet MS" w:eastAsia="Trebuchet MS" w:hAnsi="Trebuchet MS"/>
          <w:sz w:val="19"/>
          <w:szCs w:val="19"/>
          <w:color w:val="auto"/>
        </w:rPr>
        <w:t>(7,841,401 )</w:t>
      </w:r>
    </w:p>
    <w:p>
      <w:pPr>
        <w:spacing w:after="0" w:line="184" w:lineRule="exact"/>
        <w:rPr>
          <w:sz w:val="20"/>
          <w:szCs w:val="20"/>
          <w:color w:val="auto"/>
        </w:rPr>
      </w:pPr>
    </w:p>
    <w:p>
      <w:pPr>
        <w:ind w:left="1025"/>
        <w:spacing w:after="0"/>
        <w:rPr>
          <w:sz w:val="20"/>
          <w:szCs w:val="20"/>
          <w:color w:val="auto"/>
        </w:rPr>
      </w:pPr>
      <w:r>
        <w:rPr>
          <w:rFonts w:ascii="Trebuchet MS" w:cs="Trebuchet MS" w:eastAsia="Trebuchet MS" w:hAnsi="Trebuchet MS"/>
          <w:sz w:val="19"/>
          <w:szCs w:val="19"/>
          <w:color w:val="auto"/>
        </w:rPr>
        <w:t>1,189,321</w:t>
      </w:r>
    </w:p>
    <w:p>
      <w:pPr>
        <w:spacing w:after="0" w:line="211" w:lineRule="exact"/>
        <w:rPr>
          <w:sz w:val="20"/>
          <w:szCs w:val="20"/>
          <w:color w:val="auto"/>
        </w:rPr>
      </w:pPr>
    </w:p>
    <w:p>
      <w:pPr>
        <w:jc w:val="right"/>
        <w:spacing w:after="0"/>
        <w:rPr>
          <w:sz w:val="20"/>
          <w:szCs w:val="20"/>
          <w:color w:val="auto"/>
        </w:rPr>
      </w:pPr>
      <w:r>
        <w:rPr>
          <w:rFonts w:ascii="Trebuchet MS" w:cs="Trebuchet MS" w:eastAsia="Trebuchet MS" w:hAnsi="Trebuchet MS"/>
          <w:sz w:val="19"/>
          <w:szCs w:val="19"/>
          <w:color w:val="auto"/>
        </w:rPr>
        <w:t>(8,166,990 )</w:t>
      </w:r>
    </w:p>
    <w:p>
      <w:pPr>
        <w:spacing w:after="0" w:line="211" w:lineRule="exact"/>
        <w:rPr>
          <w:sz w:val="20"/>
          <w:szCs w:val="20"/>
          <w:color w:val="auto"/>
        </w:rPr>
      </w:pPr>
    </w:p>
    <w:p>
      <w:pPr>
        <w:ind w:left="925" w:hanging="925"/>
        <w:spacing w:after="0"/>
        <w:tabs>
          <w:tab w:leader="none" w:pos="925" w:val="left"/>
        </w:tabs>
        <w:numPr>
          <w:ilvl w:val="0"/>
          <w:numId w:val="117"/>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18,419,963</w:t>
      </w:r>
    </w:p>
    <w:p>
      <w:pPr>
        <w:spacing w:after="0" w:line="207" w:lineRule="exact"/>
        <w:rPr>
          <w:sz w:val="20"/>
          <w:szCs w:val="20"/>
          <w:color w:val="auto"/>
        </w:rPr>
      </w:pPr>
    </w:p>
    <w:p>
      <w:pPr>
        <w:sectPr>
          <w:pgSz w:w="11900" w:h="16838" w:orient="portrait"/>
          <w:cols w:equalWidth="0" w:num="2">
            <w:col w:w="8515" w:space="720"/>
            <w:col w:w="1965"/>
          </w:cols>
          <w:pgMar w:left="340" w:top="352" w:right="359" w:bottom="1440" w:gutter="0" w:footer="0" w:header="0"/>
          <w:type w:val="continuous"/>
        </w:sectPr>
      </w:pPr>
    </w:p>
    <w:p>
      <w:pPr>
        <w:spacing w:after="0" w:line="112"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i w:val="1"/>
          <w:iCs w:val="1"/>
          <w:color w:val="auto"/>
        </w:rPr>
        <w:t>The accompanying notes are an integral part of these consolidated financial statements.</w:t>
      </w:r>
    </w:p>
    <w:p>
      <w:pPr>
        <w:spacing w:after="0" w:line="236"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53975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52" w:right="359" w:bottom="1440" w:gutter="0" w:footer="0" w:header="0"/>
          <w:type w:val="continuous"/>
        </w:sectPr>
      </w:pPr>
    </w:p>
    <w:bookmarkStart w:id="128" w:name="page129"/>
    <w:bookmarkEnd w:id="128"/>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64"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Consolidated Statement of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23430" cy="260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7">
                      <a:extLst>
                        <a:ext uri="{28A0092B-C50C-407E-A947-70E740481C1C}"/>
                      </a:extLst>
                    </a:blip>
                    <a:srcRect/>
                    <a:stretch>
                      <a:fillRect/>
                    </a:stretch>
                  </pic:blipFill>
                  <pic:spPr bwMode="auto">
                    <a:xfrm>
                      <a:off x="0" y="0"/>
                      <a:ext cx="7123430" cy="2603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60" w:type="dxa"/>
            <w:vAlign w:val="bottom"/>
          </w:tcPr>
          <w:p>
            <w:pPr>
              <w:spacing w:after="0"/>
              <w:rPr>
                <w:sz w:val="19"/>
                <w:szCs w:val="19"/>
                <w:color w:val="auto"/>
              </w:rPr>
            </w:pPr>
          </w:p>
        </w:tc>
        <w:tc>
          <w:tcPr>
            <w:tcW w:w="3960" w:type="dxa"/>
            <w:vAlign w:val="bottom"/>
            <w:vMerge w:val="restart"/>
          </w:tcPr>
          <w:p>
            <w:pPr>
              <w:jc w:val="right"/>
              <w:ind w:right="606"/>
              <w:spacing w:after="0"/>
              <w:rPr>
                <w:sz w:val="20"/>
                <w:szCs w:val="20"/>
                <w:color w:val="auto"/>
              </w:rPr>
            </w:pPr>
            <w:r>
              <w:rPr>
                <w:rFonts w:ascii="Trebuchet MS" w:cs="Trebuchet MS" w:eastAsia="Trebuchet MS" w:hAnsi="Trebuchet MS"/>
                <w:sz w:val="19"/>
                <w:szCs w:val="19"/>
                <w:b w:val="1"/>
                <w:bCs w:val="1"/>
                <w:color w:val="auto"/>
              </w:rPr>
              <w:t>Units</w:t>
            </w:r>
          </w:p>
        </w:tc>
        <w:tc>
          <w:tcPr>
            <w:tcW w:w="380" w:type="dxa"/>
            <w:vAlign w:val="bottom"/>
          </w:tcPr>
          <w:p>
            <w:pPr>
              <w:spacing w:after="0"/>
              <w:rPr>
                <w:sz w:val="19"/>
                <w:szCs w:val="19"/>
                <w:color w:val="auto"/>
              </w:rPr>
            </w:pPr>
          </w:p>
        </w:tc>
        <w:tc>
          <w:tcPr>
            <w:tcW w:w="1440" w:type="dxa"/>
            <w:vAlign w:val="bottom"/>
          </w:tcPr>
          <w:p>
            <w:pPr>
              <w:jc w:val="right"/>
              <w:ind w:right="366"/>
              <w:spacing w:after="0"/>
              <w:rPr>
                <w:sz w:val="20"/>
                <w:szCs w:val="20"/>
                <w:color w:val="auto"/>
              </w:rPr>
            </w:pPr>
            <w:r>
              <w:rPr>
                <w:rFonts w:ascii="Trebuchet MS" w:cs="Trebuchet MS" w:eastAsia="Trebuchet MS" w:hAnsi="Trebuchet MS"/>
                <w:sz w:val="19"/>
                <w:szCs w:val="19"/>
                <w:b w:val="1"/>
                <w:bCs w:val="1"/>
                <w:color w:val="auto"/>
              </w:rPr>
              <w:t>Member’s</w:t>
            </w:r>
          </w:p>
        </w:tc>
        <w:tc>
          <w:tcPr>
            <w:tcW w:w="0" w:type="dxa"/>
            <w:vAlign w:val="bottom"/>
          </w:tcPr>
          <w:p>
            <w:pPr>
              <w:spacing w:after="0"/>
              <w:rPr>
                <w:sz w:val="1"/>
                <w:szCs w:val="1"/>
                <w:color w:val="auto"/>
              </w:rPr>
            </w:pPr>
          </w:p>
        </w:tc>
      </w:tr>
      <w:tr>
        <w:trPr>
          <w:trHeight w:val="224"/>
        </w:trPr>
        <w:tc>
          <w:tcPr>
            <w:tcW w:w="546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6"/>
              <w:spacing w:after="0"/>
              <w:rPr>
                <w:sz w:val="20"/>
                <w:szCs w:val="20"/>
                <w:color w:val="auto"/>
              </w:rPr>
            </w:pPr>
            <w:r>
              <w:rPr>
                <w:rFonts w:ascii="Trebuchet MS" w:cs="Trebuchet MS" w:eastAsia="Trebuchet MS" w:hAnsi="Trebuchet MS"/>
                <w:sz w:val="19"/>
                <w:szCs w:val="19"/>
                <w:b w:val="1"/>
                <w:bCs w:val="1"/>
                <w:color w:val="auto"/>
              </w:rPr>
              <w:t>Equity</w:t>
            </w:r>
          </w:p>
        </w:tc>
        <w:tc>
          <w:tcPr>
            <w:tcW w:w="0" w:type="dxa"/>
            <w:vAlign w:val="bottom"/>
          </w:tcPr>
          <w:p>
            <w:pPr>
              <w:spacing w:after="0"/>
              <w:rPr>
                <w:sz w:val="1"/>
                <w:szCs w:val="1"/>
                <w:color w:val="auto"/>
              </w:rPr>
            </w:pPr>
          </w:p>
        </w:tc>
      </w:tr>
      <w:tr>
        <w:trPr>
          <w:trHeight w:val="391"/>
        </w:trPr>
        <w:tc>
          <w:tcPr>
            <w:tcW w:w="54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Balance, October 1, 2020</w:t>
            </w:r>
          </w:p>
        </w:tc>
        <w:tc>
          <w:tcPr>
            <w:tcW w:w="3960" w:type="dxa"/>
            <w:vAlign w:val="bottom"/>
          </w:tcPr>
          <w:p>
            <w:pPr>
              <w:jc w:val="right"/>
              <w:ind w:right="66"/>
              <w:spacing w:after="0"/>
              <w:rPr>
                <w:sz w:val="20"/>
                <w:szCs w:val="20"/>
                <w:color w:val="auto"/>
              </w:rPr>
            </w:pPr>
            <w:r>
              <w:rPr>
                <w:rFonts w:ascii="Trebuchet MS" w:cs="Trebuchet MS" w:eastAsia="Trebuchet MS" w:hAnsi="Trebuchet MS"/>
                <w:sz w:val="19"/>
                <w:szCs w:val="19"/>
                <w:color w:val="auto"/>
              </w:rPr>
              <w:t>180,805</w:t>
            </w:r>
          </w:p>
        </w:tc>
        <w:tc>
          <w:tcPr>
            <w:tcW w:w="3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14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3,937,575</w:t>
            </w:r>
          </w:p>
        </w:tc>
        <w:tc>
          <w:tcPr>
            <w:tcW w:w="0" w:type="dxa"/>
            <w:vAlign w:val="bottom"/>
          </w:tcPr>
          <w:p>
            <w:pPr>
              <w:spacing w:after="0"/>
              <w:rPr>
                <w:sz w:val="1"/>
                <w:szCs w:val="1"/>
                <w:color w:val="auto"/>
              </w:rPr>
            </w:pPr>
          </w:p>
        </w:tc>
      </w:tr>
      <w:tr>
        <w:trPr>
          <w:trHeight w:val="233"/>
        </w:trPr>
        <w:tc>
          <w:tcPr>
            <w:tcW w:w="54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Net income</w:t>
            </w:r>
          </w:p>
        </w:tc>
        <w:tc>
          <w:tcPr>
            <w:tcW w:w="396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w:t>
            </w:r>
          </w:p>
        </w:tc>
        <w:tc>
          <w:tcPr>
            <w:tcW w:w="380" w:type="dxa"/>
            <w:vAlign w:val="bottom"/>
          </w:tcPr>
          <w:p>
            <w:pPr>
              <w:spacing w:after="0"/>
              <w:rPr>
                <w:sz w:val="20"/>
                <w:szCs w:val="20"/>
                <w:color w:val="auto"/>
              </w:rPr>
            </w:pPr>
          </w:p>
        </w:tc>
        <w:tc>
          <w:tcPr>
            <w:tcW w:w="14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18,419,963</w:t>
            </w:r>
          </w:p>
        </w:tc>
        <w:tc>
          <w:tcPr>
            <w:tcW w:w="0" w:type="dxa"/>
            <w:vAlign w:val="bottom"/>
          </w:tcPr>
          <w:p>
            <w:pPr>
              <w:spacing w:after="0"/>
              <w:rPr>
                <w:sz w:val="1"/>
                <w:szCs w:val="1"/>
                <w:color w:val="auto"/>
              </w:rPr>
            </w:pPr>
          </w:p>
        </w:tc>
      </w:tr>
      <w:tr>
        <w:trPr>
          <w:trHeight w:val="190"/>
        </w:trPr>
        <w:tc>
          <w:tcPr>
            <w:tcW w:w="5460" w:type="dxa"/>
            <w:vAlign w:val="bottom"/>
            <w:tcBorders>
              <w:bottom w:val="single" w:sz="8" w:color="auto"/>
            </w:tcBorders>
          </w:tcPr>
          <w:p>
            <w:pPr>
              <w:spacing w:after="0"/>
              <w:rPr>
                <w:sz w:val="16"/>
                <w:szCs w:val="16"/>
                <w:color w:val="auto"/>
              </w:rPr>
            </w:pPr>
          </w:p>
        </w:tc>
        <w:tc>
          <w:tcPr>
            <w:tcW w:w="39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5"/>
        </w:trPr>
        <w:tc>
          <w:tcPr>
            <w:tcW w:w="546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Balance, September 30, 2021</w:t>
            </w:r>
          </w:p>
        </w:tc>
        <w:tc>
          <w:tcPr>
            <w:tcW w:w="3960" w:type="dxa"/>
            <w:vAlign w:val="bottom"/>
            <w:tcBorders>
              <w:bottom w:val="single" w:sz="8" w:color="auto"/>
            </w:tcBorders>
          </w:tcPr>
          <w:p>
            <w:pPr>
              <w:jc w:val="right"/>
              <w:ind w:right="66"/>
              <w:spacing w:after="0"/>
              <w:rPr>
                <w:sz w:val="20"/>
                <w:szCs w:val="20"/>
                <w:color w:val="auto"/>
              </w:rPr>
            </w:pPr>
            <w:r>
              <w:rPr>
                <w:rFonts w:ascii="Trebuchet MS" w:cs="Trebuchet MS" w:eastAsia="Trebuchet MS" w:hAnsi="Trebuchet MS"/>
                <w:sz w:val="19"/>
                <w:szCs w:val="19"/>
                <w:color w:val="auto"/>
              </w:rPr>
              <w:t>180,805</w:t>
            </w:r>
          </w:p>
        </w:tc>
        <w:tc>
          <w:tcPr>
            <w:tcW w:w="3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144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22,357,538</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i w:val="1"/>
          <w:iCs w:val="1"/>
          <w:color w:val="auto"/>
        </w:rPr>
        <w:t>The accompanying notes are an integral part of these consolidated financial statements.</w:t>
      </w:r>
    </w:p>
    <w:p>
      <w:pPr>
        <w:spacing w:after="0" w:line="21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29" w:name="page130"/>
    <w:bookmarkEnd w:id="129"/>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711517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9">
                      <a:extLst>
                        <a:ext uri="{28A0092B-C50C-407E-A947-70E740481C1C}"/>
                      </a:extLst>
                    </a:blip>
                    <a:srcRect/>
                    <a:stretch>
                      <a:fillRect/>
                    </a:stretch>
                  </pic:blipFill>
                  <pic:spPr bwMode="auto">
                    <a:xfrm>
                      <a:off x="0" y="0"/>
                      <a:ext cx="7115175" cy="254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8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Year Ended September 30,</w:t>
            </w:r>
          </w:p>
        </w:tc>
        <w:tc>
          <w:tcPr>
            <w:tcW w:w="5060" w:type="dxa"/>
            <w:vAlign w:val="bottom"/>
            <w:tcBorders>
              <w:bottom w:val="single" w:sz="8" w:color="auto"/>
            </w:tcBorders>
          </w:tcPr>
          <w:p>
            <w:pPr>
              <w:jc w:val="right"/>
              <w:ind w:right="746"/>
              <w:spacing w:after="0"/>
              <w:rPr>
                <w:sz w:val="20"/>
                <w:szCs w:val="20"/>
                <w:color w:val="auto"/>
              </w:rPr>
            </w:pPr>
            <w:r>
              <w:rPr>
                <w:rFonts w:ascii="Trebuchet MS" w:cs="Trebuchet MS" w:eastAsia="Trebuchet MS" w:hAnsi="Trebuchet MS"/>
                <w:sz w:val="19"/>
                <w:szCs w:val="19"/>
                <w:b w:val="1"/>
                <w:bCs w:val="1"/>
                <w:color w:val="auto"/>
              </w:rPr>
              <w:t>2021</w:t>
            </w:r>
          </w:p>
        </w:tc>
      </w:tr>
    </w:tbl>
    <w:p>
      <w:pPr>
        <w:spacing w:after="0" w:line="168"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Cash Flows from Operating Activities</w:t>
      </w:r>
    </w:p>
    <w:p>
      <w:pPr>
        <w:sectPr>
          <w:pgSz w:w="11900" w:h="16838" w:orient="portrait"/>
          <w:cols w:equalWidth="0" w:num="1">
            <w:col w:w="11240"/>
          </w:cols>
          <w:pgMar w:left="320" w:top="352" w:right="339" w:bottom="1440" w:gutter="0" w:footer="0" w:header="0"/>
        </w:sectPr>
      </w:pPr>
    </w:p>
    <w:p>
      <w:pPr>
        <w:spacing w:after="0" w:line="186"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Net income</w:t>
      </w:r>
    </w:p>
    <w:p>
      <w:pPr>
        <w:ind w:left="440" w:right="3335" w:hanging="170"/>
        <w:spacing w:after="0" w:line="225" w:lineRule="auto"/>
        <w:rPr>
          <w:sz w:val="20"/>
          <w:szCs w:val="20"/>
          <w:color w:val="auto"/>
        </w:rPr>
      </w:pPr>
      <w:r>
        <w:rPr>
          <w:rFonts w:ascii="Trebuchet MS" w:cs="Trebuchet MS" w:eastAsia="Trebuchet MS" w:hAnsi="Trebuchet MS"/>
          <w:sz w:val="19"/>
          <w:szCs w:val="19"/>
          <w:color w:val="auto"/>
        </w:rPr>
        <w:t>Adjustments to reconcile net income to net cash provided by operating activities:</w:t>
      </w:r>
    </w:p>
    <w:p>
      <w:pPr>
        <w:spacing w:after="0" w:line="180"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Depreciation, depletion and amortization</w:t>
      </w:r>
    </w:p>
    <w:p>
      <w:pPr>
        <w:spacing w:after="0" w:line="184"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Interest expense paid in kind</w:t>
      </w:r>
    </w:p>
    <w:p>
      <w:pPr>
        <w:spacing w:after="0" w:line="184"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Amortization of deferred loan costs</w:t>
      </w:r>
    </w:p>
    <w:p>
      <w:pPr>
        <w:spacing w:after="0" w:line="184"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Accretion of asset retirement obligations</w:t>
      </w:r>
    </w:p>
    <w:p>
      <w:pPr>
        <w:spacing w:after="0" w:line="9"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Gain on forgiveness of debt</w:t>
      </w:r>
    </w:p>
    <w:p>
      <w:pPr>
        <w:spacing w:after="0" w:line="184"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Loss on derivative instruments</w:t>
      </w:r>
    </w:p>
    <w:p>
      <w:pPr>
        <w:spacing w:after="0" w:line="9"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Derivative premiums paid</w:t>
      </w:r>
    </w:p>
    <w:p>
      <w:pPr>
        <w:spacing w:after="0" w:line="9"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Derivative cash settlements paid</w:t>
      </w:r>
    </w:p>
    <w:p>
      <w:pPr>
        <w:spacing w:after="0" w:line="9"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Settlements of asset retirement obligations</w:t>
      </w:r>
    </w:p>
    <w:p>
      <w:pPr>
        <w:spacing w:after="0" w:line="180" w:lineRule="exact"/>
        <w:rPr>
          <w:sz w:val="20"/>
          <w:szCs w:val="20"/>
          <w:color w:val="auto"/>
        </w:rPr>
      </w:pPr>
    </w:p>
    <w:p>
      <w:pPr>
        <w:ind w:left="260"/>
        <w:spacing w:after="0"/>
        <w:rPr>
          <w:sz w:val="20"/>
          <w:szCs w:val="20"/>
          <w:color w:val="auto"/>
        </w:rPr>
      </w:pPr>
      <w:r>
        <w:rPr>
          <w:rFonts w:ascii="Trebuchet MS" w:cs="Trebuchet MS" w:eastAsia="Trebuchet MS" w:hAnsi="Trebuchet MS"/>
          <w:sz w:val="19"/>
          <w:szCs w:val="19"/>
          <w:color w:val="auto"/>
        </w:rPr>
        <w:t>Changes in operating assets and liabilities:</w:t>
      </w:r>
    </w:p>
    <w:p>
      <w:pPr>
        <w:ind w:left="520"/>
        <w:spacing w:after="0"/>
        <w:rPr>
          <w:sz w:val="20"/>
          <w:szCs w:val="20"/>
          <w:color w:val="auto"/>
        </w:rPr>
      </w:pPr>
      <w:r>
        <w:rPr>
          <w:rFonts w:ascii="Trebuchet MS" w:cs="Trebuchet MS" w:eastAsia="Trebuchet MS" w:hAnsi="Trebuchet MS"/>
          <w:sz w:val="19"/>
          <w:szCs w:val="19"/>
          <w:color w:val="auto"/>
        </w:rPr>
        <w:t>Accounts receivable</w:t>
      </w:r>
    </w:p>
    <w:p>
      <w:pPr>
        <w:spacing w:after="0" w:line="9"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Prepaid expenses and other assets</w:t>
      </w:r>
    </w:p>
    <w:p>
      <w:pPr>
        <w:spacing w:after="0" w:line="9"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Accounts payable and revenue payable</w:t>
      </w:r>
    </w:p>
    <w:p>
      <w:pPr>
        <w:spacing w:after="0" w:line="9" w:lineRule="exact"/>
        <w:rPr>
          <w:sz w:val="20"/>
          <w:szCs w:val="20"/>
          <w:color w:val="auto"/>
        </w:rPr>
      </w:pPr>
    </w:p>
    <w:p>
      <w:pPr>
        <w:ind w:left="520"/>
        <w:spacing w:after="0"/>
        <w:rPr>
          <w:sz w:val="20"/>
          <w:szCs w:val="20"/>
          <w:color w:val="auto"/>
        </w:rPr>
      </w:pPr>
      <w:r>
        <w:rPr>
          <w:rFonts w:ascii="Trebuchet MS" w:cs="Trebuchet MS" w:eastAsia="Trebuchet MS" w:hAnsi="Trebuchet MS"/>
          <w:sz w:val="19"/>
          <w:szCs w:val="19"/>
          <w:color w:val="auto"/>
        </w:rPr>
        <w:t>Accrued liabilities</w:t>
      </w:r>
    </w:p>
    <w:p>
      <w:pPr>
        <w:spacing w:after="0" w:line="192"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925" w:hanging="925"/>
        <w:spacing w:after="0"/>
        <w:tabs>
          <w:tab w:leader="none" w:pos="925" w:val="left"/>
        </w:tabs>
        <w:numPr>
          <w:ilvl w:val="0"/>
          <w:numId w:val="118"/>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18,419,963</w:t>
      </w:r>
    </w:p>
    <w:p>
      <w:pPr>
        <w:spacing w:after="0" w:line="200" w:lineRule="exact"/>
        <w:rPr>
          <w:sz w:val="20"/>
          <w:szCs w:val="20"/>
          <w:color w:val="auto"/>
        </w:rPr>
      </w:pPr>
    </w:p>
    <w:p>
      <w:pPr>
        <w:spacing w:after="0" w:line="295" w:lineRule="exact"/>
        <w:rPr>
          <w:sz w:val="20"/>
          <w:szCs w:val="20"/>
          <w:color w:val="auto"/>
        </w:rPr>
      </w:pPr>
    </w:p>
    <w:p>
      <w:pPr>
        <w:ind w:left="1025"/>
        <w:spacing w:after="0"/>
        <w:rPr>
          <w:sz w:val="20"/>
          <w:szCs w:val="20"/>
          <w:color w:val="auto"/>
        </w:rPr>
      </w:pPr>
      <w:r>
        <w:rPr>
          <w:rFonts w:ascii="Trebuchet MS" w:cs="Trebuchet MS" w:eastAsia="Trebuchet MS" w:hAnsi="Trebuchet MS"/>
          <w:sz w:val="19"/>
          <w:szCs w:val="19"/>
          <w:color w:val="auto"/>
        </w:rPr>
        <w:t>9,402,159</w:t>
      </w:r>
    </w:p>
    <w:p>
      <w:pPr>
        <w:spacing w:after="0" w:line="184" w:lineRule="exact"/>
        <w:rPr>
          <w:sz w:val="20"/>
          <w:szCs w:val="20"/>
          <w:color w:val="auto"/>
        </w:rPr>
      </w:pPr>
    </w:p>
    <w:p>
      <w:pPr>
        <w:ind w:left="1025"/>
        <w:spacing w:after="0"/>
        <w:rPr>
          <w:sz w:val="20"/>
          <w:szCs w:val="20"/>
          <w:color w:val="auto"/>
        </w:rPr>
      </w:pPr>
      <w:r>
        <w:rPr>
          <w:rFonts w:ascii="Trebuchet MS" w:cs="Trebuchet MS" w:eastAsia="Trebuchet MS" w:hAnsi="Trebuchet MS"/>
          <w:sz w:val="19"/>
          <w:szCs w:val="19"/>
          <w:color w:val="auto"/>
        </w:rPr>
        <w:t>1,280,153</w:t>
      </w:r>
    </w:p>
    <w:p>
      <w:pPr>
        <w:spacing w:after="0" w:line="184" w:lineRule="exact"/>
        <w:rPr>
          <w:sz w:val="20"/>
          <w:szCs w:val="20"/>
          <w:color w:val="auto"/>
        </w:rPr>
      </w:pPr>
    </w:p>
    <w:p>
      <w:pPr>
        <w:ind w:left="1205"/>
        <w:spacing w:after="0"/>
        <w:rPr>
          <w:sz w:val="20"/>
          <w:szCs w:val="20"/>
          <w:color w:val="auto"/>
        </w:rPr>
      </w:pPr>
      <w:r>
        <w:rPr>
          <w:rFonts w:ascii="Trebuchet MS" w:cs="Trebuchet MS" w:eastAsia="Trebuchet MS" w:hAnsi="Trebuchet MS"/>
          <w:sz w:val="19"/>
          <w:szCs w:val="19"/>
          <w:color w:val="auto"/>
        </w:rPr>
        <w:t>209,050</w:t>
      </w:r>
    </w:p>
    <w:p>
      <w:pPr>
        <w:spacing w:after="0" w:line="184" w:lineRule="exact"/>
        <w:rPr>
          <w:sz w:val="20"/>
          <w:szCs w:val="20"/>
          <w:color w:val="auto"/>
        </w:rPr>
      </w:pPr>
    </w:p>
    <w:p>
      <w:pPr>
        <w:ind w:left="1205"/>
        <w:spacing w:after="0"/>
        <w:rPr>
          <w:sz w:val="20"/>
          <w:szCs w:val="20"/>
          <w:color w:val="auto"/>
        </w:rPr>
      </w:pPr>
      <w:r>
        <w:rPr>
          <w:rFonts w:ascii="Trebuchet MS" w:cs="Trebuchet MS" w:eastAsia="Trebuchet MS" w:hAnsi="Trebuchet MS"/>
          <w:sz w:val="19"/>
          <w:szCs w:val="19"/>
          <w:color w:val="auto"/>
        </w:rPr>
        <w:t>608,494</w:t>
      </w:r>
    </w:p>
    <w:p>
      <w:pPr>
        <w:spacing w:after="0" w:line="90" w:lineRule="exact"/>
        <w:rPr>
          <w:sz w:val="20"/>
          <w:szCs w:val="20"/>
          <w:color w:val="auto"/>
        </w:rPr>
      </w:pPr>
    </w:p>
    <w:p>
      <w:pPr>
        <w:jc w:val="right"/>
        <w:ind w:right="20"/>
        <w:spacing w:after="0"/>
        <w:rPr>
          <w:sz w:val="20"/>
          <w:szCs w:val="20"/>
          <w:color w:val="auto"/>
        </w:rPr>
      </w:pPr>
      <w:r>
        <w:rPr>
          <w:rFonts w:ascii="Trebuchet MS" w:cs="Trebuchet MS" w:eastAsia="Trebuchet MS" w:hAnsi="Trebuchet MS"/>
          <w:sz w:val="19"/>
          <w:szCs w:val="19"/>
          <w:color w:val="auto"/>
        </w:rPr>
        <w:t>(1,025,700 )</w:t>
      </w:r>
    </w:p>
    <w:p>
      <w:pPr>
        <w:spacing w:after="0" w:line="103" w:lineRule="exact"/>
        <w:rPr>
          <w:sz w:val="20"/>
          <w:szCs w:val="20"/>
          <w:color w:val="auto"/>
        </w:rPr>
      </w:pPr>
    </w:p>
    <w:p>
      <w:pPr>
        <w:ind w:left="1025"/>
        <w:spacing w:after="0"/>
        <w:rPr>
          <w:sz w:val="20"/>
          <w:szCs w:val="20"/>
          <w:color w:val="auto"/>
        </w:rPr>
      </w:pPr>
      <w:r>
        <w:rPr>
          <w:rFonts w:ascii="Trebuchet MS" w:cs="Trebuchet MS" w:eastAsia="Trebuchet MS" w:hAnsi="Trebuchet MS"/>
          <w:sz w:val="19"/>
          <w:szCs w:val="19"/>
          <w:color w:val="auto"/>
        </w:rPr>
        <w:t>7,841,401</w:t>
      </w:r>
    </w:p>
    <w:p>
      <w:pPr>
        <w:spacing w:after="0" w:line="90" w:lineRule="exact"/>
        <w:rPr>
          <w:sz w:val="20"/>
          <w:szCs w:val="20"/>
          <w:color w:val="auto"/>
        </w:rPr>
      </w:pPr>
    </w:p>
    <w:p>
      <w:pPr>
        <w:jc w:val="right"/>
        <w:ind w:right="20"/>
        <w:spacing w:after="0"/>
        <w:rPr>
          <w:sz w:val="20"/>
          <w:szCs w:val="20"/>
          <w:color w:val="auto"/>
        </w:rPr>
      </w:pPr>
      <w:r>
        <w:rPr>
          <w:rFonts w:ascii="Trebuchet MS" w:cs="Trebuchet MS" w:eastAsia="Trebuchet MS" w:hAnsi="Trebuchet MS"/>
          <w:sz w:val="19"/>
          <w:szCs w:val="19"/>
          <w:color w:val="auto"/>
        </w:rPr>
        <w:t>(635,011 )</w:t>
      </w:r>
    </w:p>
    <w:p>
      <w:pPr>
        <w:spacing w:after="0" w:line="9" w:lineRule="exact"/>
        <w:rPr>
          <w:sz w:val="20"/>
          <w:szCs w:val="20"/>
          <w:color w:val="auto"/>
        </w:rPr>
      </w:pPr>
    </w:p>
    <w:p>
      <w:pPr>
        <w:jc w:val="right"/>
        <w:ind w:right="20"/>
        <w:spacing w:after="0"/>
        <w:rPr>
          <w:sz w:val="20"/>
          <w:szCs w:val="20"/>
          <w:color w:val="auto"/>
        </w:rPr>
      </w:pPr>
      <w:r>
        <w:rPr>
          <w:rFonts w:ascii="Trebuchet MS" w:cs="Trebuchet MS" w:eastAsia="Trebuchet MS" w:hAnsi="Trebuchet MS"/>
          <w:sz w:val="19"/>
          <w:szCs w:val="19"/>
          <w:color w:val="auto"/>
        </w:rPr>
        <w:t>(983,259 )</w:t>
      </w:r>
    </w:p>
    <w:p>
      <w:pPr>
        <w:spacing w:after="0" w:line="9" w:lineRule="exact"/>
        <w:rPr>
          <w:sz w:val="20"/>
          <w:szCs w:val="20"/>
          <w:color w:val="auto"/>
        </w:rPr>
      </w:pPr>
    </w:p>
    <w:p>
      <w:pPr>
        <w:jc w:val="right"/>
        <w:ind w:right="20"/>
        <w:spacing w:after="0"/>
        <w:rPr>
          <w:sz w:val="20"/>
          <w:szCs w:val="20"/>
          <w:color w:val="auto"/>
        </w:rPr>
      </w:pPr>
      <w:r>
        <w:rPr>
          <w:rFonts w:ascii="Trebuchet MS" w:cs="Trebuchet MS" w:eastAsia="Trebuchet MS" w:hAnsi="Trebuchet MS"/>
          <w:sz w:val="19"/>
          <w:szCs w:val="19"/>
          <w:color w:val="auto"/>
        </w:rPr>
        <w:t>(647,654 )</w:t>
      </w:r>
    </w:p>
    <w:p>
      <w:pPr>
        <w:spacing w:after="0" w:line="200" w:lineRule="exact"/>
        <w:rPr>
          <w:sz w:val="20"/>
          <w:szCs w:val="20"/>
          <w:color w:val="auto"/>
        </w:rPr>
      </w:pPr>
    </w:p>
    <w:p>
      <w:pPr>
        <w:spacing w:after="0" w:line="227" w:lineRule="exact"/>
        <w:rPr>
          <w:sz w:val="20"/>
          <w:szCs w:val="20"/>
          <w:color w:val="auto"/>
        </w:rPr>
      </w:pPr>
    </w:p>
    <w:p>
      <w:pPr>
        <w:jc w:val="right"/>
        <w:ind w:right="20"/>
        <w:spacing w:after="0"/>
        <w:rPr>
          <w:sz w:val="20"/>
          <w:szCs w:val="20"/>
          <w:color w:val="auto"/>
        </w:rPr>
      </w:pPr>
      <w:r>
        <w:rPr>
          <w:rFonts w:ascii="Trebuchet MS" w:cs="Trebuchet MS" w:eastAsia="Trebuchet MS" w:hAnsi="Trebuchet MS"/>
          <w:sz w:val="19"/>
          <w:szCs w:val="19"/>
          <w:color w:val="auto"/>
        </w:rPr>
        <w:t>(2,796,241 )</w:t>
      </w:r>
    </w:p>
    <w:p>
      <w:pPr>
        <w:spacing w:after="0" w:line="9" w:lineRule="exact"/>
        <w:rPr>
          <w:sz w:val="20"/>
          <w:szCs w:val="20"/>
          <w:color w:val="auto"/>
        </w:rPr>
      </w:pPr>
    </w:p>
    <w:p>
      <w:pPr>
        <w:jc w:val="right"/>
        <w:ind w:right="20"/>
        <w:spacing w:after="0"/>
        <w:rPr>
          <w:sz w:val="20"/>
          <w:szCs w:val="20"/>
          <w:color w:val="auto"/>
        </w:rPr>
      </w:pPr>
      <w:r>
        <w:rPr>
          <w:rFonts w:ascii="Trebuchet MS" w:cs="Trebuchet MS" w:eastAsia="Trebuchet MS" w:hAnsi="Trebuchet MS"/>
          <w:sz w:val="19"/>
          <w:szCs w:val="19"/>
          <w:color w:val="auto"/>
        </w:rPr>
        <w:t>(17,941 )</w:t>
      </w:r>
    </w:p>
    <w:p>
      <w:pPr>
        <w:spacing w:after="0" w:line="9" w:lineRule="exact"/>
        <w:rPr>
          <w:sz w:val="20"/>
          <w:szCs w:val="20"/>
          <w:color w:val="auto"/>
        </w:rPr>
      </w:pPr>
    </w:p>
    <w:p>
      <w:pPr>
        <w:jc w:val="right"/>
        <w:ind w:right="20"/>
        <w:spacing w:after="0"/>
        <w:rPr>
          <w:sz w:val="20"/>
          <w:szCs w:val="20"/>
          <w:color w:val="auto"/>
        </w:rPr>
      </w:pPr>
      <w:r>
        <w:rPr>
          <w:rFonts w:ascii="Trebuchet MS" w:cs="Trebuchet MS" w:eastAsia="Trebuchet MS" w:hAnsi="Trebuchet MS"/>
          <w:sz w:val="19"/>
          <w:szCs w:val="19"/>
          <w:color w:val="auto"/>
        </w:rPr>
        <w:t>(2,740,375 )</w:t>
      </w:r>
    </w:p>
    <w:p>
      <w:pPr>
        <w:spacing w:after="0" w:line="184" w:lineRule="exact"/>
        <w:rPr>
          <w:sz w:val="20"/>
          <w:szCs w:val="20"/>
          <w:color w:val="auto"/>
        </w:rPr>
      </w:pPr>
    </w:p>
    <w:p>
      <w:pPr>
        <w:ind w:left="1305"/>
        <w:spacing w:after="0"/>
        <w:rPr>
          <w:sz w:val="20"/>
          <w:szCs w:val="20"/>
          <w:color w:val="auto"/>
        </w:rPr>
      </w:pPr>
      <w:r>
        <w:rPr>
          <w:rFonts w:ascii="Trebuchet MS" w:cs="Trebuchet MS" w:eastAsia="Trebuchet MS" w:hAnsi="Trebuchet MS"/>
          <w:sz w:val="19"/>
          <w:szCs w:val="19"/>
          <w:color w:val="auto"/>
        </w:rPr>
        <w:t>35,460</w:t>
      </w:r>
    </w:p>
    <w:p>
      <w:pPr>
        <w:spacing w:after="0" w:line="198" w:lineRule="exact"/>
        <w:rPr>
          <w:sz w:val="20"/>
          <w:szCs w:val="20"/>
          <w:color w:val="auto"/>
        </w:rPr>
      </w:pPr>
    </w:p>
    <w:p>
      <w:pPr>
        <w:ind w:left="925"/>
        <w:spacing w:after="0"/>
        <w:rPr>
          <w:sz w:val="20"/>
          <w:szCs w:val="20"/>
          <w:color w:val="auto"/>
        </w:rPr>
      </w:pPr>
      <w:r>
        <w:rPr>
          <w:rFonts w:ascii="Trebuchet MS" w:cs="Trebuchet MS" w:eastAsia="Trebuchet MS" w:hAnsi="Trebuchet MS"/>
          <w:sz w:val="19"/>
          <w:szCs w:val="19"/>
          <w:color w:val="auto"/>
        </w:rPr>
        <w:t>28,950,499</w:t>
      </w:r>
    </w:p>
    <w:p>
      <w:pPr>
        <w:spacing w:after="0" w:line="413" w:lineRule="exact"/>
        <w:rPr>
          <w:sz w:val="20"/>
          <w:szCs w:val="20"/>
          <w:color w:val="auto"/>
        </w:rPr>
      </w:pPr>
    </w:p>
    <w:p>
      <w:pPr>
        <w:sectPr>
          <w:pgSz w:w="11900" w:h="16838" w:orient="portrait"/>
          <w:cols w:equalWidth="0" w:num="2">
            <w:col w:w="8535" w:space="720"/>
            <w:col w:w="1985"/>
          </w:cols>
          <w:pgMar w:left="320" w:top="352"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420" w:type="dxa"/>
            <w:vAlign w:val="bottom"/>
          </w:tcPr>
          <w:p>
            <w:pPr>
              <w:ind w:left="260"/>
              <w:spacing w:after="0"/>
              <w:rPr>
                <w:sz w:val="20"/>
                <w:szCs w:val="20"/>
                <w:color w:val="auto"/>
              </w:rPr>
            </w:pPr>
            <w:r>
              <w:rPr>
                <w:rFonts w:ascii="Trebuchet MS" w:cs="Trebuchet MS" w:eastAsia="Trebuchet MS" w:hAnsi="Trebuchet MS"/>
                <w:sz w:val="19"/>
                <w:szCs w:val="19"/>
                <w:color w:val="auto"/>
              </w:rPr>
              <w:t>Payments for oil and natural gas properties and equipment</w:t>
            </w:r>
          </w:p>
        </w:tc>
        <w:tc>
          <w:tcPr>
            <w:tcW w:w="2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rebuchet MS" w:cs="Trebuchet MS" w:eastAsia="Trebuchet MS" w:hAnsi="Trebuchet MS"/>
                <w:sz w:val="19"/>
                <w:szCs w:val="19"/>
                <w:color w:val="auto"/>
              </w:rPr>
              <w:t>(10,153,106 )</w:t>
            </w:r>
          </w:p>
        </w:tc>
        <w:tc>
          <w:tcPr>
            <w:tcW w:w="0" w:type="dxa"/>
            <w:vAlign w:val="bottom"/>
          </w:tcPr>
          <w:p>
            <w:pPr>
              <w:spacing w:after="0"/>
              <w:rPr>
                <w:sz w:val="1"/>
                <w:szCs w:val="1"/>
                <w:color w:val="auto"/>
              </w:rPr>
            </w:pPr>
          </w:p>
        </w:tc>
      </w:tr>
      <w:tr>
        <w:trPr>
          <w:trHeight w:val="242"/>
        </w:trPr>
        <w:tc>
          <w:tcPr>
            <w:tcW w:w="74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Payments for other property and equipment</w:t>
            </w:r>
          </w:p>
        </w:tc>
        <w:tc>
          <w:tcPr>
            <w:tcW w:w="2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(116,235 )</w:t>
            </w:r>
          </w:p>
        </w:tc>
        <w:tc>
          <w:tcPr>
            <w:tcW w:w="0" w:type="dxa"/>
            <w:vAlign w:val="bottom"/>
          </w:tcPr>
          <w:p>
            <w:pPr>
              <w:spacing w:after="0"/>
              <w:rPr>
                <w:sz w:val="1"/>
                <w:szCs w:val="1"/>
                <w:color w:val="auto"/>
              </w:rPr>
            </w:pPr>
          </w:p>
        </w:tc>
      </w:tr>
      <w:tr>
        <w:trPr>
          <w:trHeight w:val="226"/>
        </w:trPr>
        <w:tc>
          <w:tcPr>
            <w:tcW w:w="74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Net Cash Used in Investing Activities</w:t>
            </w:r>
          </w:p>
        </w:tc>
        <w:tc>
          <w:tcPr>
            <w:tcW w:w="2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(10,269,341 )</w:t>
            </w:r>
          </w:p>
        </w:tc>
        <w:tc>
          <w:tcPr>
            <w:tcW w:w="0" w:type="dxa"/>
            <w:vAlign w:val="bottom"/>
          </w:tcPr>
          <w:p>
            <w:pPr>
              <w:spacing w:after="0"/>
              <w:rPr>
                <w:sz w:val="1"/>
                <w:szCs w:val="1"/>
                <w:color w:val="auto"/>
              </w:rPr>
            </w:pPr>
          </w:p>
        </w:tc>
      </w:tr>
      <w:tr>
        <w:trPr>
          <w:trHeight w:val="227"/>
        </w:trPr>
        <w:tc>
          <w:tcPr>
            <w:tcW w:w="74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Cash Flows from Financing Activities</w:t>
            </w:r>
          </w:p>
        </w:tc>
        <w:tc>
          <w:tcPr>
            <w:tcW w:w="2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7420" w:type="dxa"/>
            <w:vAlign w:val="bottom"/>
          </w:tcPr>
          <w:p>
            <w:pPr>
              <w:ind w:left="260"/>
              <w:spacing w:after="0"/>
              <w:rPr>
                <w:sz w:val="20"/>
                <w:szCs w:val="20"/>
                <w:color w:val="auto"/>
              </w:rPr>
            </w:pPr>
            <w:r>
              <w:rPr>
                <w:rFonts w:ascii="Trebuchet MS" w:cs="Trebuchet MS" w:eastAsia="Trebuchet MS" w:hAnsi="Trebuchet MS"/>
                <w:sz w:val="19"/>
                <w:szCs w:val="19"/>
                <w:color w:val="auto"/>
              </w:rPr>
              <w:t>Proceeds from borrowings on long-term debt</w:t>
            </w:r>
          </w:p>
        </w:tc>
        <w:tc>
          <w:tcPr>
            <w:tcW w:w="2320" w:type="dxa"/>
            <w:vAlign w:val="bottom"/>
          </w:tcPr>
          <w:p>
            <w:pPr>
              <w:spacing w:after="0"/>
              <w:rPr>
                <w:sz w:val="24"/>
                <w:szCs w:val="24"/>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524,700</w:t>
            </w:r>
          </w:p>
        </w:tc>
        <w:tc>
          <w:tcPr>
            <w:tcW w:w="0" w:type="dxa"/>
            <w:vAlign w:val="bottom"/>
          </w:tcPr>
          <w:p>
            <w:pPr>
              <w:spacing w:after="0"/>
              <w:rPr>
                <w:sz w:val="1"/>
                <w:szCs w:val="1"/>
                <w:color w:val="auto"/>
              </w:rPr>
            </w:pPr>
          </w:p>
        </w:tc>
      </w:tr>
      <w:tr>
        <w:trPr>
          <w:trHeight w:val="189"/>
        </w:trPr>
        <w:tc>
          <w:tcPr>
            <w:tcW w:w="742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Deferred loan costs</w:t>
            </w:r>
          </w:p>
        </w:tc>
        <w:tc>
          <w:tcPr>
            <w:tcW w:w="2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42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(28,157 )</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Net Cash Provided by Financing Activities</w:t>
            </w:r>
          </w:p>
        </w:tc>
        <w:tc>
          <w:tcPr>
            <w:tcW w:w="2320" w:type="dxa"/>
            <w:vAlign w:val="bottom"/>
          </w:tcPr>
          <w:p>
            <w:pPr>
              <w:spacing w:after="0"/>
              <w:rPr>
                <w:sz w:val="19"/>
                <w:szCs w:val="19"/>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496,543</w:t>
            </w:r>
          </w:p>
        </w:tc>
        <w:tc>
          <w:tcPr>
            <w:tcW w:w="0" w:type="dxa"/>
            <w:vAlign w:val="bottom"/>
          </w:tcPr>
          <w:p>
            <w:pPr>
              <w:spacing w:after="0"/>
              <w:rPr>
                <w:sz w:val="1"/>
                <w:szCs w:val="1"/>
                <w:color w:val="auto"/>
              </w:rPr>
            </w:pPr>
          </w:p>
        </w:tc>
      </w:tr>
      <w:tr>
        <w:trPr>
          <w:trHeight w:val="169"/>
        </w:trPr>
        <w:tc>
          <w:tcPr>
            <w:tcW w:w="74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Net Increase in Cash, Cash Equivalents and Restricted Cash</w:t>
            </w:r>
          </w:p>
        </w:tc>
        <w:tc>
          <w:tcPr>
            <w:tcW w:w="2320" w:type="dxa"/>
            <w:vAlign w:val="bottom"/>
          </w:tcPr>
          <w:p>
            <w:pPr>
              <w:spacing w:after="0"/>
              <w:rPr>
                <w:sz w:val="19"/>
                <w:szCs w:val="19"/>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19,177,701</w:t>
            </w:r>
          </w:p>
        </w:tc>
        <w:tc>
          <w:tcPr>
            <w:tcW w:w="0" w:type="dxa"/>
            <w:vAlign w:val="bottom"/>
          </w:tcPr>
          <w:p>
            <w:pPr>
              <w:spacing w:after="0"/>
              <w:rPr>
                <w:sz w:val="1"/>
                <w:szCs w:val="1"/>
                <w:color w:val="auto"/>
              </w:rPr>
            </w:pPr>
          </w:p>
        </w:tc>
      </w:tr>
      <w:tr>
        <w:trPr>
          <w:trHeight w:val="166"/>
        </w:trPr>
        <w:tc>
          <w:tcPr>
            <w:tcW w:w="7420" w:type="dxa"/>
            <w:vAlign w:val="bottom"/>
            <w:vMerge w:val="restart"/>
          </w:tcPr>
          <w:p>
            <w:pPr>
              <w:ind w:left="20"/>
              <w:spacing w:after="0"/>
              <w:rPr>
                <w:sz w:val="20"/>
                <w:szCs w:val="20"/>
                <w:color w:val="auto"/>
              </w:rPr>
            </w:pPr>
            <w:r>
              <w:rPr>
                <w:rFonts w:ascii="Trebuchet MS" w:cs="Trebuchet MS" w:eastAsia="Trebuchet MS" w:hAnsi="Trebuchet MS"/>
                <w:sz w:val="19"/>
                <w:szCs w:val="19"/>
                <w:b w:val="1"/>
                <w:bCs w:val="1"/>
                <w:color w:val="auto"/>
              </w:rPr>
              <w:t>Cash, Cash Equivalents and Restricted Cash - Beginning of Year</w:t>
            </w:r>
          </w:p>
        </w:tc>
        <w:tc>
          <w:tcPr>
            <w:tcW w:w="23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42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9,411,670</w:t>
            </w:r>
          </w:p>
        </w:tc>
        <w:tc>
          <w:tcPr>
            <w:tcW w:w="0" w:type="dxa"/>
            <w:vAlign w:val="bottom"/>
          </w:tcPr>
          <w:p>
            <w:pPr>
              <w:spacing w:after="0"/>
              <w:rPr>
                <w:sz w:val="1"/>
                <w:szCs w:val="1"/>
                <w:color w:val="auto"/>
              </w:rPr>
            </w:pPr>
          </w:p>
        </w:tc>
      </w:tr>
      <w:tr>
        <w:trPr>
          <w:trHeight w:val="190"/>
        </w:trPr>
        <w:tc>
          <w:tcPr>
            <w:tcW w:w="74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Cash, Cash Equivalents and Restricted Cash - End of Year</w:t>
            </w:r>
          </w:p>
        </w:tc>
        <w:tc>
          <w:tcPr>
            <w:tcW w:w="2320" w:type="dxa"/>
            <w:vAlign w:val="bottom"/>
            <w:vMerge w:val="restart"/>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28,589,371</w:t>
            </w:r>
          </w:p>
        </w:tc>
        <w:tc>
          <w:tcPr>
            <w:tcW w:w="0" w:type="dxa"/>
            <w:vAlign w:val="bottom"/>
          </w:tcPr>
          <w:p>
            <w:pPr>
              <w:spacing w:after="0"/>
              <w:rPr>
                <w:sz w:val="1"/>
                <w:szCs w:val="1"/>
                <w:color w:val="auto"/>
              </w:rPr>
            </w:pPr>
          </w:p>
        </w:tc>
      </w:tr>
      <w:tr>
        <w:trPr>
          <w:trHeight w:val="169"/>
        </w:trPr>
        <w:tc>
          <w:tcPr>
            <w:tcW w:w="74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Non-Cash Investing and Financing Activities</w:t>
            </w:r>
          </w:p>
        </w:tc>
        <w:tc>
          <w:tcPr>
            <w:tcW w:w="2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2"/>
        </w:trPr>
        <w:tc>
          <w:tcPr>
            <w:tcW w:w="7420" w:type="dxa"/>
            <w:vAlign w:val="bottom"/>
          </w:tcPr>
          <w:p>
            <w:pPr>
              <w:ind w:left="260"/>
              <w:spacing w:after="0"/>
              <w:rPr>
                <w:sz w:val="20"/>
                <w:szCs w:val="20"/>
                <w:color w:val="auto"/>
              </w:rPr>
            </w:pPr>
            <w:r>
              <w:rPr>
                <w:rFonts w:ascii="Trebuchet MS" w:cs="Trebuchet MS" w:eastAsia="Trebuchet MS" w:hAnsi="Trebuchet MS"/>
                <w:sz w:val="19"/>
                <w:szCs w:val="19"/>
                <w:color w:val="auto"/>
              </w:rPr>
              <w:t>Oil and natural gas properties accrued</w:t>
            </w:r>
          </w:p>
        </w:tc>
        <w:tc>
          <w:tcPr>
            <w:tcW w:w="2320" w:type="dxa"/>
            <w:vAlign w:val="bottom"/>
            <w:vMerge w:val="restart"/>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3,050</w:t>
            </w:r>
          </w:p>
        </w:tc>
        <w:tc>
          <w:tcPr>
            <w:tcW w:w="0" w:type="dxa"/>
            <w:vAlign w:val="bottom"/>
          </w:tcPr>
          <w:p>
            <w:pPr>
              <w:spacing w:after="0"/>
              <w:rPr>
                <w:sz w:val="1"/>
                <w:szCs w:val="1"/>
                <w:color w:val="auto"/>
              </w:rPr>
            </w:pPr>
          </w:p>
        </w:tc>
      </w:tr>
      <w:tr>
        <w:trPr>
          <w:trHeight w:val="189"/>
        </w:trPr>
        <w:tc>
          <w:tcPr>
            <w:tcW w:w="742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Asset retirement obligations</w:t>
            </w:r>
          </w:p>
        </w:tc>
        <w:tc>
          <w:tcPr>
            <w:tcW w:w="232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42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50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464,020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type w:val="continuous"/>
        </w:sectPr>
      </w:pPr>
    </w:p>
    <w:bookmarkStart w:id="130" w:name="page131"/>
    <w:bookmarkEnd w:id="130"/>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23430"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3">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255" w:lineRule="exact"/>
        <w:rPr>
          <w:sz w:val="20"/>
          <w:szCs w:val="20"/>
          <w:color w:val="auto"/>
        </w:rPr>
      </w:pPr>
    </w:p>
    <w:p>
      <w:pPr>
        <w:ind w:left="520" w:hanging="512"/>
        <w:spacing w:after="0"/>
        <w:tabs>
          <w:tab w:leader="none" w:pos="520" w:val="left"/>
        </w:tabs>
        <w:numPr>
          <w:ilvl w:val="0"/>
          <w:numId w:val="119"/>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Nature of Operations and Organization</w:t>
      </w:r>
    </w:p>
    <w:p>
      <w:pPr>
        <w:spacing w:after="0" w:line="223"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RAM Energy Holdings LLC (“Holdings” or the “Company”) is a Delaware limited liability company, formed in July 2014 and originally was wholly-owned by PennantPark Investment Corporation (“PennantPark”). In May 2021, PennantPark contributed its ownership in Holdings to PNNT Investment Holdings, LLC (“PNNT Investment”), its wholly-owned subsidiary. As a result, Holdings is wholly-owned by PNNT Investment on September 30, 2021.</w:t>
      </w:r>
    </w:p>
    <w:p>
      <w:pPr>
        <w:spacing w:after="0" w:line="209"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Holdings was formed as a holding company for interest ownership in RAM Energy LLC (“RAM”). RAM Fayette LLC (“Fayette”) was formed in September 2017 and Fayette Service Company LLC (“Service”) was formed in June 2018, both as wholly-owned subsidiaries of RAM. On October 1, 2019, RAM contributed its ownership in Service to Holdings and Service became wholly-owned by Holdings. Holdings, RAM, Fayette and Service are herein referred to as the “Company.”</w:t>
      </w:r>
    </w:p>
    <w:p>
      <w:pPr>
        <w:spacing w:after="0" w:line="209" w:lineRule="exact"/>
        <w:rPr>
          <w:sz w:val="20"/>
          <w:szCs w:val="20"/>
          <w:color w:val="auto"/>
        </w:rPr>
      </w:pPr>
    </w:p>
    <w:p>
      <w:pPr>
        <w:jc w:val="both"/>
        <w:ind w:right="20"/>
        <w:spacing w:after="0"/>
        <w:rPr>
          <w:sz w:val="20"/>
          <w:szCs w:val="20"/>
          <w:color w:val="auto"/>
        </w:rPr>
      </w:pPr>
      <w:r>
        <w:rPr>
          <w:rFonts w:ascii="Trebuchet MS" w:cs="Trebuchet MS" w:eastAsia="Trebuchet MS" w:hAnsi="Trebuchet MS"/>
          <w:sz w:val="19"/>
          <w:szCs w:val="19"/>
          <w:color w:val="auto"/>
        </w:rPr>
        <w:t>RAM was formed in April 2012 as a privately held, independent oil and natural gas company engaged in the acquisition, exploration, exploitation, development and production of oil and natural gas.</w:t>
      </w:r>
    </w:p>
    <w:p>
      <w:pPr>
        <w:spacing w:after="0" w:line="207"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In July 2018, the Company began a drilling program in the Austin Chalk formation. Fayette was formed to be an owner in the new wells drilled, and Service was formed to invest in gathering and facilities infrastructure.</w:t>
      </w:r>
    </w:p>
    <w:p>
      <w:pPr>
        <w:spacing w:after="0" w:line="193" w:lineRule="exact"/>
        <w:rPr>
          <w:sz w:val="20"/>
          <w:szCs w:val="20"/>
          <w:color w:val="auto"/>
        </w:rPr>
      </w:pPr>
    </w:p>
    <w:p>
      <w:pPr>
        <w:jc w:val="both"/>
        <w:spacing w:after="0" w:line="244" w:lineRule="auto"/>
        <w:rPr>
          <w:sz w:val="20"/>
          <w:szCs w:val="20"/>
          <w:color w:val="auto"/>
        </w:rPr>
      </w:pPr>
      <w:r>
        <w:rPr>
          <w:rFonts w:ascii="Trebuchet MS" w:cs="Trebuchet MS" w:eastAsia="Trebuchet MS" w:hAnsi="Trebuchet MS"/>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171" w:lineRule="exact"/>
        <w:rPr>
          <w:sz w:val="20"/>
          <w:szCs w:val="20"/>
          <w:color w:val="auto"/>
        </w:rPr>
      </w:pPr>
    </w:p>
    <w:p>
      <w:pPr>
        <w:ind w:left="520" w:hanging="512"/>
        <w:spacing w:after="0"/>
        <w:tabs>
          <w:tab w:leader="none" w:pos="520" w:val="left"/>
        </w:tabs>
        <w:numPr>
          <w:ilvl w:val="0"/>
          <w:numId w:val="120"/>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Summary of Significant Accounting Policies</w:t>
      </w:r>
    </w:p>
    <w:p>
      <w:pPr>
        <w:spacing w:after="0" w:line="23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Basis of Presentation</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accompanying consolidated financial statements include the accounts of Holdings, its wholly- owned subsidiaries, RAM and Service, and RAM’s wholly-owned subsidiary, Fayette. All significant intercompany accounts and transactions have been eliminated in consolidation.</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Property and Equipment</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unproved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9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209"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31" w:name="page132"/>
    <w:bookmarkEnd w:id="131"/>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23430"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5">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spacing w:after="0" w:line="241" w:lineRule="auto"/>
        <w:rPr>
          <w:sz w:val="20"/>
          <w:szCs w:val="20"/>
          <w:color w:val="auto"/>
        </w:rPr>
      </w:pPr>
      <w:r>
        <w:rPr>
          <w:rFonts w:ascii="Trebuchet MS" w:cs="Trebuchet MS" w:eastAsia="Trebuchet MS" w:hAnsi="Trebuchet MS"/>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September 30, 2021, the net book value of the Company’s oil and natural gas properties did not exceed the Ceiling Limitation.</w:t>
      </w:r>
    </w:p>
    <w:p>
      <w:pPr>
        <w:spacing w:after="0" w:line="194"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unproved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unproved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September 30, 2021.</w:t>
      </w:r>
    </w:p>
    <w:p>
      <w:pPr>
        <w:spacing w:after="0" w:line="207" w:lineRule="exact"/>
        <w:rPr>
          <w:sz w:val="20"/>
          <w:szCs w:val="20"/>
          <w:color w:val="auto"/>
        </w:rPr>
      </w:pPr>
    </w:p>
    <w:p>
      <w:pPr>
        <w:jc w:val="both"/>
        <w:spacing w:after="0" w:line="241" w:lineRule="auto"/>
        <w:rPr>
          <w:sz w:val="20"/>
          <w:szCs w:val="20"/>
          <w:color w:val="auto"/>
        </w:rPr>
      </w:pPr>
      <w:r>
        <w:rPr>
          <w:rFonts w:ascii="Trebuchet MS" w:cs="Trebuchet MS" w:eastAsia="Trebuchet MS" w:hAnsi="Trebuchet MS"/>
          <w:sz w:val="19"/>
          <w:szCs w:val="19"/>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Depreciation, Depletion and Amortization</w:t>
      </w:r>
    </w:p>
    <w:p>
      <w:pPr>
        <w:spacing w:after="0" w:line="107" w:lineRule="exact"/>
        <w:rPr>
          <w:sz w:val="20"/>
          <w:szCs w:val="20"/>
          <w:color w:val="auto"/>
        </w:rPr>
      </w:pPr>
    </w:p>
    <w:p>
      <w:pPr>
        <w:jc w:val="both"/>
        <w:spacing w:after="0" w:line="239" w:lineRule="auto"/>
        <w:rPr>
          <w:sz w:val="20"/>
          <w:szCs w:val="20"/>
          <w:color w:val="auto"/>
        </w:rPr>
      </w:pPr>
      <w:r>
        <w:rPr>
          <w:rFonts w:ascii="Trebuchet MS" w:cs="Trebuchet MS" w:eastAsia="Trebuchet MS" w:hAnsi="Trebuchet MS"/>
          <w:sz w:val="19"/>
          <w:szCs w:val="19"/>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211" w:lineRule="exact"/>
        <w:rPr>
          <w:sz w:val="20"/>
          <w:szCs w:val="20"/>
          <w:color w:val="auto"/>
        </w:rPr>
      </w:pPr>
    </w:p>
    <w:p>
      <w:pPr>
        <w:ind w:right="160"/>
        <w:spacing w:after="0" w:line="403" w:lineRule="auto"/>
        <w:rPr>
          <w:sz w:val="20"/>
          <w:szCs w:val="20"/>
          <w:color w:val="auto"/>
        </w:rPr>
      </w:pPr>
      <w:r>
        <w:rPr>
          <w:rFonts w:ascii="Trebuchet MS" w:cs="Trebuchet MS" w:eastAsia="Trebuchet MS" w:hAnsi="Trebuchet MS"/>
          <w:sz w:val="19"/>
          <w:szCs w:val="19"/>
          <w:color w:val="auto"/>
        </w:rPr>
        <w:t xml:space="preserve">Depreciation expense of other property and equipment for the year ended September 30, 2021 was approximately $616 thousand. </w:t>
      </w:r>
      <w:r>
        <w:rPr>
          <w:rFonts w:ascii="Trebuchet MS" w:cs="Trebuchet MS" w:eastAsia="Trebuchet MS" w:hAnsi="Trebuchet MS"/>
          <w:sz w:val="19"/>
          <w:szCs w:val="19"/>
          <w:b w:val="1"/>
          <w:bCs w:val="1"/>
          <w:i w:val="1"/>
          <w:iCs w:val="1"/>
          <w:color w:val="auto"/>
        </w:rPr>
        <w:t>Cash and Cash Equivalents</w:t>
      </w:r>
    </w:p>
    <w:p>
      <w:pPr>
        <w:spacing w:after="0" w:line="2"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All highly liquid unrestricted investments with a maturity of three months or less when purchased are considered to be cash equivalents.</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Restricted Cash</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At September 30, 2021, the Company had approximately $1.1 million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2" w:name="page133"/>
    <w:bookmarkEnd w:id="132"/>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23430"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7">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262"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The following table provides a reconciliation of cash, cash equivalents, and restricted cash reported within the statement of financial position that sum to the total of the same such amounts shown in the consolidated statement of cash flows: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16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46"/>
              <w:spacing w:after="0"/>
              <w:rPr>
                <w:sz w:val="20"/>
                <w:szCs w:val="20"/>
                <w:color w:val="auto"/>
              </w:rPr>
            </w:pPr>
            <w:r>
              <w:rPr>
                <w:rFonts w:ascii="Trebuchet MS" w:cs="Trebuchet MS" w:eastAsia="Trebuchet MS" w:hAnsi="Trebuchet MS"/>
                <w:sz w:val="19"/>
                <w:szCs w:val="19"/>
                <w:b w:val="1"/>
                <w:bCs w:val="1"/>
                <w:color w:val="auto"/>
              </w:rPr>
              <w:t>2021</w:t>
            </w:r>
          </w:p>
        </w:tc>
        <w:tc>
          <w:tcPr>
            <w:tcW w:w="0" w:type="dxa"/>
            <w:vAlign w:val="bottom"/>
          </w:tcPr>
          <w:p>
            <w:pPr>
              <w:spacing w:after="0"/>
              <w:rPr>
                <w:sz w:val="1"/>
                <w:szCs w:val="1"/>
                <w:color w:val="auto"/>
              </w:rPr>
            </w:pPr>
          </w:p>
        </w:tc>
      </w:tr>
      <w:tr>
        <w:trPr>
          <w:trHeight w:val="220"/>
        </w:trPr>
        <w:tc>
          <w:tcPr>
            <w:tcW w:w="7980" w:type="dxa"/>
            <w:vAlign w:val="bottom"/>
          </w:tcPr>
          <w:p>
            <w:pPr>
              <w:ind w:left="20"/>
              <w:spacing w:after="0"/>
              <w:rPr>
                <w:sz w:val="20"/>
                <w:szCs w:val="20"/>
                <w:color w:val="auto"/>
              </w:rPr>
            </w:pPr>
            <w:r>
              <w:rPr>
                <w:rFonts w:ascii="Trebuchet MS" w:cs="Trebuchet MS" w:eastAsia="Trebuchet MS" w:hAnsi="Trebuchet MS"/>
                <w:sz w:val="19"/>
                <w:szCs w:val="19"/>
                <w:color w:val="auto"/>
              </w:rPr>
              <w:t>Cash and cash equivalents</w:t>
            </w:r>
          </w:p>
        </w:tc>
        <w:tc>
          <w:tcPr>
            <w:tcW w:w="1680" w:type="dxa"/>
            <w:vAlign w:val="bottom"/>
            <w:vMerge w:val="restart"/>
          </w:tcPr>
          <w:p>
            <w:pPr>
              <w:jc w:val="right"/>
              <w:ind w:right="206"/>
              <w:spacing w:after="0"/>
              <w:rPr>
                <w:sz w:val="20"/>
                <w:szCs w:val="20"/>
                <w:color w:val="auto"/>
              </w:rPr>
            </w:pPr>
            <w:r>
              <w:rPr>
                <w:rFonts w:ascii="Trebuchet MS" w:cs="Trebuchet MS" w:eastAsia="Trebuchet MS" w:hAnsi="Trebuchet MS"/>
                <w:sz w:val="19"/>
                <w:szCs w:val="19"/>
                <w:color w:val="auto"/>
              </w:rPr>
              <w:t>$</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27,466,302</w:t>
            </w:r>
          </w:p>
        </w:tc>
        <w:tc>
          <w:tcPr>
            <w:tcW w:w="0" w:type="dxa"/>
            <w:vAlign w:val="bottom"/>
          </w:tcPr>
          <w:p>
            <w:pPr>
              <w:spacing w:after="0"/>
              <w:rPr>
                <w:sz w:val="1"/>
                <w:szCs w:val="1"/>
                <w:color w:val="auto"/>
              </w:rPr>
            </w:pPr>
          </w:p>
        </w:tc>
      </w:tr>
      <w:tr>
        <w:trPr>
          <w:trHeight w:val="174"/>
        </w:trPr>
        <w:tc>
          <w:tcPr>
            <w:tcW w:w="798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Restricted cash included in other long-term assets</w:t>
            </w:r>
          </w:p>
        </w:tc>
        <w:tc>
          <w:tcPr>
            <w:tcW w:w="16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8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1,123,069</w:t>
            </w:r>
          </w:p>
        </w:tc>
        <w:tc>
          <w:tcPr>
            <w:tcW w:w="0" w:type="dxa"/>
            <w:vAlign w:val="bottom"/>
          </w:tcPr>
          <w:p>
            <w:pPr>
              <w:spacing w:after="0"/>
              <w:rPr>
                <w:sz w:val="1"/>
                <w:szCs w:val="1"/>
                <w:color w:val="auto"/>
              </w:rPr>
            </w:pPr>
          </w:p>
        </w:tc>
      </w:tr>
      <w:tr>
        <w:trPr>
          <w:trHeight w:val="192"/>
        </w:trPr>
        <w:tc>
          <w:tcPr>
            <w:tcW w:w="79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980" w:type="dxa"/>
            <w:vAlign w:val="bottom"/>
          </w:tcPr>
          <w:p>
            <w:pPr>
              <w:ind w:left="20"/>
              <w:spacing w:after="0" w:line="178" w:lineRule="exact"/>
              <w:rPr>
                <w:sz w:val="20"/>
                <w:szCs w:val="20"/>
                <w:color w:val="auto"/>
              </w:rPr>
            </w:pPr>
            <w:r>
              <w:rPr>
                <w:rFonts w:ascii="Trebuchet MS" w:cs="Trebuchet MS" w:eastAsia="Trebuchet MS" w:hAnsi="Trebuchet MS"/>
                <w:sz w:val="19"/>
                <w:szCs w:val="19"/>
                <w:b w:val="1"/>
                <w:bCs w:val="1"/>
                <w:color w:val="auto"/>
              </w:rPr>
              <w:t>Total cash, cash equivalents, and restricted cash shown in the statement of</w:t>
            </w:r>
          </w:p>
        </w:tc>
        <w:tc>
          <w:tcPr>
            <w:tcW w:w="1680" w:type="dxa"/>
            <w:vAlign w:val="bottom"/>
            <w:vMerge w:val="restart"/>
          </w:tcPr>
          <w:p>
            <w:pPr>
              <w:jc w:val="right"/>
              <w:ind w:right="206"/>
              <w:spacing w:after="0"/>
              <w:rPr>
                <w:sz w:val="20"/>
                <w:szCs w:val="20"/>
                <w:color w:val="auto"/>
              </w:rPr>
            </w:pPr>
            <w:r>
              <w:rPr>
                <w:rFonts w:ascii="Trebuchet MS" w:cs="Trebuchet MS" w:eastAsia="Trebuchet MS" w:hAnsi="Trebuchet MS"/>
                <w:sz w:val="19"/>
                <w:szCs w:val="19"/>
                <w:color w:val="auto"/>
              </w:rPr>
              <w:t>$</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28,589,371</w:t>
            </w:r>
          </w:p>
        </w:tc>
        <w:tc>
          <w:tcPr>
            <w:tcW w:w="0" w:type="dxa"/>
            <w:vAlign w:val="bottom"/>
          </w:tcPr>
          <w:p>
            <w:pPr>
              <w:spacing w:after="0"/>
              <w:rPr>
                <w:sz w:val="1"/>
                <w:szCs w:val="1"/>
                <w:color w:val="auto"/>
              </w:rPr>
            </w:pPr>
          </w:p>
        </w:tc>
      </w:tr>
      <w:tr>
        <w:trPr>
          <w:trHeight w:val="224"/>
        </w:trPr>
        <w:tc>
          <w:tcPr>
            <w:tcW w:w="7980" w:type="dxa"/>
            <w:vAlign w:val="bottom"/>
            <w:tcBorders>
              <w:bottom w:val="single" w:sz="8" w:color="auto"/>
            </w:tcBorders>
          </w:tcPr>
          <w:p>
            <w:pPr>
              <w:ind w:left="200"/>
              <w:spacing w:after="0"/>
              <w:rPr>
                <w:sz w:val="20"/>
                <w:szCs w:val="20"/>
                <w:color w:val="auto"/>
              </w:rPr>
            </w:pPr>
            <w:r>
              <w:rPr>
                <w:rFonts w:ascii="Trebuchet MS" w:cs="Trebuchet MS" w:eastAsia="Trebuchet MS" w:hAnsi="Trebuchet MS"/>
                <w:sz w:val="19"/>
                <w:szCs w:val="19"/>
                <w:b w:val="1"/>
                <w:bCs w:val="1"/>
                <w:color w:val="auto"/>
              </w:rPr>
              <w:t>cash flows</w:t>
            </w:r>
          </w:p>
        </w:tc>
        <w:tc>
          <w:tcPr>
            <w:tcW w:w="168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Concentrations of Credit Risk</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2021, over 90%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2021, the allowance for doubtful accounts was $4 thousand.</w:t>
      </w:r>
    </w:p>
    <w:p>
      <w:pPr>
        <w:spacing w:after="0" w:line="22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2021,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General and Administrative Expenses</w:t>
      </w:r>
    </w:p>
    <w:p>
      <w:pPr>
        <w:spacing w:after="0" w:line="107" w:lineRule="exact"/>
        <w:rPr>
          <w:sz w:val="20"/>
          <w:szCs w:val="20"/>
          <w:color w:val="auto"/>
        </w:rPr>
      </w:pPr>
    </w:p>
    <w:p>
      <w:pPr>
        <w:jc w:val="both"/>
        <w:spacing w:after="0" w:line="244" w:lineRule="auto"/>
        <w:rPr>
          <w:sz w:val="20"/>
          <w:szCs w:val="20"/>
          <w:color w:val="auto"/>
        </w:rPr>
      </w:pPr>
      <w:r>
        <w:rPr>
          <w:rFonts w:ascii="Trebuchet MS" w:cs="Trebuchet MS" w:eastAsia="Trebuchet MS" w:hAnsi="Trebuchet MS"/>
          <w:sz w:val="19"/>
          <w:szCs w:val="19"/>
          <w:color w:val="auto"/>
        </w:rPr>
        <w:t>The Company receives fees for the operation of jointly owned oil and natural gas properties and records such reimbursements as reductions of general and administrative expenses. Such fees totaled approximately $0.5 million for the year ended September 30, 2021.</w:t>
      </w:r>
    </w:p>
    <w:p>
      <w:pPr>
        <w:spacing w:after="0" w:line="187"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Use of Estimates</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which are utilized in the calculations of,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Oil and Natural Gas Reserves Estimates</w:t>
      </w:r>
    </w:p>
    <w:p>
      <w:pPr>
        <w:spacing w:after="0" w:line="121"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 xml:space="preserve">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 </w:t>
      </w:r>
      <w:r>
        <w:rPr>
          <w:rFonts w:ascii="Trebuchet MS" w:cs="Trebuchet MS" w:eastAsia="Trebuchet MS" w:hAnsi="Trebuchet MS"/>
          <w:sz w:val="19"/>
          <w:szCs w:val="19"/>
          <w:i w:val="1"/>
          <w:iCs w:val="1"/>
          <w:color w:val="auto"/>
        </w:rPr>
        <w:t>Extractive Activities-Oil and Gas</w:t>
      </w:r>
      <w:r>
        <w:rPr>
          <w:rFonts w:ascii="Trebuchet MS" w:cs="Trebuchet MS" w:eastAsia="Trebuchet MS" w:hAnsi="Trebuchet MS"/>
          <w:sz w:val="19"/>
          <w:szCs w:val="19"/>
          <w:color w:val="auto"/>
        </w:rPr>
        <w:t xml:space="preserve"> of the Codification, at September 30, 2021,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w:t>
      </w:r>
    </w:p>
    <w:p>
      <w:pPr>
        <w:spacing w:after="0" w:line="209"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3" w:name="page134"/>
    <w:bookmarkEnd w:id="133"/>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23430"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9">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370"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valuation of proved oil and natural gas reserves which, as described herein, may affect the amount at which oil and natural gas properties are recorded. Actual results could differ materially from these estimates.</w:t>
      </w:r>
    </w:p>
    <w:p>
      <w:pPr>
        <w:spacing w:after="0" w:line="189"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Asset Retirement Obligations</w:t>
      </w:r>
    </w:p>
    <w:p>
      <w:pPr>
        <w:spacing w:after="0" w:line="107" w:lineRule="exact"/>
        <w:rPr>
          <w:sz w:val="20"/>
          <w:szCs w:val="20"/>
          <w:color w:val="auto"/>
        </w:rPr>
      </w:pPr>
    </w:p>
    <w:p>
      <w:pPr>
        <w:jc w:val="both"/>
        <w:spacing w:after="0" w:line="239" w:lineRule="auto"/>
        <w:rPr>
          <w:sz w:val="20"/>
          <w:szCs w:val="20"/>
          <w:color w:val="auto"/>
        </w:rPr>
      </w:pPr>
      <w:r>
        <w:rPr>
          <w:rFonts w:ascii="Trebuchet MS" w:cs="Trebuchet MS" w:eastAsia="Trebuchet MS" w:hAnsi="Trebuchet MS"/>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 the estimated liability associated with the Company’s oil and natural gas properties is recorded in the consolidated statement of operations.</w:t>
      </w:r>
    </w:p>
    <w:p>
      <w:pPr>
        <w:spacing w:after="0" w:line="184"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 recorded the following activity related to the asset retirement obligations: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0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2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46"/>
              <w:spacing w:after="0"/>
              <w:rPr>
                <w:sz w:val="20"/>
                <w:szCs w:val="20"/>
                <w:color w:val="auto"/>
              </w:rPr>
            </w:pPr>
            <w:r>
              <w:rPr>
                <w:rFonts w:ascii="Trebuchet MS" w:cs="Trebuchet MS" w:eastAsia="Trebuchet MS" w:hAnsi="Trebuchet MS"/>
                <w:sz w:val="19"/>
                <w:szCs w:val="19"/>
                <w:b w:val="1"/>
                <w:bCs w:val="1"/>
                <w:color w:val="auto"/>
              </w:rPr>
              <w:t>2021</w:t>
            </w:r>
          </w:p>
        </w:tc>
        <w:tc>
          <w:tcPr>
            <w:tcW w:w="0" w:type="dxa"/>
            <w:vAlign w:val="bottom"/>
          </w:tcPr>
          <w:p>
            <w:pPr>
              <w:spacing w:after="0"/>
              <w:rPr>
                <w:sz w:val="1"/>
                <w:szCs w:val="1"/>
                <w:color w:val="auto"/>
              </w:rPr>
            </w:pPr>
          </w:p>
        </w:tc>
      </w:tr>
      <w:tr>
        <w:trPr>
          <w:trHeight w:val="228"/>
        </w:trPr>
        <w:tc>
          <w:tcPr>
            <w:tcW w:w="730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Liability for Asset Retirement Obligations, Beginning of Year</w:t>
            </w:r>
          </w:p>
        </w:tc>
        <w:tc>
          <w:tcPr>
            <w:tcW w:w="2360" w:type="dxa"/>
            <w:vAlign w:val="bottom"/>
            <w:vMerge w:val="restart"/>
          </w:tcPr>
          <w:p>
            <w:pPr>
              <w:jc w:val="right"/>
              <w:ind w:right="206"/>
              <w:spacing w:after="0"/>
              <w:rPr>
                <w:sz w:val="20"/>
                <w:szCs w:val="20"/>
                <w:color w:val="auto"/>
              </w:rPr>
            </w:pPr>
            <w:r>
              <w:rPr>
                <w:rFonts w:ascii="Trebuchet MS" w:cs="Trebuchet MS" w:eastAsia="Trebuchet MS" w:hAnsi="Trebuchet MS"/>
                <w:sz w:val="19"/>
                <w:szCs w:val="19"/>
                <w:color w:val="auto"/>
              </w:rPr>
              <w:t>$</w:t>
            </w: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5,731,021</w:t>
            </w:r>
          </w:p>
        </w:tc>
        <w:tc>
          <w:tcPr>
            <w:tcW w:w="0" w:type="dxa"/>
            <w:vAlign w:val="bottom"/>
          </w:tcPr>
          <w:p>
            <w:pPr>
              <w:spacing w:after="0"/>
              <w:rPr>
                <w:sz w:val="1"/>
                <w:szCs w:val="1"/>
                <w:color w:val="auto"/>
              </w:rPr>
            </w:pPr>
          </w:p>
        </w:tc>
      </w:tr>
      <w:tr>
        <w:trPr>
          <w:trHeight w:val="166"/>
        </w:trPr>
        <w:tc>
          <w:tcPr>
            <w:tcW w:w="730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Accretion expense</w:t>
            </w:r>
          </w:p>
        </w:tc>
        <w:tc>
          <w:tcPr>
            <w:tcW w:w="23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0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608,494</w:t>
            </w:r>
          </w:p>
        </w:tc>
        <w:tc>
          <w:tcPr>
            <w:tcW w:w="0" w:type="dxa"/>
            <w:vAlign w:val="bottom"/>
          </w:tcPr>
          <w:p>
            <w:pPr>
              <w:spacing w:after="0"/>
              <w:rPr>
                <w:sz w:val="1"/>
                <w:szCs w:val="1"/>
                <w:color w:val="auto"/>
              </w:rPr>
            </w:pPr>
          </w:p>
        </w:tc>
      </w:tr>
      <w:tr>
        <w:trPr>
          <w:trHeight w:val="189"/>
        </w:trPr>
        <w:tc>
          <w:tcPr>
            <w:tcW w:w="730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Additions</w:t>
            </w:r>
          </w:p>
        </w:tc>
        <w:tc>
          <w:tcPr>
            <w:tcW w:w="23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0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132,169</w:t>
            </w:r>
          </w:p>
        </w:tc>
        <w:tc>
          <w:tcPr>
            <w:tcW w:w="0" w:type="dxa"/>
            <w:vAlign w:val="bottom"/>
          </w:tcPr>
          <w:p>
            <w:pPr>
              <w:spacing w:after="0"/>
              <w:rPr>
                <w:sz w:val="1"/>
                <w:szCs w:val="1"/>
                <w:color w:val="auto"/>
              </w:rPr>
            </w:pPr>
          </w:p>
        </w:tc>
      </w:tr>
      <w:tr>
        <w:trPr>
          <w:trHeight w:val="189"/>
        </w:trPr>
        <w:tc>
          <w:tcPr>
            <w:tcW w:w="730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Obligations for wells sold</w:t>
            </w:r>
          </w:p>
        </w:tc>
        <w:tc>
          <w:tcPr>
            <w:tcW w:w="23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3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rebuchet MS" w:cs="Trebuchet MS" w:eastAsia="Trebuchet MS" w:hAnsi="Trebuchet MS"/>
                <w:sz w:val="19"/>
                <w:szCs w:val="19"/>
                <w:color w:val="auto"/>
              </w:rPr>
              <w:t>(568,413 )</w:t>
            </w:r>
          </w:p>
        </w:tc>
        <w:tc>
          <w:tcPr>
            <w:tcW w:w="0" w:type="dxa"/>
            <w:vAlign w:val="bottom"/>
          </w:tcPr>
          <w:p>
            <w:pPr>
              <w:spacing w:after="0"/>
              <w:rPr>
                <w:sz w:val="1"/>
                <w:szCs w:val="1"/>
                <w:color w:val="auto"/>
              </w:rPr>
            </w:pPr>
          </w:p>
        </w:tc>
      </w:tr>
      <w:tr>
        <w:trPr>
          <w:trHeight w:val="229"/>
        </w:trPr>
        <w:tc>
          <w:tcPr>
            <w:tcW w:w="7300" w:type="dxa"/>
            <w:vAlign w:val="bottom"/>
          </w:tcPr>
          <w:p>
            <w:pPr>
              <w:ind w:left="260"/>
              <w:spacing w:after="0"/>
              <w:rPr>
                <w:sz w:val="20"/>
                <w:szCs w:val="20"/>
                <w:color w:val="auto"/>
              </w:rPr>
            </w:pPr>
            <w:r>
              <w:rPr>
                <w:rFonts w:ascii="Trebuchet MS" w:cs="Trebuchet MS" w:eastAsia="Trebuchet MS" w:hAnsi="Trebuchet MS"/>
                <w:sz w:val="19"/>
                <w:szCs w:val="19"/>
                <w:color w:val="auto"/>
              </w:rPr>
              <w:t>Settlements</w:t>
            </w:r>
          </w:p>
        </w:tc>
        <w:tc>
          <w:tcPr>
            <w:tcW w:w="2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rebuchet MS" w:cs="Trebuchet MS" w:eastAsia="Trebuchet MS" w:hAnsi="Trebuchet MS"/>
                <w:sz w:val="19"/>
                <w:szCs w:val="19"/>
                <w:color w:val="auto"/>
              </w:rPr>
              <w:t>(647,654 )</w:t>
            </w:r>
          </w:p>
        </w:tc>
        <w:tc>
          <w:tcPr>
            <w:tcW w:w="0" w:type="dxa"/>
            <w:vAlign w:val="bottom"/>
          </w:tcPr>
          <w:p>
            <w:pPr>
              <w:spacing w:after="0"/>
              <w:rPr>
                <w:sz w:val="1"/>
                <w:szCs w:val="1"/>
                <w:color w:val="auto"/>
              </w:rPr>
            </w:pPr>
          </w:p>
        </w:tc>
      </w:tr>
      <w:tr>
        <w:trPr>
          <w:trHeight w:val="242"/>
        </w:trPr>
        <w:tc>
          <w:tcPr>
            <w:tcW w:w="730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Changes in estimates</w:t>
            </w:r>
          </w:p>
        </w:tc>
        <w:tc>
          <w:tcPr>
            <w:tcW w:w="23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(27,776 )</w:t>
            </w:r>
          </w:p>
        </w:tc>
        <w:tc>
          <w:tcPr>
            <w:tcW w:w="0" w:type="dxa"/>
            <w:vAlign w:val="bottom"/>
          </w:tcPr>
          <w:p>
            <w:pPr>
              <w:spacing w:after="0"/>
              <w:rPr>
                <w:sz w:val="1"/>
                <w:szCs w:val="1"/>
                <w:color w:val="auto"/>
              </w:rPr>
            </w:pPr>
          </w:p>
        </w:tc>
      </w:tr>
      <w:tr>
        <w:trPr>
          <w:trHeight w:val="230"/>
        </w:trPr>
        <w:tc>
          <w:tcPr>
            <w:tcW w:w="730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Liability for Asset Retirement Obligations, End of Year</w:t>
            </w:r>
          </w:p>
        </w:tc>
        <w:tc>
          <w:tcPr>
            <w:tcW w:w="2360" w:type="dxa"/>
            <w:vAlign w:val="bottom"/>
          </w:tcPr>
          <w:p>
            <w:pPr>
              <w:spacing w:after="0"/>
              <w:rPr>
                <w:sz w:val="19"/>
                <w:szCs w:val="19"/>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5,227,841</w:t>
            </w:r>
          </w:p>
        </w:tc>
        <w:tc>
          <w:tcPr>
            <w:tcW w:w="0" w:type="dxa"/>
            <w:vAlign w:val="bottom"/>
          </w:tcPr>
          <w:p>
            <w:pPr>
              <w:spacing w:after="0"/>
              <w:rPr>
                <w:sz w:val="1"/>
                <w:szCs w:val="1"/>
                <w:color w:val="auto"/>
              </w:rPr>
            </w:pPr>
          </w:p>
        </w:tc>
      </w:tr>
      <w:tr>
        <w:trPr>
          <w:trHeight w:val="166"/>
        </w:trPr>
        <w:tc>
          <w:tcPr>
            <w:tcW w:w="730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Less: Current asset retirement obligations</w:t>
            </w:r>
          </w:p>
        </w:tc>
        <w:tc>
          <w:tcPr>
            <w:tcW w:w="236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00" w:type="dxa"/>
            <w:vAlign w:val="bottom"/>
            <w:vMerge w:val="continue"/>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780,292</w:t>
            </w:r>
          </w:p>
        </w:tc>
        <w:tc>
          <w:tcPr>
            <w:tcW w:w="0" w:type="dxa"/>
            <w:vAlign w:val="bottom"/>
          </w:tcPr>
          <w:p>
            <w:pPr>
              <w:spacing w:after="0"/>
              <w:rPr>
                <w:sz w:val="1"/>
                <w:szCs w:val="1"/>
                <w:color w:val="auto"/>
              </w:rPr>
            </w:pPr>
          </w:p>
        </w:tc>
      </w:tr>
      <w:tr>
        <w:trPr>
          <w:trHeight w:val="192"/>
        </w:trPr>
        <w:tc>
          <w:tcPr>
            <w:tcW w:w="7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30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Long-Term Asset Retirement Obligations</w:t>
            </w:r>
          </w:p>
        </w:tc>
        <w:tc>
          <w:tcPr>
            <w:tcW w:w="2360" w:type="dxa"/>
            <w:vAlign w:val="bottom"/>
            <w:tcBorders>
              <w:bottom w:val="single" w:sz="8" w:color="auto"/>
            </w:tcBorders>
          </w:tcPr>
          <w:p>
            <w:pPr>
              <w:jc w:val="right"/>
              <w:ind w:right="206"/>
              <w:spacing w:after="0"/>
              <w:rPr>
                <w:sz w:val="20"/>
                <w:szCs w:val="20"/>
                <w:color w:val="auto"/>
              </w:rPr>
            </w:pPr>
            <w:r>
              <w:rPr>
                <w:rFonts w:ascii="Trebuchet MS" w:cs="Trebuchet MS" w:eastAsia="Trebuchet MS" w:hAnsi="Trebuchet MS"/>
                <w:sz w:val="19"/>
                <w:szCs w:val="19"/>
                <w:color w:val="auto"/>
              </w:rPr>
              <w:t>$</w:t>
            </w:r>
          </w:p>
        </w:tc>
        <w:tc>
          <w:tcPr>
            <w:tcW w:w="15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4,447,549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Revenue Recognition</w:t>
      </w:r>
    </w:p>
    <w:p>
      <w:pPr>
        <w:spacing w:after="0" w:line="94" w:lineRule="exact"/>
        <w:rPr>
          <w:sz w:val="20"/>
          <w:szCs w:val="20"/>
          <w:color w:val="auto"/>
        </w:rPr>
      </w:pPr>
    </w:p>
    <w:p>
      <w:pPr>
        <w:jc w:val="both"/>
        <w:spacing w:after="0" w:line="259" w:lineRule="auto"/>
        <w:rPr>
          <w:sz w:val="20"/>
          <w:szCs w:val="20"/>
          <w:color w:val="auto"/>
        </w:rPr>
      </w:pPr>
      <w:r>
        <w:rPr>
          <w:rFonts w:ascii="Trebuchet MS" w:cs="Trebuchet MS" w:eastAsia="Trebuchet MS" w:hAnsi="Trebuchet MS"/>
          <w:sz w:val="18"/>
          <w:szCs w:val="18"/>
          <w:color w:val="auto"/>
        </w:rPr>
        <w:t>On October 1, 2020, the Company adopted Accounting Standards update (“ASU”) No. 2019-09, Revenue from Contracts with Customers (“ASC 606”), which supersedes the revenue recognition requirements in Accounting Standards Codification 605, Revenue Recognition. The Financial Accounting Standards Board (“FASB”) has also issued several amendments (ASU 2015-14, ASU 2016- 10, ASU 2016-12 and ASU 2016-20) clarifying different aspects of ASC 606. See Note 3 – Revenue from Contracts with Customers.</w:t>
      </w:r>
    </w:p>
    <w:p>
      <w:pPr>
        <w:spacing w:after="0" w:line="16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Income Taxes</w:t>
      </w:r>
    </w:p>
    <w:p>
      <w:pPr>
        <w:spacing w:after="0" w:line="1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RAM, Fayette and Service are disregarded subsidiaries of Holdings. Upon its formation, Holdings elected to be classified as a corporation. On May 31, 2021, Holdings became a wholly-owned subsidiary of PNNT Investment and elected to be a disregarded entity after this change in ownership. There was no tax impact to the Company as this was treated as a tax-free reorganization under Section 368(a)(1)(D) of the Internal Revenue Code. The following table presents the deferred tax balances as of May 31, 2021.</w:t>
      </w:r>
    </w:p>
    <w:p>
      <w:pPr>
        <w:spacing w:after="0" w:line="378"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i w:val="1"/>
          <w:iCs w:val="1"/>
          <w:color w:val="auto"/>
        </w:rPr>
        <w:t>May 31, 2021</w:t>
      </w:r>
    </w:p>
    <w:p>
      <w:pPr>
        <w:ind w:left="20"/>
        <w:spacing w:after="0" w:line="219" w:lineRule="auto"/>
        <w:rPr>
          <w:sz w:val="20"/>
          <w:szCs w:val="20"/>
          <w:color w:val="auto"/>
        </w:rPr>
      </w:pPr>
      <w:r>
        <w:rPr>
          <w:rFonts w:ascii="Trebuchet MS" w:cs="Trebuchet MS" w:eastAsia="Trebuchet MS" w:hAnsi="Trebuchet MS"/>
          <w:sz w:val="19"/>
          <w:szCs w:val="19"/>
          <w:color w:val="auto"/>
        </w:rPr>
        <w:t>Depreciable/depletable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5"/>
        </w:trPr>
        <w:tc>
          <w:tcPr>
            <w:tcW w:w="620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Asset retirement obligation</w:t>
            </w:r>
          </w:p>
        </w:tc>
        <w:tc>
          <w:tcPr>
            <w:tcW w:w="354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50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12,614,509</w:t>
            </w: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1,446,615</w:t>
            </w:r>
          </w:p>
        </w:tc>
        <w:tc>
          <w:tcPr>
            <w:tcW w:w="0" w:type="dxa"/>
            <w:vAlign w:val="bottom"/>
          </w:tcPr>
          <w:p>
            <w:pPr>
              <w:spacing w:after="0"/>
              <w:rPr>
                <w:sz w:val="1"/>
                <w:szCs w:val="1"/>
                <w:color w:val="auto"/>
              </w:rPr>
            </w:pPr>
          </w:p>
        </w:tc>
      </w:tr>
      <w:tr>
        <w:trPr>
          <w:trHeight w:val="189"/>
        </w:trPr>
        <w:tc>
          <w:tcPr>
            <w:tcW w:w="620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Derivative assets</w:t>
            </w:r>
          </w:p>
        </w:tc>
        <w:tc>
          <w:tcPr>
            <w:tcW w:w="35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579,373</w:t>
            </w:r>
          </w:p>
        </w:tc>
        <w:tc>
          <w:tcPr>
            <w:tcW w:w="0" w:type="dxa"/>
            <w:vAlign w:val="bottom"/>
          </w:tcPr>
          <w:p>
            <w:pPr>
              <w:spacing w:after="0"/>
              <w:rPr>
                <w:sz w:val="1"/>
                <w:szCs w:val="1"/>
                <w:color w:val="auto"/>
              </w:rPr>
            </w:pPr>
          </w:p>
        </w:tc>
      </w:tr>
      <w:tr>
        <w:trPr>
          <w:trHeight w:val="189"/>
        </w:trPr>
        <w:tc>
          <w:tcPr>
            <w:tcW w:w="620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Reserves and other</w:t>
            </w:r>
          </w:p>
        </w:tc>
        <w:tc>
          <w:tcPr>
            <w:tcW w:w="35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25,359</w:t>
            </w:r>
          </w:p>
        </w:tc>
        <w:tc>
          <w:tcPr>
            <w:tcW w:w="0" w:type="dxa"/>
            <w:vAlign w:val="bottom"/>
          </w:tcPr>
          <w:p>
            <w:pPr>
              <w:spacing w:after="0"/>
              <w:rPr>
                <w:sz w:val="1"/>
                <w:szCs w:val="1"/>
                <w:color w:val="auto"/>
              </w:rPr>
            </w:pPr>
          </w:p>
        </w:tc>
      </w:tr>
      <w:tr>
        <w:trPr>
          <w:trHeight w:val="189"/>
        </w:trPr>
        <w:tc>
          <w:tcPr>
            <w:tcW w:w="620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Net operating loss carryforward</w:t>
            </w:r>
          </w:p>
        </w:tc>
        <w:tc>
          <w:tcPr>
            <w:tcW w:w="35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vMerge w:val="continue"/>
          </w:tcPr>
          <w:p>
            <w:pPr>
              <w:spacing w:after="0"/>
              <w:rPr>
                <w:sz w:val="18"/>
                <w:szCs w:val="18"/>
                <w:color w:val="auto"/>
              </w:rPr>
            </w:pPr>
          </w:p>
        </w:tc>
        <w:tc>
          <w:tcPr>
            <w:tcW w:w="3540" w:type="dxa"/>
            <w:vAlign w:val="bottom"/>
          </w:tcPr>
          <w:p>
            <w:pPr>
              <w:spacing w:after="0"/>
              <w:rPr>
                <w:sz w:val="18"/>
                <w:szCs w:val="18"/>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15,119,086</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200" w:type="dxa"/>
            <w:vAlign w:val="bottom"/>
          </w:tcPr>
          <w:p>
            <w:pPr>
              <w:ind w:left="20"/>
              <w:spacing w:after="0"/>
              <w:rPr>
                <w:sz w:val="20"/>
                <w:szCs w:val="20"/>
                <w:color w:val="auto"/>
              </w:rPr>
            </w:pPr>
            <w:r>
              <w:rPr>
                <w:rFonts w:ascii="Trebuchet MS" w:cs="Trebuchet MS" w:eastAsia="Trebuchet MS" w:hAnsi="Trebuchet MS"/>
                <w:sz w:val="19"/>
                <w:szCs w:val="19"/>
                <w:color w:val="auto"/>
              </w:rPr>
              <w:t>Total noncurrent deferred tax assets</w:t>
            </w:r>
          </w:p>
        </w:tc>
        <w:tc>
          <w:tcPr>
            <w:tcW w:w="3540" w:type="dxa"/>
            <w:vAlign w:val="bottom"/>
          </w:tcPr>
          <w:p>
            <w:pPr>
              <w:spacing w:after="0"/>
              <w:rPr>
                <w:sz w:val="19"/>
                <w:szCs w:val="19"/>
                <w:color w:val="auto"/>
              </w:rPr>
            </w:pPr>
          </w:p>
        </w:tc>
        <w:tc>
          <w:tcPr>
            <w:tcW w:w="15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29,784,942</w:t>
            </w:r>
          </w:p>
        </w:tc>
        <w:tc>
          <w:tcPr>
            <w:tcW w:w="0" w:type="dxa"/>
            <w:vAlign w:val="bottom"/>
          </w:tcPr>
          <w:p>
            <w:pPr>
              <w:spacing w:after="0"/>
              <w:rPr>
                <w:sz w:val="1"/>
                <w:szCs w:val="1"/>
                <w:color w:val="auto"/>
              </w:rPr>
            </w:pPr>
          </w:p>
        </w:tc>
      </w:tr>
      <w:tr>
        <w:trPr>
          <w:trHeight w:val="174"/>
        </w:trPr>
        <w:tc>
          <w:tcPr>
            <w:tcW w:w="620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Valuation allowance</w:t>
            </w:r>
          </w:p>
        </w:tc>
        <w:tc>
          <w:tcPr>
            <w:tcW w:w="35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200" w:type="dxa"/>
            <w:vAlign w:val="bottom"/>
            <w:tcBorders>
              <w:bottom w:val="single" w:sz="8" w:color="auto"/>
            </w:tcBorders>
            <w:vMerge w:val="continue"/>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(29,784,942 )</w:t>
            </w:r>
          </w:p>
        </w:tc>
        <w:tc>
          <w:tcPr>
            <w:tcW w:w="0" w:type="dxa"/>
            <w:vAlign w:val="bottom"/>
          </w:tcPr>
          <w:p>
            <w:pPr>
              <w:spacing w:after="0"/>
              <w:rPr>
                <w:sz w:val="1"/>
                <w:szCs w:val="1"/>
                <w:color w:val="auto"/>
              </w:rPr>
            </w:pPr>
          </w:p>
        </w:tc>
      </w:tr>
      <w:tr>
        <w:trPr>
          <w:trHeight w:val="226"/>
        </w:trPr>
        <w:tc>
          <w:tcPr>
            <w:tcW w:w="620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Net noncurrent deferred tax assets</w:t>
            </w:r>
          </w:p>
        </w:tc>
        <w:tc>
          <w:tcPr>
            <w:tcW w:w="3540" w:type="dxa"/>
            <w:vAlign w:val="bottom"/>
            <w:tcBorders>
              <w:bottom w:val="single" w:sz="8" w:color="auto"/>
            </w:tcBorders>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50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6"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type w:val="continuous"/>
        </w:sectPr>
      </w:pPr>
    </w:p>
    <w:bookmarkStart w:id="134" w:name="page135"/>
    <w:bookmarkEnd w:id="134"/>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1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23430"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2">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358"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As the Company is now considered a disregarded entity for tax purposes as of May 31, 2021, a provision for federal income taxes associated with the Company has not been recorded in the accompanying consolidated financial statements. Taxable income or losses generated by the Company as of the date of the election will only be taxed at the Company’s parent’s tax return.</w:t>
      </w:r>
    </w:p>
    <w:p>
      <w:pPr>
        <w:spacing w:after="0" w:line="208"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likely to be realized upon its ultimate settlement. The Company had no uncertain tax positions as of September 30, 2021.</w:t>
      </w:r>
    </w:p>
    <w:p>
      <w:pPr>
        <w:spacing w:after="0" w:line="2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Company records income tax-related interest and penalties, if applicable, as a component of the provision for income tax expense. There were no amounts recognized relating to interest and penalties in the consolidated statement of income for the fiscal year ended September 30, 2021. Furthermore, none of the Company’s federal or state income tax returns are currently under examination by federal or state authorities. Fiscal year 2017 and forward remain subject to examination by federal and state authorities.</w:t>
      </w:r>
    </w:p>
    <w:p>
      <w:pPr>
        <w:spacing w:after="0" w:line="173" w:lineRule="exact"/>
        <w:rPr>
          <w:sz w:val="20"/>
          <w:szCs w:val="20"/>
          <w:color w:val="auto"/>
        </w:rPr>
      </w:pPr>
    </w:p>
    <w:p>
      <w:pPr>
        <w:ind w:left="520" w:hanging="512"/>
        <w:spacing w:after="0"/>
        <w:tabs>
          <w:tab w:leader="none" w:pos="520" w:val="left"/>
        </w:tabs>
        <w:numPr>
          <w:ilvl w:val="0"/>
          <w:numId w:val="121"/>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Revenue from Contracts with Customers</w:t>
      </w:r>
    </w:p>
    <w:p>
      <w:pPr>
        <w:spacing w:after="0" w:line="237" w:lineRule="exact"/>
        <w:rPr>
          <w:sz w:val="20"/>
          <w:szCs w:val="20"/>
          <w:color w:val="auto"/>
        </w:rPr>
      </w:pPr>
    </w:p>
    <w:p>
      <w:pPr>
        <w:jc w:val="both"/>
        <w:ind w:right="20"/>
        <w:spacing w:after="0" w:line="238" w:lineRule="auto"/>
        <w:rPr>
          <w:sz w:val="20"/>
          <w:szCs w:val="20"/>
          <w:color w:val="auto"/>
        </w:rPr>
      </w:pPr>
      <w:r>
        <w:rPr>
          <w:rFonts w:ascii="Trebuchet MS" w:cs="Trebuchet MS" w:eastAsia="Trebuchet MS" w:hAnsi="Trebuchet MS"/>
          <w:sz w:val="19"/>
          <w:szCs w:val="19"/>
          <w:color w:val="auto"/>
        </w:rPr>
        <w:t>Effective October 1, 2020, the Company adopted ASC 606 using the modified retrospective method of adoption. There were no impacts to the Company’s net income or cash flows from operations as a result of the Company’s adoption of ASC 606. However, there were certain changes to the presentation of revenues and related expenses beginning October 1, 2020.</w:t>
      </w:r>
    </w:p>
    <w:p>
      <w:pPr>
        <w:spacing w:after="0" w:line="194"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impact of adoption in the current period results is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5"/>
          </w:tcPr>
          <w:p>
            <w:pPr>
              <w:jc w:val="right"/>
              <w:ind w:right="846"/>
              <w:spacing w:after="0"/>
              <w:rPr>
                <w:sz w:val="20"/>
                <w:szCs w:val="20"/>
                <w:color w:val="auto"/>
              </w:rPr>
            </w:pPr>
            <w:r>
              <w:rPr>
                <w:rFonts w:ascii="Trebuchet MS" w:cs="Trebuchet MS" w:eastAsia="Trebuchet MS" w:hAnsi="Trebuchet MS"/>
                <w:sz w:val="19"/>
                <w:szCs w:val="19"/>
                <w:b w:val="1"/>
                <w:bCs w:val="1"/>
                <w:color w:val="auto"/>
              </w:rPr>
              <w:t>Year Ended September 30, 2021</w:t>
            </w:r>
          </w:p>
        </w:tc>
        <w:tc>
          <w:tcPr>
            <w:tcW w:w="0" w:type="dxa"/>
            <w:vAlign w:val="bottom"/>
          </w:tcPr>
          <w:p>
            <w:pPr>
              <w:spacing w:after="0"/>
              <w:rPr>
                <w:sz w:val="1"/>
                <w:szCs w:val="1"/>
                <w:color w:val="auto"/>
              </w:rPr>
            </w:pPr>
          </w:p>
        </w:tc>
      </w:tr>
      <w:tr>
        <w:trPr>
          <w:trHeight w:val="163"/>
        </w:trPr>
        <w:tc>
          <w:tcPr>
            <w:tcW w:w="4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46"/>
              <w:spacing w:after="0" w:line="163" w:lineRule="exact"/>
              <w:rPr>
                <w:sz w:val="20"/>
                <w:szCs w:val="20"/>
                <w:color w:val="auto"/>
              </w:rPr>
            </w:pPr>
            <w:r>
              <w:rPr>
                <w:rFonts w:ascii="Trebuchet MS" w:cs="Trebuchet MS" w:eastAsia="Trebuchet MS" w:hAnsi="Trebuchet MS"/>
                <w:sz w:val="18"/>
                <w:szCs w:val="18"/>
                <w:b w:val="1"/>
                <w:bCs w:val="1"/>
                <w:color w:val="auto"/>
              </w:rPr>
              <w:t>Under</w:t>
            </w:r>
          </w:p>
        </w:tc>
        <w:tc>
          <w:tcPr>
            <w:tcW w:w="340" w:type="dxa"/>
            <w:vAlign w:val="bottom"/>
          </w:tcPr>
          <w:p>
            <w:pPr>
              <w:spacing w:after="0"/>
              <w:rPr>
                <w:sz w:val="14"/>
                <w:szCs w:val="14"/>
                <w:color w:val="auto"/>
              </w:rPr>
            </w:pPr>
          </w:p>
        </w:tc>
        <w:tc>
          <w:tcPr>
            <w:tcW w:w="1240" w:type="dxa"/>
            <w:vAlign w:val="bottom"/>
          </w:tcPr>
          <w:p>
            <w:pPr>
              <w:jc w:val="right"/>
              <w:ind w:right="426"/>
              <w:spacing w:after="0" w:line="163" w:lineRule="exact"/>
              <w:rPr>
                <w:sz w:val="20"/>
                <w:szCs w:val="20"/>
                <w:color w:val="auto"/>
              </w:rPr>
            </w:pPr>
            <w:r>
              <w:rPr>
                <w:rFonts w:ascii="Trebuchet MS" w:cs="Trebuchet MS" w:eastAsia="Trebuchet MS" w:hAnsi="Trebuchet MS"/>
                <w:sz w:val="18"/>
                <w:szCs w:val="18"/>
                <w:b w:val="1"/>
                <w:bCs w:val="1"/>
                <w:color w:val="auto"/>
              </w:rPr>
              <w:t>Under</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700" w:type="dxa"/>
            <w:vAlign w:val="bottom"/>
            <w:vMerge w:val="restart"/>
          </w:tcPr>
          <w:p>
            <w:pPr>
              <w:ind w:left="20"/>
              <w:spacing w:after="0"/>
              <w:rPr>
                <w:sz w:val="20"/>
                <w:szCs w:val="20"/>
                <w:color w:val="auto"/>
              </w:rPr>
            </w:pPr>
            <w:r>
              <w:rPr>
                <w:rFonts w:ascii="Trebuchet MS" w:cs="Trebuchet MS" w:eastAsia="Trebuchet MS" w:hAnsi="Trebuchet MS"/>
                <w:sz w:val="19"/>
                <w:szCs w:val="19"/>
                <w:b w:val="1"/>
                <w:bCs w:val="1"/>
                <w:color w:val="auto"/>
              </w:rPr>
              <w:t>Operating Revenues</w:t>
            </w:r>
          </w:p>
        </w:tc>
        <w:tc>
          <w:tcPr>
            <w:tcW w:w="1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66"/>
              <w:spacing w:after="0"/>
              <w:rPr>
                <w:sz w:val="20"/>
                <w:szCs w:val="20"/>
                <w:color w:val="auto"/>
              </w:rPr>
            </w:pPr>
            <w:r>
              <w:rPr>
                <w:rFonts w:ascii="Trebuchet MS" w:cs="Trebuchet MS" w:eastAsia="Trebuchet MS" w:hAnsi="Trebuchet MS"/>
                <w:sz w:val="19"/>
                <w:szCs w:val="19"/>
                <w:b w:val="1"/>
                <w:bCs w:val="1"/>
                <w:color w:val="auto"/>
              </w:rPr>
              <w:t>ASC 606</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26"/>
              <w:spacing w:after="0"/>
              <w:rPr>
                <w:sz w:val="20"/>
                <w:szCs w:val="20"/>
                <w:color w:val="auto"/>
              </w:rPr>
            </w:pPr>
            <w:r>
              <w:rPr>
                <w:rFonts w:ascii="Trebuchet MS" w:cs="Trebuchet MS" w:eastAsia="Trebuchet MS" w:hAnsi="Trebuchet MS"/>
                <w:sz w:val="19"/>
                <w:szCs w:val="19"/>
                <w:b w:val="1"/>
                <w:bCs w:val="1"/>
                <w:color w:val="auto"/>
              </w:rPr>
              <w:t>ASC 605</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46"/>
              <w:spacing w:after="0"/>
              <w:rPr>
                <w:sz w:val="20"/>
                <w:szCs w:val="20"/>
                <w:color w:val="auto"/>
              </w:rPr>
            </w:pPr>
            <w:r>
              <w:rPr>
                <w:rFonts w:ascii="Trebuchet MS" w:cs="Trebuchet MS" w:eastAsia="Trebuchet MS" w:hAnsi="Trebuchet MS"/>
                <w:sz w:val="19"/>
                <w:szCs w:val="19"/>
                <w:b w:val="1"/>
                <w:bCs w:val="1"/>
                <w:color w:val="auto"/>
              </w:rPr>
              <w:t>Change</w:t>
            </w:r>
          </w:p>
        </w:tc>
        <w:tc>
          <w:tcPr>
            <w:tcW w:w="0" w:type="dxa"/>
            <w:vAlign w:val="bottom"/>
          </w:tcPr>
          <w:p>
            <w:pPr>
              <w:spacing w:after="0"/>
              <w:rPr>
                <w:sz w:val="1"/>
                <w:szCs w:val="1"/>
                <w:color w:val="auto"/>
              </w:rPr>
            </w:pPr>
          </w:p>
        </w:tc>
      </w:tr>
      <w:tr>
        <w:trPr>
          <w:trHeight w:val="208"/>
        </w:trPr>
        <w:tc>
          <w:tcPr>
            <w:tcW w:w="47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700" w:type="dxa"/>
            <w:vAlign w:val="bottom"/>
          </w:tcPr>
          <w:p>
            <w:pPr>
              <w:ind w:left="260"/>
              <w:spacing w:after="0"/>
              <w:rPr>
                <w:sz w:val="20"/>
                <w:szCs w:val="20"/>
                <w:color w:val="auto"/>
              </w:rPr>
            </w:pPr>
            <w:r>
              <w:rPr>
                <w:rFonts w:ascii="Trebuchet MS" w:cs="Trebuchet MS" w:eastAsia="Trebuchet MS" w:hAnsi="Trebuchet MS"/>
                <w:sz w:val="19"/>
                <w:szCs w:val="19"/>
                <w:color w:val="auto"/>
              </w:rPr>
              <w:t>Crude oil sales</w:t>
            </w:r>
          </w:p>
        </w:tc>
        <w:tc>
          <w:tcPr>
            <w:tcW w:w="2120" w:type="dxa"/>
            <w:vAlign w:val="bottom"/>
            <w:gridSpan w:val="2"/>
            <w:vMerge w:val="restart"/>
          </w:tcPr>
          <w:p>
            <w:pPr>
              <w:jc w:val="right"/>
              <w:ind w:right="100"/>
              <w:spacing w:after="0"/>
              <w:rPr>
                <w:sz w:val="20"/>
                <w:szCs w:val="20"/>
                <w:color w:val="auto"/>
              </w:rPr>
            </w:pPr>
            <w:r>
              <w:rPr>
                <w:rFonts w:ascii="Trebuchet MS" w:cs="Trebuchet MS" w:eastAsia="Trebuchet MS" w:hAnsi="Trebuchet MS"/>
                <w:sz w:val="19"/>
                <w:szCs w:val="19"/>
                <w:color w:val="auto"/>
              </w:rPr>
              <w:t>$</w:t>
            </w:r>
          </w:p>
        </w:tc>
        <w:tc>
          <w:tcPr>
            <w:tcW w:w="128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19,730,676</w:t>
            </w:r>
          </w:p>
        </w:tc>
        <w:tc>
          <w:tcPr>
            <w:tcW w:w="34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12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19,730,676</w:t>
            </w:r>
          </w:p>
        </w:tc>
        <w:tc>
          <w:tcPr>
            <w:tcW w:w="36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12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0" w:type="dxa"/>
            <w:vAlign w:val="bottom"/>
          </w:tcPr>
          <w:p>
            <w:pPr>
              <w:spacing w:after="0"/>
              <w:rPr>
                <w:sz w:val="1"/>
                <w:szCs w:val="1"/>
                <w:color w:val="auto"/>
              </w:rPr>
            </w:pPr>
          </w:p>
        </w:tc>
      </w:tr>
      <w:tr>
        <w:trPr>
          <w:trHeight w:val="189"/>
        </w:trPr>
        <w:tc>
          <w:tcPr>
            <w:tcW w:w="470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Natural gas sales</w:t>
            </w:r>
          </w:p>
        </w:tc>
        <w:tc>
          <w:tcPr>
            <w:tcW w:w="212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24,629,252</w:t>
            </w:r>
          </w:p>
        </w:tc>
        <w:tc>
          <w:tcPr>
            <w:tcW w:w="340" w:type="dxa"/>
            <w:vAlign w:val="bottom"/>
          </w:tcPr>
          <w:p>
            <w:pPr>
              <w:spacing w:after="0"/>
              <w:rPr>
                <w:sz w:val="18"/>
                <w:szCs w:val="18"/>
                <w:color w:val="auto"/>
              </w:rPr>
            </w:pPr>
          </w:p>
        </w:tc>
        <w:tc>
          <w:tcPr>
            <w:tcW w:w="12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31,829,590</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rebuchet MS" w:cs="Trebuchet MS" w:eastAsia="Trebuchet MS" w:hAnsi="Trebuchet MS"/>
                <w:sz w:val="19"/>
                <w:szCs w:val="19"/>
                <w:color w:val="auto"/>
              </w:rPr>
              <w:t>(7,200,338 )</w:t>
            </w:r>
          </w:p>
        </w:tc>
        <w:tc>
          <w:tcPr>
            <w:tcW w:w="0" w:type="dxa"/>
            <w:vAlign w:val="bottom"/>
          </w:tcPr>
          <w:p>
            <w:pPr>
              <w:spacing w:after="0"/>
              <w:rPr>
                <w:sz w:val="1"/>
                <w:szCs w:val="1"/>
                <w:color w:val="auto"/>
              </w:rPr>
            </w:pPr>
          </w:p>
        </w:tc>
      </w:tr>
      <w:tr>
        <w:trPr>
          <w:trHeight w:val="189"/>
        </w:trPr>
        <w:tc>
          <w:tcPr>
            <w:tcW w:w="470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Natural gas liquids sales</w:t>
            </w: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10,706,765</w:t>
            </w:r>
          </w:p>
        </w:tc>
        <w:tc>
          <w:tcPr>
            <w:tcW w:w="340" w:type="dxa"/>
            <w:vAlign w:val="bottom"/>
          </w:tcPr>
          <w:p>
            <w:pPr>
              <w:spacing w:after="0"/>
              <w:rPr>
                <w:sz w:val="18"/>
                <w:szCs w:val="18"/>
                <w:color w:val="auto"/>
              </w:rPr>
            </w:pPr>
          </w:p>
        </w:tc>
        <w:tc>
          <w:tcPr>
            <w:tcW w:w="12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10,707,881</w:t>
            </w: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Trebuchet MS" w:cs="Trebuchet MS" w:eastAsia="Trebuchet MS" w:hAnsi="Trebuchet MS"/>
                <w:sz w:val="19"/>
                <w:szCs w:val="19"/>
                <w:color w:val="auto"/>
              </w:rPr>
              <w:t>(1,116 )</w:t>
            </w:r>
          </w:p>
        </w:tc>
        <w:tc>
          <w:tcPr>
            <w:tcW w:w="0" w:type="dxa"/>
            <w:vAlign w:val="bottom"/>
          </w:tcPr>
          <w:p>
            <w:pPr>
              <w:spacing w:after="0"/>
              <w:rPr>
                <w:sz w:val="1"/>
                <w:szCs w:val="1"/>
                <w:color w:val="auto"/>
              </w:rPr>
            </w:pPr>
          </w:p>
        </w:tc>
      </w:tr>
      <w:tr>
        <w:trPr>
          <w:trHeight w:val="189"/>
        </w:trPr>
        <w:tc>
          <w:tcPr>
            <w:tcW w:w="470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Water supply services</w:t>
            </w: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384,205</w:t>
            </w:r>
          </w:p>
        </w:tc>
        <w:tc>
          <w:tcPr>
            <w:tcW w:w="340" w:type="dxa"/>
            <w:vAlign w:val="bottom"/>
          </w:tcPr>
          <w:p>
            <w:pPr>
              <w:spacing w:after="0"/>
              <w:rPr>
                <w:sz w:val="18"/>
                <w:szCs w:val="18"/>
                <w:color w:val="auto"/>
              </w:rPr>
            </w:pPr>
          </w:p>
        </w:tc>
        <w:tc>
          <w:tcPr>
            <w:tcW w:w="12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384,205</w:t>
            </w:r>
          </w:p>
        </w:tc>
        <w:tc>
          <w:tcPr>
            <w:tcW w:w="360" w:type="dxa"/>
            <w:vAlign w:val="bottom"/>
          </w:tcPr>
          <w:p>
            <w:pPr>
              <w:spacing w:after="0"/>
              <w:rPr>
                <w:sz w:val="18"/>
                <w:szCs w:val="18"/>
                <w:color w:val="auto"/>
              </w:rPr>
            </w:pPr>
          </w:p>
        </w:tc>
        <w:tc>
          <w:tcPr>
            <w:tcW w:w="12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0" w:type="dxa"/>
            <w:vAlign w:val="bottom"/>
          </w:tcPr>
          <w:p>
            <w:pPr>
              <w:spacing w:after="0"/>
              <w:rPr>
                <w:sz w:val="1"/>
                <w:szCs w:val="1"/>
                <w:color w:val="auto"/>
              </w:rPr>
            </w:pPr>
          </w:p>
        </w:tc>
      </w:tr>
      <w:tr>
        <w:trPr>
          <w:trHeight w:val="189"/>
        </w:trPr>
        <w:tc>
          <w:tcPr>
            <w:tcW w:w="4700" w:type="dxa"/>
            <w:vAlign w:val="bottom"/>
            <w:vMerge w:val="restart"/>
          </w:tcPr>
          <w:p>
            <w:pPr>
              <w:ind w:left="260"/>
              <w:spacing w:after="0"/>
              <w:rPr>
                <w:sz w:val="20"/>
                <w:szCs w:val="20"/>
                <w:color w:val="auto"/>
              </w:rPr>
            </w:pPr>
            <w:r>
              <w:rPr>
                <w:rFonts w:ascii="Trebuchet MS" w:cs="Trebuchet MS" w:eastAsia="Trebuchet MS" w:hAnsi="Trebuchet MS"/>
                <w:sz w:val="19"/>
                <w:szCs w:val="19"/>
                <w:color w:val="auto"/>
              </w:rPr>
              <w:t>Gathering fees</w:t>
            </w:r>
          </w:p>
        </w:tc>
        <w:tc>
          <w:tcPr>
            <w:tcW w:w="1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2,480,249</w:t>
            </w:r>
          </w:p>
        </w:tc>
        <w:tc>
          <w:tcPr>
            <w:tcW w:w="340" w:type="dxa"/>
            <w:vAlign w:val="bottom"/>
          </w:tcPr>
          <w:p>
            <w:pPr>
              <w:spacing w:after="0"/>
              <w:rPr>
                <w:sz w:val="18"/>
                <w:szCs w:val="18"/>
                <w:color w:val="auto"/>
              </w:rPr>
            </w:pPr>
          </w:p>
        </w:tc>
        <w:tc>
          <w:tcPr>
            <w:tcW w:w="12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2,480,249</w:t>
            </w:r>
          </w:p>
        </w:tc>
        <w:tc>
          <w:tcPr>
            <w:tcW w:w="360" w:type="dxa"/>
            <w:vAlign w:val="bottom"/>
          </w:tcPr>
          <w:p>
            <w:pPr>
              <w:spacing w:after="0"/>
              <w:rPr>
                <w:sz w:val="18"/>
                <w:szCs w:val="18"/>
                <w:color w:val="auto"/>
              </w:rPr>
            </w:pPr>
          </w:p>
        </w:tc>
        <w:tc>
          <w:tcPr>
            <w:tcW w:w="12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Total Operating Revenues</w:t>
            </w:r>
          </w:p>
        </w:tc>
        <w:tc>
          <w:tcPr>
            <w:tcW w:w="2120" w:type="dxa"/>
            <w:vAlign w:val="bottom"/>
            <w:gridSpan w:val="2"/>
            <w:vMerge w:val="restart"/>
          </w:tcPr>
          <w:p>
            <w:pPr>
              <w:jc w:val="right"/>
              <w:ind w:right="100"/>
              <w:spacing w:after="0"/>
              <w:rPr>
                <w:sz w:val="20"/>
                <w:szCs w:val="20"/>
                <w:color w:val="auto"/>
              </w:rPr>
            </w:pPr>
            <w:r>
              <w:rPr>
                <w:rFonts w:ascii="Trebuchet MS" w:cs="Trebuchet MS" w:eastAsia="Trebuchet MS" w:hAnsi="Trebuchet MS"/>
                <w:sz w:val="19"/>
                <w:szCs w:val="19"/>
                <w:color w:val="auto"/>
              </w:rPr>
              <w:t>$</w:t>
            </w:r>
          </w:p>
        </w:tc>
        <w:tc>
          <w:tcPr>
            <w:tcW w:w="128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57,931,147</w:t>
            </w:r>
          </w:p>
        </w:tc>
        <w:tc>
          <w:tcPr>
            <w:tcW w:w="34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12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65,132,601</w:t>
            </w:r>
          </w:p>
        </w:tc>
        <w:tc>
          <w:tcPr>
            <w:tcW w:w="36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1200" w:type="dxa"/>
            <w:vAlign w:val="bottom"/>
            <w:vMerge w:val="restart"/>
          </w:tcPr>
          <w:p>
            <w:pPr>
              <w:jc w:val="right"/>
              <w:spacing w:after="0"/>
              <w:rPr>
                <w:sz w:val="20"/>
                <w:szCs w:val="20"/>
                <w:color w:val="auto"/>
              </w:rPr>
            </w:pPr>
            <w:r>
              <w:rPr>
                <w:rFonts w:ascii="Trebuchet MS" w:cs="Trebuchet MS" w:eastAsia="Trebuchet MS" w:hAnsi="Trebuchet MS"/>
                <w:sz w:val="19"/>
                <w:szCs w:val="19"/>
                <w:color w:val="auto"/>
              </w:rPr>
              <w:t xml:space="preserve">(7,201,454 </w:t>
            </w:r>
            <w:r>
              <w:rPr>
                <w:rFonts w:ascii="Trebuchet MS" w:cs="Trebuchet MS" w:eastAsia="Trebuchet MS" w:hAnsi="Trebuchet MS"/>
                <w:sz w:val="19"/>
                <w:szCs w:val="19"/>
                <w:b w:val="1"/>
                <w:bCs w:val="1"/>
                <w:color w:val="auto"/>
              </w:rPr>
              <w:t>)</w:t>
            </w:r>
          </w:p>
        </w:tc>
        <w:tc>
          <w:tcPr>
            <w:tcW w:w="0" w:type="dxa"/>
            <w:vAlign w:val="bottom"/>
          </w:tcPr>
          <w:p>
            <w:pPr>
              <w:spacing w:after="0"/>
              <w:rPr>
                <w:sz w:val="1"/>
                <w:szCs w:val="1"/>
                <w:color w:val="auto"/>
              </w:rPr>
            </w:pPr>
          </w:p>
        </w:tc>
      </w:tr>
      <w:tr>
        <w:trPr>
          <w:trHeight w:val="170"/>
        </w:trPr>
        <w:tc>
          <w:tcPr>
            <w:tcW w:w="47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tcPr>
          <w:p>
            <w:pPr>
              <w:ind w:left="20"/>
              <w:spacing w:after="0" w:line="169" w:lineRule="exact"/>
              <w:rPr>
                <w:sz w:val="20"/>
                <w:szCs w:val="20"/>
                <w:color w:val="auto"/>
              </w:rPr>
            </w:pPr>
            <w:r>
              <w:rPr>
                <w:rFonts w:ascii="Trebuchet MS" w:cs="Trebuchet MS" w:eastAsia="Trebuchet MS" w:hAnsi="Trebuchet MS"/>
                <w:sz w:val="19"/>
                <w:szCs w:val="19"/>
                <w:b w:val="1"/>
                <w:bCs w:val="1"/>
                <w:color w:val="auto"/>
              </w:rPr>
              <w:t>Operating Expenses</w:t>
            </w: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rebuchet MS" w:cs="Trebuchet MS" w:eastAsia="Trebuchet MS" w:hAnsi="Trebuchet MS"/>
                <w:sz w:val="19"/>
                <w:szCs w:val="19"/>
                <w:color w:val="auto"/>
              </w:rPr>
              <w:t xml:space="preserve">(7,201,454 </w:t>
            </w:r>
            <w:r>
              <w:rPr>
                <w:rFonts w:ascii="Trebuchet MS" w:cs="Trebuchet MS" w:eastAsia="Trebuchet MS" w:hAnsi="Trebuchet MS"/>
                <w:sz w:val="19"/>
                <w:szCs w:val="19"/>
                <w:b w:val="1"/>
                <w:bCs w:val="1"/>
                <w:color w:val="auto"/>
              </w:rPr>
              <w:t>)</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auto"/>
            </w:tcBorders>
          </w:tcPr>
          <w:p>
            <w:pPr>
              <w:ind w:left="200"/>
              <w:spacing w:after="0"/>
              <w:rPr>
                <w:sz w:val="20"/>
                <w:szCs w:val="20"/>
                <w:color w:val="auto"/>
              </w:rPr>
            </w:pPr>
            <w:r>
              <w:rPr>
                <w:rFonts w:ascii="Trebuchet MS" w:cs="Trebuchet MS" w:eastAsia="Trebuchet MS" w:hAnsi="Trebuchet MS"/>
                <w:sz w:val="19"/>
                <w:szCs w:val="19"/>
                <w:color w:val="auto"/>
              </w:rPr>
              <w:t>Oil and natural gas operating expenses</w:t>
            </w:r>
          </w:p>
        </w:tc>
        <w:tc>
          <w:tcPr>
            <w:tcW w:w="2120" w:type="dxa"/>
            <w:vAlign w:val="bottom"/>
            <w:tcBorders>
              <w:bottom w:val="single" w:sz="8" w:color="auto"/>
            </w:tcBorders>
            <w:gridSpan w:val="2"/>
          </w:tcPr>
          <w:p>
            <w:pPr>
              <w:jc w:val="right"/>
              <w:ind w:right="100"/>
              <w:spacing w:after="0"/>
              <w:rPr>
                <w:sz w:val="20"/>
                <w:szCs w:val="20"/>
                <w:color w:val="auto"/>
              </w:rPr>
            </w:pPr>
            <w:r>
              <w:rPr>
                <w:rFonts w:ascii="Trebuchet MS" w:cs="Trebuchet MS" w:eastAsia="Trebuchet MS" w:hAnsi="Trebuchet MS"/>
                <w:sz w:val="19"/>
                <w:szCs w:val="19"/>
                <w:color w:val="auto"/>
              </w:rPr>
              <w:t>$</w:t>
            </w:r>
          </w:p>
        </w:tc>
        <w:tc>
          <w:tcPr>
            <w:tcW w:w="1280" w:type="dxa"/>
            <w:vAlign w:val="bottom"/>
            <w:tcBorders>
              <w:bottom w:val="single" w:sz="8" w:color="auto"/>
            </w:tcBorders>
          </w:tcPr>
          <w:p>
            <w:pPr>
              <w:jc w:val="right"/>
              <w:ind w:right="66"/>
              <w:spacing w:after="0"/>
              <w:rPr>
                <w:sz w:val="20"/>
                <w:szCs w:val="20"/>
                <w:color w:val="auto"/>
              </w:rPr>
            </w:pPr>
            <w:r>
              <w:rPr>
                <w:rFonts w:ascii="Trebuchet MS" w:cs="Trebuchet MS" w:eastAsia="Trebuchet MS" w:hAnsi="Trebuchet MS"/>
                <w:sz w:val="19"/>
                <w:szCs w:val="19"/>
                <w:color w:val="auto"/>
              </w:rPr>
              <w:t>14,980,252</w:t>
            </w:r>
          </w:p>
        </w:tc>
        <w:tc>
          <w:tcPr>
            <w:tcW w:w="3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124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22,181,706</w:t>
            </w:r>
          </w:p>
        </w:tc>
        <w:tc>
          <w:tcPr>
            <w:tcW w:w="36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Net Income</w:t>
            </w:r>
          </w:p>
        </w:tc>
        <w:tc>
          <w:tcPr>
            <w:tcW w:w="2120" w:type="dxa"/>
            <w:vAlign w:val="bottom"/>
            <w:gridSpan w:val="2"/>
            <w:vMerge w:val="restart"/>
          </w:tcPr>
          <w:p>
            <w:pPr>
              <w:jc w:val="right"/>
              <w:ind w:right="100"/>
              <w:spacing w:after="0"/>
              <w:rPr>
                <w:sz w:val="20"/>
                <w:szCs w:val="20"/>
                <w:color w:val="auto"/>
              </w:rPr>
            </w:pPr>
            <w:r>
              <w:rPr>
                <w:rFonts w:ascii="Trebuchet MS" w:cs="Trebuchet MS" w:eastAsia="Trebuchet MS" w:hAnsi="Trebuchet MS"/>
                <w:sz w:val="19"/>
                <w:szCs w:val="19"/>
                <w:color w:val="auto"/>
              </w:rPr>
              <w:t>$</w:t>
            </w:r>
          </w:p>
        </w:tc>
        <w:tc>
          <w:tcPr>
            <w:tcW w:w="128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18,419,963</w:t>
            </w:r>
          </w:p>
        </w:tc>
        <w:tc>
          <w:tcPr>
            <w:tcW w:w="34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12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18,419,963</w:t>
            </w:r>
          </w:p>
        </w:tc>
        <w:tc>
          <w:tcPr>
            <w:tcW w:w="36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12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0" w:type="dxa"/>
            <w:vAlign w:val="bottom"/>
          </w:tcPr>
          <w:p>
            <w:pPr>
              <w:spacing w:after="0"/>
              <w:rPr>
                <w:sz w:val="1"/>
                <w:szCs w:val="1"/>
                <w:color w:val="auto"/>
              </w:rPr>
            </w:pPr>
          </w:p>
        </w:tc>
      </w:tr>
      <w:tr>
        <w:trPr>
          <w:trHeight w:val="169"/>
        </w:trPr>
        <w:tc>
          <w:tcPr>
            <w:tcW w:w="47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Member's Equity, as of September 30, 2021</w:t>
            </w:r>
          </w:p>
        </w:tc>
        <w:tc>
          <w:tcPr>
            <w:tcW w:w="2120" w:type="dxa"/>
            <w:vAlign w:val="bottom"/>
            <w:gridSpan w:val="2"/>
            <w:vMerge w:val="restart"/>
          </w:tcPr>
          <w:p>
            <w:pPr>
              <w:jc w:val="right"/>
              <w:ind w:right="100"/>
              <w:spacing w:after="0"/>
              <w:rPr>
                <w:sz w:val="20"/>
                <w:szCs w:val="20"/>
                <w:color w:val="auto"/>
              </w:rPr>
            </w:pPr>
            <w:r>
              <w:rPr>
                <w:rFonts w:ascii="Trebuchet MS" w:cs="Trebuchet MS" w:eastAsia="Trebuchet MS" w:hAnsi="Trebuchet MS"/>
                <w:sz w:val="19"/>
                <w:szCs w:val="19"/>
                <w:color w:val="auto"/>
              </w:rPr>
              <w:t>$</w:t>
            </w:r>
          </w:p>
        </w:tc>
        <w:tc>
          <w:tcPr>
            <w:tcW w:w="1280" w:type="dxa"/>
            <w:vAlign w:val="bottom"/>
            <w:vMerge w:val="restart"/>
          </w:tcPr>
          <w:p>
            <w:pPr>
              <w:jc w:val="right"/>
              <w:ind w:right="66"/>
              <w:spacing w:after="0"/>
              <w:rPr>
                <w:sz w:val="20"/>
                <w:szCs w:val="20"/>
                <w:color w:val="auto"/>
              </w:rPr>
            </w:pPr>
            <w:r>
              <w:rPr>
                <w:rFonts w:ascii="Trebuchet MS" w:cs="Trebuchet MS" w:eastAsia="Trebuchet MS" w:hAnsi="Trebuchet MS"/>
                <w:sz w:val="19"/>
                <w:szCs w:val="19"/>
                <w:color w:val="auto"/>
              </w:rPr>
              <w:t>22,357,538</w:t>
            </w:r>
          </w:p>
        </w:tc>
        <w:tc>
          <w:tcPr>
            <w:tcW w:w="34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124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22,357,538</w:t>
            </w:r>
          </w:p>
        </w:tc>
        <w:tc>
          <w:tcPr>
            <w:tcW w:w="36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12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0" w:type="dxa"/>
            <w:vAlign w:val="bottom"/>
          </w:tcPr>
          <w:p>
            <w:pPr>
              <w:spacing w:after="0"/>
              <w:rPr>
                <w:sz w:val="1"/>
                <w:szCs w:val="1"/>
                <w:color w:val="auto"/>
              </w:rPr>
            </w:pPr>
          </w:p>
        </w:tc>
      </w:tr>
      <w:tr>
        <w:trPr>
          <w:trHeight w:val="169"/>
        </w:trPr>
        <w:tc>
          <w:tcPr>
            <w:tcW w:w="47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vMerge w:val="continue"/>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38"/>
        </w:trPr>
        <w:tc>
          <w:tcPr>
            <w:tcW w:w="4700" w:type="dxa"/>
            <w:vAlign w:val="bottom"/>
          </w:tcPr>
          <w:p>
            <w:pPr>
              <w:spacing w:after="0"/>
              <w:rPr>
                <w:sz w:val="24"/>
                <w:szCs w:val="24"/>
                <w:color w:val="auto"/>
              </w:rPr>
            </w:pPr>
          </w:p>
        </w:tc>
        <w:tc>
          <w:tcPr>
            <w:tcW w:w="1900" w:type="dxa"/>
            <w:vAlign w:val="bottom"/>
          </w:tcPr>
          <w:p>
            <w:pPr>
              <w:jc w:val="right"/>
              <w:ind w:right="786"/>
              <w:spacing w:after="0"/>
              <w:rPr>
                <w:sz w:val="20"/>
                <w:szCs w:val="20"/>
                <w:color w:val="auto"/>
              </w:rPr>
            </w:pPr>
            <w:r>
              <w:rPr>
                <w:rFonts w:ascii="Trebuchet MS" w:cs="Trebuchet MS" w:eastAsia="Trebuchet MS" w:hAnsi="Trebuchet MS"/>
                <w:sz w:val="19"/>
                <w:szCs w:val="19"/>
                <w:color w:val="auto"/>
              </w:rPr>
              <w:t>14</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7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5" w:name="page136"/>
    <w:bookmarkEnd w:id="135"/>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1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23430"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5">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Oil and Natural Gas Sales Revenue</w:t>
      </w:r>
    </w:p>
    <w:p>
      <w:pPr>
        <w:spacing w:after="0" w:line="202"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Company enters into contracts with customers to sell its produced oil, natural gas and natural gas liquids and gas gathering services. Revenues for oil, gas and natural gas liquids are primarily generated in Texas. Revenue attributable to these contracts is recognized in accordance with the five-step revenue recognition model prescribed in ASC 606. Specifically, revenue is recognized at the point in time when the Company’s performance obligations under these contracts are satisfied, which generally occurs when control of oil, natural gas and natural gas liquids transfers to the customer and collectability of the consideration is considered probable. In accordance with ASC 606, the Company considers the following indicators of the transfer of control to determine the point in time at which control transfers to its customers: (i) the Company has a present right to payment for the asset; (ii) the customer has legal title to the product; (iii) the Company has transferred physical possession of the product; and (iv) the customer has the significant risks and rewards of ownership.</w:t>
      </w:r>
    </w:p>
    <w:p>
      <w:pPr>
        <w:spacing w:after="0" w:line="199" w:lineRule="exact"/>
        <w:rPr>
          <w:sz w:val="20"/>
          <w:szCs w:val="20"/>
          <w:color w:val="auto"/>
        </w:rPr>
      </w:pPr>
    </w:p>
    <w:p>
      <w:pPr>
        <w:jc w:val="both"/>
        <w:spacing w:after="0" w:line="239" w:lineRule="auto"/>
        <w:rPr>
          <w:sz w:val="20"/>
          <w:szCs w:val="20"/>
          <w:color w:val="auto"/>
        </w:rPr>
      </w:pPr>
      <w:r>
        <w:rPr>
          <w:rFonts w:ascii="Trebuchet MS" w:cs="Trebuchet MS" w:eastAsia="Trebuchet MS" w:hAnsi="Trebuchet MS"/>
          <w:sz w:val="19"/>
          <w:szCs w:val="19"/>
          <w:color w:val="auto"/>
        </w:rPr>
        <w:t>When the control of the product transfers to the customer differs depending on the contractual terms of each of the Company’s arrangements with its customers. This generally occurs at the wellhead. Transfer of control drives the presentation of transportation, gathering, processing, and other post-production expenses (“fees and other deductions”). Fees and other deductions incurred prior to control transfer are recorded within lease operating expenses in the consolidated statements of operations, while fees and other deductions incurred subsequent to the control transfer are recorded as a reduction of revenues.</w:t>
      </w:r>
    </w:p>
    <w:p>
      <w:pPr>
        <w:spacing w:after="0" w:line="19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 has two general categories under which oil and natural gas revenue is generated:</w:t>
      </w:r>
    </w:p>
    <w:p>
      <w:pPr>
        <w:spacing w:after="0" w:line="211" w:lineRule="exact"/>
        <w:rPr>
          <w:sz w:val="20"/>
          <w:szCs w:val="20"/>
          <w:color w:val="auto"/>
        </w:rPr>
      </w:pPr>
    </w:p>
    <w:p>
      <w:pPr>
        <w:jc w:val="both"/>
        <w:ind w:left="1140" w:right="20" w:hanging="383"/>
        <w:spacing w:after="0" w:line="244" w:lineRule="auto"/>
        <w:tabs>
          <w:tab w:leader="none" w:pos="1221" w:val="left"/>
        </w:tabs>
        <w:numPr>
          <w:ilvl w:val="0"/>
          <w:numId w:val="122"/>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The company sells oil production at or near the wellhead and receives an agreed-upon index price from the purchaser, net of basis, quality and transportation differentials. Under this arrangement, control transfers at or near the wellhead.</w:t>
      </w:r>
    </w:p>
    <w:p>
      <w:pPr>
        <w:spacing w:after="0" w:line="191" w:lineRule="exact"/>
        <w:rPr>
          <w:rFonts w:ascii="Trebuchet MS" w:cs="Trebuchet MS" w:eastAsia="Trebuchet MS" w:hAnsi="Trebuchet MS"/>
          <w:sz w:val="19"/>
          <w:szCs w:val="19"/>
          <w:color w:val="auto"/>
        </w:rPr>
      </w:pPr>
    </w:p>
    <w:p>
      <w:pPr>
        <w:jc w:val="both"/>
        <w:ind w:left="1140" w:hanging="383"/>
        <w:spacing w:after="0" w:line="236" w:lineRule="auto"/>
        <w:tabs>
          <w:tab w:leader="none" w:pos="1221" w:val="left"/>
        </w:tabs>
        <w:numPr>
          <w:ilvl w:val="0"/>
          <w:numId w:val="122"/>
        </w:numPr>
        <w:rPr>
          <w:rFonts w:ascii="Trebuchet MS" w:cs="Trebuchet MS" w:eastAsia="Trebuchet MS" w:hAnsi="Trebuchet MS"/>
          <w:sz w:val="19"/>
          <w:szCs w:val="19"/>
          <w:color w:val="auto"/>
        </w:rPr>
      </w:pPr>
      <w:r>
        <w:rPr>
          <w:rFonts w:ascii="Trebuchet MS" w:cs="Trebuchet MS" w:eastAsia="Trebuchet MS" w:hAnsi="Trebuchet MS"/>
          <w:sz w:val="19"/>
          <w:szCs w:val="19"/>
          <w:color w:val="auto"/>
        </w:rPr>
        <w:t>The Company sells unprocessed natural gas to a midstream processor at the inlet of the midstream processing entity’s system. The midstream processor gathers and processes the raw natural gas stream and remits proceeds to the Company from the ultimate sale of the processed natural gas liquids and residue gas to third parties. In such arrangements, the midstream processor obtains control of the product at the inlet and is considered the Company’s customer. Proceeds received for unprocessed gas under these arrangements are reflected as oil and natural gas revenues within the consolidated statements of operations and are recorded net of transportation and processing fees incurred by the midstream processor after control has transferred.</w:t>
      </w:r>
    </w:p>
    <w:p>
      <w:pPr>
        <w:spacing w:after="0" w:line="209"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Significant judgments made in applying the guidance in ASC Topic 606 relate to the point in time when control transfers to customers in gas processing arrangements with midstream processors.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generally predictable differentials. Accordingly, the Company does not consider estimates of variable consideration to be constrained.</w:t>
      </w:r>
    </w:p>
    <w:p>
      <w:pPr>
        <w:spacing w:after="0" w:line="210"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Company’s performance obligations arise upon the production of produced oil, natural gas and natural gas liquids from wells in which the Company has an ownership interest. The performance obligations are considered satisfied upon control transferring to a purchaser at the wellhead, inlet, or tailgate of the midstream processor’s processing facility, or other contractually specified delivery point. The time period between production and satisfaction of performance obligations is generally less than one day; thus, there are no material unsatisfied or partially unsatisfied performance obligations at the end of the reporting period.</w:t>
      </w:r>
    </w:p>
    <w:p>
      <w:pPr>
        <w:spacing w:after="0" w:line="20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6" w:name="page137"/>
    <w:bookmarkEnd w:id="136"/>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1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23430"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7">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Revenue is recorded in the month when performance obligations are satisfied. However, settlement statements from the purchasers of produced oil, natural gas and natural gas liquids and the related cash consideration are received 30 to 90 days after production has occurred. As a result, the Company must estimate the amount of production delivered to the customer and the consideration that will ultimately be received for sale of the product. Estimated revenue due to the Company is recorded within the accounts receivable line item on the accompanying consolidated balance sheet until payment is received. The accounts receivable balance from contracts with customers within the accompanying consolidated balance sheet as of September 30, 2021 was $4.6 million. To estimate accounts receivable from contracts with customers, the Company uses knowledge of its properties, historical performance, contractual arrangements, index pricing, quality and transportation differentials, and other factors as the basis for these estimates. Differences between estimates and actual amounts received for product sales are recorded in the month that payment is received from the purchaser. Revenue recognized for the year ended September 30, 2021 that related to performance obligations satisfied in prior reporting periods was immaterial.</w:t>
      </w:r>
    </w:p>
    <w:p>
      <w:pPr>
        <w:spacing w:after="0" w:line="196" w:lineRule="exact"/>
        <w:rPr>
          <w:sz w:val="20"/>
          <w:szCs w:val="20"/>
          <w:color w:val="auto"/>
        </w:rPr>
      </w:pPr>
    </w:p>
    <w:p>
      <w:pPr>
        <w:jc w:val="both"/>
        <w:spacing w:after="0" w:line="244" w:lineRule="auto"/>
        <w:rPr>
          <w:sz w:val="20"/>
          <w:szCs w:val="20"/>
          <w:color w:val="auto"/>
        </w:rPr>
      </w:pPr>
      <w:r>
        <w:rPr>
          <w:rFonts w:ascii="Trebuchet MS" w:cs="Trebuchet MS" w:eastAsia="Trebuchet MS" w:hAnsi="Trebuchet MS"/>
          <w:sz w:val="19"/>
          <w:szCs w:val="19"/>
          <w:color w:val="auto"/>
        </w:rPr>
        <w:t>For the Company’s product sales that have a contract term of one year or less, the Company has utilized the practical expedient in ASC 606 that exempts it from disclosure of the transaction price allocated to remaining performance obligations if the performance obligation is part of a contract that has an original expected duration of one year or less.</w:t>
      </w:r>
    </w:p>
    <w:p>
      <w:pPr>
        <w:spacing w:after="0" w:line="191"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For the Company’s product sales that have a contract term greater than one year, the Company has utilized the practical expedient in ASC 606 that states it is not required to disclose the transaction price allocated to the remaining performance obligations if the variable consideration is allocated entirely to a wholly unsatisfied performance obligation. Under these sales contracts, each unit of product represents a separate performance obligation; therefore future volumes are wholly unsatisfied and disclosure of the transaction price allocated to remaining performance obligations is not required.</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Gas Gathering Revenue</w:t>
      </w:r>
    </w:p>
    <w:p>
      <w:pPr>
        <w:spacing w:after="0" w:line="202" w:lineRule="exact"/>
        <w:rPr>
          <w:sz w:val="20"/>
          <w:szCs w:val="20"/>
          <w:color w:val="auto"/>
        </w:rPr>
      </w:pPr>
    </w:p>
    <w:p>
      <w:pPr>
        <w:jc w:val="both"/>
        <w:spacing w:after="0" w:line="241" w:lineRule="auto"/>
        <w:rPr>
          <w:sz w:val="20"/>
          <w:szCs w:val="20"/>
          <w:color w:val="auto"/>
        </w:rPr>
      </w:pPr>
      <w:r>
        <w:rPr>
          <w:rFonts w:ascii="Trebuchet MS" w:cs="Trebuchet MS" w:eastAsia="Trebuchet MS" w:hAnsi="Trebuchet MS"/>
          <w:sz w:val="19"/>
          <w:szCs w:val="19"/>
          <w:color w:val="auto"/>
        </w:rPr>
        <w:t>The Company also provides natural gas gathering and compression services through its ownership interest in a gas gathering system. The Company’s gathering revenues are generated in Texas. For the provision of gas gathering and compression services, the Company collects its share of the gathering and compression fees per unit of gas serviced and recognizes gathering revenue over time using an output method based on units of gas gathered.</w:t>
      </w:r>
    </w:p>
    <w:p>
      <w:pPr>
        <w:spacing w:after="0" w:line="188" w:lineRule="exact"/>
        <w:rPr>
          <w:sz w:val="20"/>
          <w:szCs w:val="20"/>
          <w:color w:val="auto"/>
        </w:rPr>
      </w:pPr>
    </w:p>
    <w:p>
      <w:pPr>
        <w:ind w:left="520" w:hanging="512"/>
        <w:spacing w:after="0"/>
        <w:tabs>
          <w:tab w:leader="none" w:pos="520" w:val="left"/>
        </w:tabs>
        <w:numPr>
          <w:ilvl w:val="0"/>
          <w:numId w:val="123"/>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Fair Value Measurements</w:t>
      </w:r>
    </w:p>
    <w:p>
      <w:pPr>
        <w:spacing w:after="0" w:line="223"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94" w:lineRule="exact"/>
        <w:rPr>
          <w:sz w:val="20"/>
          <w:szCs w:val="20"/>
          <w:color w:val="auto"/>
        </w:rPr>
      </w:pPr>
    </w:p>
    <w:p>
      <w:pPr>
        <w:jc w:val="both"/>
        <w:ind w:left="760" w:right="20"/>
        <w:spacing w:after="0" w:line="246" w:lineRule="auto"/>
        <w:rPr>
          <w:sz w:val="20"/>
          <w:szCs w:val="20"/>
          <w:color w:val="auto"/>
        </w:rPr>
      </w:pPr>
      <w:r>
        <w:rPr>
          <w:rFonts w:ascii="Trebuchet MS" w:cs="Trebuchet MS" w:eastAsia="Trebuchet MS" w:hAnsi="Trebuchet MS"/>
          <w:sz w:val="19"/>
          <w:szCs w:val="19"/>
          <w:b w:val="1"/>
          <w:bCs w:val="1"/>
          <w:color w:val="auto"/>
        </w:rPr>
        <w:t xml:space="preserve">Level 1 </w:t>
      </w:r>
      <w:r>
        <w:rPr>
          <w:rFonts w:ascii="Trebuchet MS" w:cs="Trebuchet MS" w:eastAsia="Trebuchet MS" w:hAnsi="Trebuchet MS"/>
          <w:sz w:val="19"/>
          <w:szCs w:val="19"/>
          <w:color w:val="auto"/>
        </w:rPr>
        <w:t>- inputs to the valuation methodology are quoted prices (unadjusted) for identical assets or liabilities in active</w:t>
      </w:r>
      <w:r>
        <w:rPr>
          <w:rFonts w:ascii="Trebuchet MS" w:cs="Trebuchet MS" w:eastAsia="Trebuchet MS" w:hAnsi="Trebuchet MS"/>
          <w:sz w:val="19"/>
          <w:szCs w:val="19"/>
          <w:b w:val="1"/>
          <w:bCs w:val="1"/>
          <w:color w:val="auto"/>
        </w:rPr>
        <w:t xml:space="preserve"> </w:t>
      </w:r>
      <w:r>
        <w:rPr>
          <w:rFonts w:ascii="Trebuchet MS" w:cs="Trebuchet MS" w:eastAsia="Trebuchet MS" w:hAnsi="Trebuchet MS"/>
          <w:sz w:val="19"/>
          <w:szCs w:val="19"/>
          <w:color w:val="auto"/>
        </w:rPr>
        <w:t>markets.</w:t>
      </w:r>
    </w:p>
    <w:p>
      <w:pPr>
        <w:spacing w:after="0" w:line="101" w:lineRule="exact"/>
        <w:rPr>
          <w:sz w:val="20"/>
          <w:szCs w:val="20"/>
          <w:color w:val="auto"/>
        </w:rPr>
      </w:pPr>
    </w:p>
    <w:p>
      <w:pPr>
        <w:jc w:val="both"/>
        <w:ind w:left="760"/>
        <w:spacing w:after="0"/>
        <w:rPr>
          <w:sz w:val="20"/>
          <w:szCs w:val="20"/>
          <w:color w:val="auto"/>
        </w:rPr>
      </w:pPr>
      <w:r>
        <w:rPr>
          <w:rFonts w:ascii="Trebuchet MS" w:cs="Trebuchet MS" w:eastAsia="Trebuchet MS" w:hAnsi="Trebuchet MS"/>
          <w:sz w:val="19"/>
          <w:szCs w:val="19"/>
          <w:b w:val="1"/>
          <w:bCs w:val="1"/>
          <w:color w:val="auto"/>
        </w:rPr>
        <w:t xml:space="preserve">Level 2 </w:t>
      </w:r>
      <w:r>
        <w:rPr>
          <w:rFonts w:ascii="Trebuchet MS" w:cs="Trebuchet MS" w:eastAsia="Trebuchet MS" w:hAnsi="Trebuchet MS"/>
          <w:sz w:val="19"/>
          <w:szCs w:val="19"/>
          <w:color w:val="auto"/>
        </w:rPr>
        <w:t>- inputs to the valuation methodology include quoted prices for similar assets and liabilities in active markets, and</w:t>
      </w:r>
      <w:r>
        <w:rPr>
          <w:rFonts w:ascii="Trebuchet MS" w:cs="Trebuchet MS" w:eastAsia="Trebuchet MS" w:hAnsi="Trebuchet MS"/>
          <w:sz w:val="19"/>
          <w:szCs w:val="19"/>
          <w:b w:val="1"/>
          <w:bCs w:val="1"/>
          <w:color w:val="auto"/>
        </w:rPr>
        <w:t xml:space="preserve"> </w:t>
      </w:r>
      <w:r>
        <w:rPr>
          <w:rFonts w:ascii="Trebuchet MS" w:cs="Trebuchet MS" w:eastAsia="Trebuchet MS" w:hAnsi="Trebuchet MS"/>
          <w:sz w:val="19"/>
          <w:szCs w:val="19"/>
          <w:color w:val="auto"/>
        </w:rPr>
        <w:t>inputs that are observable for the asset or liability, either directly or indirectly, for substantially the full term of the financial instrument.</w:t>
      </w:r>
    </w:p>
    <w:p>
      <w:pPr>
        <w:spacing w:after="0" w:line="94" w:lineRule="exact"/>
        <w:rPr>
          <w:sz w:val="20"/>
          <w:szCs w:val="20"/>
          <w:color w:val="auto"/>
        </w:rPr>
      </w:pPr>
    </w:p>
    <w:p>
      <w:pPr>
        <w:ind w:left="760"/>
        <w:spacing w:after="0"/>
        <w:rPr>
          <w:sz w:val="20"/>
          <w:szCs w:val="20"/>
          <w:color w:val="auto"/>
        </w:rPr>
      </w:pPr>
      <w:r>
        <w:rPr>
          <w:rFonts w:ascii="Trebuchet MS" w:cs="Trebuchet MS" w:eastAsia="Trebuchet MS" w:hAnsi="Trebuchet MS"/>
          <w:sz w:val="19"/>
          <w:szCs w:val="19"/>
          <w:b w:val="1"/>
          <w:bCs w:val="1"/>
          <w:color w:val="auto"/>
        </w:rPr>
        <w:t xml:space="preserve">Level 3 </w:t>
      </w:r>
      <w:r>
        <w:rPr>
          <w:rFonts w:ascii="Trebuchet MS" w:cs="Trebuchet MS" w:eastAsia="Trebuchet MS" w:hAnsi="Trebuchet MS"/>
          <w:sz w:val="19"/>
          <w:szCs w:val="19"/>
          <w:color w:val="auto"/>
        </w:rPr>
        <w:t>- inputs to the valuation methodology are unobservable and significant to the fair value measurement.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7" w:name="page138"/>
    <w:bookmarkEnd w:id="137"/>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1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23430"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9">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26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94"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The following table sets forth the assets and liabilities measured at fair value on a recurring basis, by level, as of September 30,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right"/>
              <w:ind w:right="6"/>
              <w:spacing w:after="0"/>
              <w:rPr>
                <w:sz w:val="20"/>
                <w:szCs w:val="20"/>
                <w:color w:val="auto"/>
              </w:rPr>
            </w:pPr>
            <w:r>
              <w:rPr>
                <w:rFonts w:ascii="Trebuchet MS" w:cs="Trebuchet MS" w:eastAsia="Trebuchet MS" w:hAnsi="Trebuchet MS"/>
                <w:sz w:val="19"/>
                <w:szCs w:val="19"/>
                <w:b w:val="1"/>
                <w:bCs w:val="1"/>
                <w:i w:val="1"/>
                <w:iCs w:val="1"/>
                <w:color w:val="auto"/>
                <w:w w:val="99"/>
              </w:rPr>
              <w:t>As of September 30, 2021</w:t>
            </w:r>
          </w:p>
        </w:tc>
        <w:tc>
          <w:tcPr>
            <w:tcW w:w="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5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b w:val="1"/>
                <w:bCs w:val="1"/>
                <w:color w:val="auto"/>
              </w:rPr>
              <w:t>Level 1</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06"/>
              <w:spacing w:after="0"/>
              <w:rPr>
                <w:sz w:val="20"/>
                <w:szCs w:val="20"/>
                <w:color w:val="auto"/>
              </w:rPr>
            </w:pPr>
            <w:r>
              <w:rPr>
                <w:rFonts w:ascii="Trebuchet MS" w:cs="Trebuchet MS" w:eastAsia="Trebuchet MS" w:hAnsi="Trebuchet MS"/>
                <w:sz w:val="19"/>
                <w:szCs w:val="19"/>
                <w:b w:val="1"/>
                <w:bCs w:val="1"/>
                <w:color w:val="auto"/>
              </w:rPr>
              <w:t>Level 2</w:t>
            </w:r>
          </w:p>
        </w:tc>
        <w:tc>
          <w:tcPr>
            <w:tcW w:w="1200" w:type="dxa"/>
            <w:vAlign w:val="bottom"/>
            <w:tcBorders>
              <w:bottom w:val="single" w:sz="8" w:color="auto"/>
            </w:tcBorders>
          </w:tcPr>
          <w:p>
            <w:pPr>
              <w:jc w:val="right"/>
              <w:ind w:right="46"/>
              <w:spacing w:after="0"/>
              <w:rPr>
                <w:sz w:val="20"/>
                <w:szCs w:val="20"/>
                <w:color w:val="auto"/>
              </w:rPr>
            </w:pPr>
            <w:r>
              <w:rPr>
                <w:rFonts w:ascii="Trebuchet MS" w:cs="Trebuchet MS" w:eastAsia="Trebuchet MS" w:hAnsi="Trebuchet MS"/>
                <w:sz w:val="19"/>
                <w:szCs w:val="19"/>
                <w:b w:val="1"/>
                <w:bCs w:val="1"/>
                <w:color w:val="auto"/>
              </w:rPr>
              <w:t>Level 3</w:t>
            </w: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66"/>
              <w:spacing w:after="0"/>
              <w:rPr>
                <w:sz w:val="20"/>
                <w:szCs w:val="20"/>
                <w:color w:val="auto"/>
              </w:rPr>
            </w:pPr>
            <w:r>
              <w:rPr>
                <w:rFonts w:ascii="Trebuchet MS" w:cs="Trebuchet MS" w:eastAsia="Trebuchet MS" w:hAnsi="Trebuchet MS"/>
                <w:sz w:val="19"/>
                <w:szCs w:val="19"/>
                <w:b w:val="1"/>
                <w:bCs w:val="1"/>
                <w:color w:val="auto"/>
              </w:rPr>
              <w:t>Total</w:t>
            </w:r>
          </w:p>
        </w:tc>
        <w:tc>
          <w:tcPr>
            <w:tcW w:w="0" w:type="dxa"/>
            <w:vAlign w:val="bottom"/>
          </w:tcPr>
          <w:p>
            <w:pPr>
              <w:spacing w:after="0"/>
              <w:rPr>
                <w:sz w:val="1"/>
                <w:szCs w:val="1"/>
                <w:color w:val="auto"/>
              </w:rPr>
            </w:pPr>
          </w:p>
        </w:tc>
      </w:tr>
      <w:tr>
        <w:trPr>
          <w:trHeight w:val="176"/>
        </w:trPr>
        <w:tc>
          <w:tcPr>
            <w:tcW w:w="5480" w:type="dxa"/>
            <w:vAlign w:val="bottom"/>
          </w:tcPr>
          <w:p>
            <w:pPr>
              <w:ind w:left="20"/>
              <w:spacing w:after="0" w:line="175" w:lineRule="exact"/>
              <w:rPr>
                <w:sz w:val="20"/>
                <w:szCs w:val="20"/>
                <w:color w:val="auto"/>
              </w:rPr>
            </w:pPr>
            <w:r>
              <w:rPr>
                <w:rFonts w:ascii="Trebuchet MS" w:cs="Trebuchet MS" w:eastAsia="Trebuchet MS" w:hAnsi="Trebuchet MS"/>
                <w:sz w:val="19"/>
                <w:szCs w:val="19"/>
                <w:b w:val="1"/>
                <w:bCs w:val="1"/>
                <w:color w:val="auto"/>
              </w:rPr>
              <w:t>Derivative Asset</w:t>
            </w:r>
          </w:p>
        </w:tc>
        <w:tc>
          <w:tcPr>
            <w:tcW w:w="1100" w:type="dxa"/>
            <w:vAlign w:val="bottom"/>
            <w:vMerge w:val="restart"/>
          </w:tcPr>
          <w:p>
            <w:pPr>
              <w:jc w:val="right"/>
              <w:ind w:right="906"/>
              <w:spacing w:after="0"/>
              <w:rPr>
                <w:sz w:val="20"/>
                <w:szCs w:val="20"/>
                <w:color w:val="auto"/>
              </w:rPr>
            </w:pPr>
            <w:r>
              <w:rPr>
                <w:rFonts w:ascii="Trebuchet MS" w:cs="Trebuchet MS" w:eastAsia="Trebuchet MS" w:hAnsi="Trebuchet MS"/>
                <w:sz w:val="19"/>
                <w:szCs w:val="19"/>
                <w:color w:val="auto"/>
                <w:w w:val="79"/>
              </w:rPr>
              <w:t>$</w:t>
            </w:r>
          </w:p>
        </w:tc>
        <w:tc>
          <w:tcPr>
            <w:tcW w:w="340" w:type="dxa"/>
            <w:vAlign w:val="bottom"/>
            <w:vMerge w:val="restart"/>
          </w:tcPr>
          <w:p>
            <w:pPr>
              <w:jc w:val="right"/>
              <w:ind w:right="46"/>
              <w:spacing w:after="0"/>
              <w:rPr>
                <w:sz w:val="20"/>
                <w:szCs w:val="20"/>
                <w:color w:val="auto"/>
              </w:rPr>
            </w:pPr>
            <w:r>
              <w:rPr>
                <w:rFonts w:ascii="Trebuchet MS" w:cs="Trebuchet MS" w:eastAsia="Trebuchet MS" w:hAnsi="Trebuchet MS"/>
                <w:sz w:val="19"/>
                <w:szCs w:val="19"/>
                <w:color w:val="auto"/>
              </w:rPr>
              <w:t>-</w:t>
            </w:r>
          </w:p>
        </w:tc>
        <w:tc>
          <w:tcPr>
            <w:tcW w:w="220" w:type="dxa"/>
            <w:vAlign w:val="bottom"/>
            <w:vMerge w:val="restart"/>
          </w:tcPr>
          <w:p>
            <w:pPr>
              <w:jc w:val="right"/>
              <w:spacing w:after="0"/>
              <w:rPr>
                <w:sz w:val="20"/>
                <w:szCs w:val="20"/>
                <w:color w:val="auto"/>
              </w:rPr>
            </w:pPr>
            <w:r>
              <w:rPr>
                <w:rFonts w:ascii="Trebuchet MS" w:cs="Trebuchet MS" w:eastAsia="Trebuchet MS" w:hAnsi="Trebuchet MS"/>
                <w:sz w:val="19"/>
                <w:szCs w:val="19"/>
                <w:color w:val="auto"/>
              </w:rPr>
              <w:t>$</w:t>
            </w:r>
          </w:p>
        </w:tc>
        <w:tc>
          <w:tcPr>
            <w:tcW w:w="1220" w:type="dxa"/>
            <w:vAlign w:val="bottom"/>
            <w:vMerge w:val="restart"/>
          </w:tcPr>
          <w:p>
            <w:pPr>
              <w:jc w:val="right"/>
              <w:ind w:right="46"/>
              <w:spacing w:after="0"/>
              <w:rPr>
                <w:sz w:val="20"/>
                <w:szCs w:val="20"/>
                <w:color w:val="auto"/>
              </w:rPr>
            </w:pPr>
            <w:r>
              <w:rPr>
                <w:rFonts w:ascii="Trebuchet MS" w:cs="Trebuchet MS" w:eastAsia="Trebuchet MS" w:hAnsi="Trebuchet MS"/>
                <w:sz w:val="19"/>
                <w:szCs w:val="19"/>
                <w:color w:val="auto"/>
              </w:rPr>
              <w:t>114,858</w:t>
            </w:r>
          </w:p>
        </w:tc>
        <w:tc>
          <w:tcPr>
            <w:tcW w:w="1200" w:type="dxa"/>
            <w:vAlign w:val="bottom"/>
            <w:vMerge w:val="restart"/>
          </w:tcPr>
          <w:p>
            <w:pPr>
              <w:jc w:val="right"/>
              <w:ind w:right="886"/>
              <w:spacing w:after="0"/>
              <w:rPr>
                <w:sz w:val="20"/>
                <w:szCs w:val="20"/>
                <w:color w:val="auto"/>
              </w:rPr>
            </w:pPr>
            <w:r>
              <w:rPr>
                <w:rFonts w:ascii="Trebuchet MS" w:cs="Trebuchet MS" w:eastAsia="Trebuchet MS" w:hAnsi="Trebuchet MS"/>
                <w:sz w:val="19"/>
                <w:szCs w:val="19"/>
                <w:color w:val="auto"/>
              </w:rPr>
              <w:t>$</w:t>
            </w:r>
          </w:p>
        </w:tc>
        <w:tc>
          <w:tcPr>
            <w:tcW w:w="3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32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106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114,858</w:t>
            </w:r>
          </w:p>
        </w:tc>
        <w:tc>
          <w:tcPr>
            <w:tcW w:w="0" w:type="dxa"/>
            <w:vAlign w:val="bottom"/>
          </w:tcPr>
          <w:p>
            <w:pPr>
              <w:spacing w:after="0"/>
              <w:rPr>
                <w:sz w:val="1"/>
                <w:szCs w:val="1"/>
                <w:color w:val="auto"/>
              </w:rPr>
            </w:pPr>
          </w:p>
        </w:tc>
      </w:tr>
      <w:tr>
        <w:trPr>
          <w:trHeight w:val="203"/>
        </w:trPr>
        <w:tc>
          <w:tcPr>
            <w:tcW w:w="5480" w:type="dxa"/>
            <w:vAlign w:val="bottom"/>
          </w:tcPr>
          <w:p>
            <w:pPr>
              <w:ind w:left="200"/>
              <w:spacing w:after="0" w:line="203" w:lineRule="exact"/>
              <w:rPr>
                <w:sz w:val="20"/>
                <w:szCs w:val="20"/>
                <w:color w:val="auto"/>
              </w:rPr>
            </w:pPr>
            <w:r>
              <w:rPr>
                <w:rFonts w:ascii="Trebuchet MS" w:cs="Trebuchet MS" w:eastAsia="Trebuchet MS" w:hAnsi="Trebuchet MS"/>
                <w:sz w:val="19"/>
                <w:szCs w:val="19"/>
                <w:b w:val="1"/>
                <w:bCs w:val="1"/>
                <w:color w:val="auto"/>
              </w:rPr>
              <w:t>(Commodity Contracts)</w:t>
            </w:r>
          </w:p>
        </w:tc>
        <w:tc>
          <w:tcPr>
            <w:tcW w:w="110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3" w:lineRule="exact"/>
              <w:rPr>
                <w:sz w:val="20"/>
                <w:szCs w:val="20"/>
                <w:color w:val="auto"/>
              </w:rPr>
            </w:pPr>
            <w:r>
              <w:rPr>
                <w:rFonts w:ascii="Trebuchet MS" w:cs="Trebuchet MS" w:eastAsia="Trebuchet MS" w:hAnsi="Trebuchet MS"/>
                <w:sz w:val="19"/>
                <w:szCs w:val="19"/>
                <w:b w:val="1"/>
                <w:bCs w:val="1"/>
                <w:color w:val="auto"/>
              </w:rPr>
              <w:t>Derivative Liability</w:t>
            </w:r>
          </w:p>
        </w:tc>
        <w:tc>
          <w:tcPr>
            <w:tcW w:w="1100" w:type="dxa"/>
            <w:vAlign w:val="bottom"/>
            <w:vMerge w:val="restart"/>
          </w:tcPr>
          <w:p>
            <w:pPr>
              <w:jc w:val="right"/>
              <w:ind w:right="906"/>
              <w:spacing w:after="0"/>
              <w:rPr>
                <w:sz w:val="20"/>
                <w:szCs w:val="20"/>
                <w:color w:val="auto"/>
              </w:rPr>
            </w:pPr>
            <w:r>
              <w:rPr>
                <w:rFonts w:ascii="Trebuchet MS" w:cs="Trebuchet MS" w:eastAsia="Trebuchet MS" w:hAnsi="Trebuchet MS"/>
                <w:sz w:val="19"/>
                <w:szCs w:val="19"/>
                <w:color w:val="auto"/>
                <w:w w:val="79"/>
              </w:rPr>
              <w:t>$</w:t>
            </w:r>
          </w:p>
        </w:tc>
        <w:tc>
          <w:tcPr>
            <w:tcW w:w="340" w:type="dxa"/>
            <w:vAlign w:val="bottom"/>
            <w:vMerge w:val="restart"/>
          </w:tcPr>
          <w:p>
            <w:pPr>
              <w:jc w:val="right"/>
              <w:ind w:right="46"/>
              <w:spacing w:after="0"/>
              <w:rPr>
                <w:sz w:val="20"/>
                <w:szCs w:val="20"/>
                <w:color w:val="auto"/>
              </w:rPr>
            </w:pPr>
            <w:r>
              <w:rPr>
                <w:rFonts w:ascii="Trebuchet MS" w:cs="Trebuchet MS" w:eastAsia="Trebuchet MS" w:hAnsi="Trebuchet MS"/>
                <w:sz w:val="19"/>
                <w:szCs w:val="19"/>
                <w:color w:val="auto"/>
              </w:rPr>
              <w:t>-</w:t>
            </w:r>
          </w:p>
        </w:tc>
        <w:tc>
          <w:tcPr>
            <w:tcW w:w="220" w:type="dxa"/>
            <w:vAlign w:val="bottom"/>
            <w:vMerge w:val="restart"/>
          </w:tcPr>
          <w:p>
            <w:pPr>
              <w:jc w:val="right"/>
              <w:spacing w:after="0"/>
              <w:rPr>
                <w:sz w:val="20"/>
                <w:szCs w:val="20"/>
                <w:color w:val="auto"/>
              </w:rPr>
            </w:pPr>
            <w:r>
              <w:rPr>
                <w:rFonts w:ascii="Trebuchet MS" w:cs="Trebuchet MS" w:eastAsia="Trebuchet MS" w:hAnsi="Trebuchet MS"/>
                <w:sz w:val="19"/>
                <w:szCs w:val="19"/>
                <w:color w:val="auto"/>
              </w:rPr>
              <w:t>$</w:t>
            </w:r>
          </w:p>
        </w:tc>
        <w:tc>
          <w:tcPr>
            <w:tcW w:w="1220" w:type="dxa"/>
            <w:vAlign w:val="bottom"/>
            <w:vMerge w:val="restart"/>
          </w:tcPr>
          <w:p>
            <w:pPr>
              <w:jc w:val="right"/>
              <w:ind w:right="46"/>
              <w:spacing w:after="0"/>
              <w:rPr>
                <w:sz w:val="20"/>
                <w:szCs w:val="20"/>
                <w:color w:val="auto"/>
              </w:rPr>
            </w:pPr>
            <w:r>
              <w:rPr>
                <w:rFonts w:ascii="Trebuchet MS" w:cs="Trebuchet MS" w:eastAsia="Trebuchet MS" w:hAnsi="Trebuchet MS"/>
                <w:sz w:val="19"/>
                <w:szCs w:val="19"/>
                <w:color w:val="auto"/>
              </w:rPr>
              <w:t>6,875,146</w:t>
            </w:r>
          </w:p>
        </w:tc>
        <w:tc>
          <w:tcPr>
            <w:tcW w:w="1200" w:type="dxa"/>
            <w:vAlign w:val="bottom"/>
            <w:vMerge w:val="restart"/>
          </w:tcPr>
          <w:p>
            <w:pPr>
              <w:jc w:val="right"/>
              <w:ind w:right="886"/>
              <w:spacing w:after="0"/>
              <w:rPr>
                <w:sz w:val="20"/>
                <w:szCs w:val="20"/>
                <w:color w:val="auto"/>
              </w:rPr>
            </w:pPr>
            <w:r>
              <w:rPr>
                <w:rFonts w:ascii="Trebuchet MS" w:cs="Trebuchet MS" w:eastAsia="Trebuchet MS" w:hAnsi="Trebuchet MS"/>
                <w:sz w:val="19"/>
                <w:szCs w:val="19"/>
                <w:color w:val="auto"/>
              </w:rPr>
              <w:t>$</w:t>
            </w:r>
          </w:p>
        </w:tc>
        <w:tc>
          <w:tcPr>
            <w:tcW w:w="30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w:t>
            </w:r>
          </w:p>
        </w:tc>
        <w:tc>
          <w:tcPr>
            <w:tcW w:w="32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106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6,875,146</w:t>
            </w:r>
          </w:p>
        </w:tc>
        <w:tc>
          <w:tcPr>
            <w:tcW w:w="0" w:type="dxa"/>
            <w:vAlign w:val="bottom"/>
          </w:tcPr>
          <w:p>
            <w:pPr>
              <w:spacing w:after="0"/>
              <w:rPr>
                <w:sz w:val="1"/>
                <w:szCs w:val="1"/>
                <w:color w:val="auto"/>
              </w:rPr>
            </w:pPr>
          </w:p>
        </w:tc>
      </w:tr>
      <w:tr>
        <w:trPr>
          <w:trHeight w:val="224"/>
        </w:trPr>
        <w:tc>
          <w:tcPr>
            <w:tcW w:w="5480" w:type="dxa"/>
            <w:vAlign w:val="bottom"/>
            <w:tcBorders>
              <w:bottom w:val="single" w:sz="8" w:color="auto"/>
            </w:tcBorders>
          </w:tcPr>
          <w:p>
            <w:pPr>
              <w:ind w:left="200"/>
              <w:spacing w:after="0"/>
              <w:rPr>
                <w:sz w:val="20"/>
                <w:szCs w:val="20"/>
                <w:color w:val="auto"/>
              </w:rPr>
            </w:pPr>
            <w:r>
              <w:rPr>
                <w:rFonts w:ascii="Trebuchet MS" w:cs="Trebuchet MS" w:eastAsia="Trebuchet MS" w:hAnsi="Trebuchet MS"/>
                <w:sz w:val="19"/>
                <w:szCs w:val="19"/>
                <w:b w:val="1"/>
                <w:bCs w:val="1"/>
                <w:color w:val="auto"/>
              </w:rPr>
              <w:t>(Commodity Contracts)</w:t>
            </w:r>
          </w:p>
        </w:tc>
        <w:tc>
          <w:tcPr>
            <w:tcW w:w="110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 market volatility, counterparty credit risk and additional criteria in determining discount rates. The 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19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At September 30, 2021, the carrying value of cash, restricted cash, receivables and payables reflected in the Company’s consolidated financial statements approximates fair value due to their short-term nature. The fair value of the Main Street Lending Program Loan approximates fair value due to the interest rate being reflective of market rates.</w:t>
      </w:r>
    </w:p>
    <w:p>
      <w:pPr>
        <w:spacing w:after="0" w:line="208"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Company’s non-financial assets and liabilities, which are initially measured at fair value, are comprised primarily of asset retirement obligations. These liabilities are recorded at fair value when acquired/incurred, but not re-measured at fair value in subsequent periods. The Company classifies such initial measurements as Level 3, since certain significant unobservable inputs are utilized in their determination. The fair value of additions to the asset retirement obligations and certain changes in the estimated fair value of the liabilities are measured using valuation techniques consistent with the income approach, converting future cash flows to a single discounted amount. Inputs to the valuation include: (1) estimated plug and abandonment cost based on a third-party study; (2) estimated remaining life of each field; (3) the Company’s credit-adjusted risk-free interest rate of 3.12%; and (4) the average inflation factor of 1.80%. These inputs require significant judgments and estimates by the Company’s management at the time of the valuation, and are the most sensitive and subject to change.</w:t>
      </w:r>
    </w:p>
    <w:p>
      <w:pPr>
        <w:spacing w:after="0" w:line="193" w:lineRule="exact"/>
        <w:rPr>
          <w:sz w:val="20"/>
          <w:szCs w:val="20"/>
          <w:color w:val="auto"/>
        </w:rPr>
      </w:pPr>
    </w:p>
    <w:p>
      <w:pPr>
        <w:ind w:left="520" w:hanging="512"/>
        <w:spacing w:after="0"/>
        <w:tabs>
          <w:tab w:leader="none" w:pos="520" w:val="left"/>
        </w:tabs>
        <w:numPr>
          <w:ilvl w:val="0"/>
          <w:numId w:val="124"/>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Derivative Contracts</w:t>
      </w:r>
    </w:p>
    <w:p>
      <w:pPr>
        <w:spacing w:after="0" w:line="183" w:lineRule="exact"/>
        <w:rPr>
          <w:sz w:val="20"/>
          <w:szCs w:val="20"/>
          <w:color w:val="auto"/>
        </w:rPr>
      </w:pPr>
    </w:p>
    <w:p>
      <w:pPr>
        <w:spacing w:after="0" w:line="282" w:lineRule="auto"/>
        <w:rPr>
          <w:sz w:val="20"/>
          <w:szCs w:val="20"/>
          <w:color w:val="auto"/>
        </w:rPr>
      </w:pPr>
      <w:r>
        <w:rPr>
          <w:rFonts w:ascii="Trebuchet MS" w:cs="Trebuchet MS" w:eastAsia="Trebuchet MS" w:hAnsi="Trebuchet MS"/>
          <w:sz w:val="18"/>
          <w:szCs w:val="18"/>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170" w:lineRule="exact"/>
        <w:rPr>
          <w:sz w:val="20"/>
          <w:szCs w:val="20"/>
          <w:color w:val="auto"/>
        </w:rPr>
      </w:pPr>
    </w:p>
    <w:p>
      <w:pPr>
        <w:ind w:right="20"/>
        <w:spacing w:after="0"/>
        <w:rPr>
          <w:sz w:val="20"/>
          <w:szCs w:val="20"/>
          <w:color w:val="auto"/>
        </w:rPr>
      </w:pPr>
      <w:r>
        <w:rPr>
          <w:rFonts w:ascii="Trebuchet MS" w:cs="Trebuchet MS" w:eastAsia="Trebuchet MS" w:hAnsi="Trebuchet MS"/>
          <w:sz w:val="19"/>
          <w:szCs w:val="19"/>
          <w:color w:val="auto"/>
        </w:rPr>
        <w:t>During 2021, the Company entered into certain derivative contracts to manage the impact of oil and natural gas price fluctuations and as required by the terms of its credit facility. The Company did not</w:t>
      </w:r>
    </w:p>
    <w:p>
      <w:pPr>
        <w:spacing w:after="0" w:line="20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8" w:name="page139"/>
    <w:bookmarkEnd w:id="138"/>
    <w:p>
      <w:pPr>
        <w:jc w:val="center"/>
        <w:ind w:right="-19"/>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1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23430"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1">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designate these transactions as hedges. Accordingly, all gains and losses on the derivative instruments during 2021 have been recorded in the consolidated statement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39" w:name="page140"/>
    <w:bookmarkEnd w:id="139"/>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1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23430"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3">
                      <a:extLst>
                        <a:ext uri="{28A0092B-C50C-407E-A947-70E740481C1C}"/>
                      </a:extLst>
                    </a:blip>
                    <a:srcRect/>
                    <a:stretch>
                      <a:fillRect/>
                    </a:stretch>
                  </pic:blipFill>
                  <pic:spPr bwMode="auto">
                    <a:xfrm>
                      <a:off x="0" y="0"/>
                      <a:ext cx="7123430" cy="254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The Company’s derivative positions at September 30, 2021, consisting of costless collars and puts, are shown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00" w:type="dxa"/>
            <w:vAlign w:val="bottom"/>
            <w:tcBorders>
              <w:bottom w:val="single" w:sz="8" w:color="auto"/>
            </w:tcBorders>
            <w:gridSpan w:val="2"/>
          </w:tcPr>
          <w:p>
            <w:pPr>
              <w:jc w:val="right"/>
              <w:ind w:right="719"/>
              <w:spacing w:after="0"/>
              <w:rPr>
                <w:sz w:val="20"/>
                <w:szCs w:val="20"/>
                <w:color w:val="auto"/>
              </w:rPr>
            </w:pPr>
            <w:r>
              <w:rPr>
                <w:rFonts w:ascii="Trebuchet MS" w:cs="Trebuchet MS" w:eastAsia="Trebuchet MS" w:hAnsi="Trebuchet MS"/>
                <w:sz w:val="16"/>
                <w:szCs w:val="16"/>
                <w:b w:val="1"/>
                <w:bCs w:val="1"/>
                <w:i w:val="1"/>
                <w:iCs w:val="1"/>
                <w:color w:val="auto"/>
              </w:rPr>
              <w:t>As of September 30, 2021</w:t>
            </w:r>
          </w:p>
        </w:tc>
        <w:tc>
          <w:tcPr>
            <w:tcW w:w="1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51"/>
        </w:trPr>
        <w:tc>
          <w:tcPr>
            <w:tcW w:w="1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320" w:type="dxa"/>
            <w:vAlign w:val="bottom"/>
          </w:tcPr>
          <w:p>
            <w:pPr>
              <w:jc w:val="center"/>
              <w:spacing w:after="0" w:line="151" w:lineRule="exact"/>
              <w:rPr>
                <w:sz w:val="20"/>
                <w:szCs w:val="20"/>
                <w:color w:val="auto"/>
              </w:rPr>
            </w:pPr>
            <w:r>
              <w:rPr>
                <w:rFonts w:ascii="Trebuchet MS" w:cs="Trebuchet MS" w:eastAsia="Trebuchet MS" w:hAnsi="Trebuchet MS"/>
                <w:sz w:val="16"/>
                <w:szCs w:val="16"/>
                <w:b w:val="1"/>
                <w:bCs w:val="1"/>
                <w:color w:val="auto"/>
              </w:rPr>
              <w:t>Weighted</w:t>
            </w:r>
          </w:p>
        </w:tc>
        <w:tc>
          <w:tcPr>
            <w:tcW w:w="1360" w:type="dxa"/>
            <w:vAlign w:val="bottom"/>
          </w:tcPr>
          <w:p>
            <w:pPr>
              <w:jc w:val="center"/>
              <w:spacing w:after="0" w:line="151" w:lineRule="exact"/>
              <w:rPr>
                <w:sz w:val="20"/>
                <w:szCs w:val="20"/>
                <w:color w:val="auto"/>
              </w:rPr>
            </w:pPr>
            <w:r>
              <w:rPr>
                <w:rFonts w:ascii="Trebuchet MS" w:cs="Trebuchet MS" w:eastAsia="Trebuchet MS" w:hAnsi="Trebuchet MS"/>
                <w:sz w:val="16"/>
                <w:szCs w:val="16"/>
                <w:b w:val="1"/>
                <w:bCs w:val="1"/>
                <w:color w:val="auto"/>
              </w:rPr>
              <w:t>Weighted</w:t>
            </w:r>
          </w:p>
        </w:tc>
        <w:tc>
          <w:tcPr>
            <w:tcW w:w="1300" w:type="dxa"/>
            <w:vAlign w:val="bottom"/>
          </w:tcPr>
          <w:p>
            <w:pPr>
              <w:jc w:val="center"/>
              <w:spacing w:after="0" w:line="151" w:lineRule="exact"/>
              <w:rPr>
                <w:sz w:val="20"/>
                <w:szCs w:val="20"/>
                <w:color w:val="auto"/>
              </w:rPr>
            </w:pPr>
            <w:r>
              <w:rPr>
                <w:rFonts w:ascii="Trebuchet MS" w:cs="Trebuchet MS" w:eastAsia="Trebuchet MS" w:hAnsi="Trebuchet MS"/>
                <w:sz w:val="16"/>
                <w:szCs w:val="16"/>
                <w:b w:val="1"/>
                <w:bCs w:val="1"/>
                <w:color w:val="auto"/>
                <w:w w:val="99"/>
              </w:rPr>
              <w:t>Weighted</w:t>
            </w:r>
          </w:p>
        </w:tc>
      </w:tr>
      <w:tr>
        <w:trPr>
          <w:trHeight w:val="162"/>
        </w:trPr>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Trebuchet MS" w:cs="Trebuchet MS" w:eastAsia="Trebuchet MS" w:hAnsi="Trebuchet MS"/>
                <w:sz w:val="16"/>
                <w:szCs w:val="16"/>
                <w:b w:val="1"/>
                <w:bCs w:val="1"/>
                <w:color w:val="auto"/>
              </w:rPr>
              <w:t>Notional</w:t>
            </w:r>
          </w:p>
        </w:tc>
        <w:tc>
          <w:tcPr>
            <w:tcW w:w="1320" w:type="dxa"/>
            <w:vAlign w:val="bottom"/>
          </w:tcPr>
          <w:p>
            <w:pPr>
              <w:jc w:val="center"/>
              <w:spacing w:after="0" w:line="162" w:lineRule="exact"/>
              <w:rPr>
                <w:sz w:val="20"/>
                <w:szCs w:val="20"/>
                <w:color w:val="auto"/>
              </w:rPr>
            </w:pPr>
            <w:r>
              <w:rPr>
                <w:rFonts w:ascii="Trebuchet MS" w:cs="Trebuchet MS" w:eastAsia="Trebuchet MS" w:hAnsi="Trebuchet MS"/>
                <w:sz w:val="16"/>
                <w:szCs w:val="16"/>
                <w:b w:val="1"/>
                <w:bCs w:val="1"/>
                <w:color w:val="auto"/>
                <w:w w:val="99"/>
              </w:rPr>
              <w:t>Average</w:t>
            </w:r>
          </w:p>
        </w:tc>
        <w:tc>
          <w:tcPr>
            <w:tcW w:w="1360" w:type="dxa"/>
            <w:vAlign w:val="bottom"/>
          </w:tcPr>
          <w:p>
            <w:pPr>
              <w:jc w:val="center"/>
              <w:spacing w:after="0" w:line="162" w:lineRule="exact"/>
              <w:rPr>
                <w:sz w:val="20"/>
                <w:szCs w:val="20"/>
                <w:color w:val="auto"/>
              </w:rPr>
            </w:pPr>
            <w:r>
              <w:rPr>
                <w:rFonts w:ascii="Trebuchet MS" w:cs="Trebuchet MS" w:eastAsia="Trebuchet MS" w:hAnsi="Trebuchet MS"/>
                <w:sz w:val="16"/>
                <w:szCs w:val="16"/>
                <w:b w:val="1"/>
                <w:bCs w:val="1"/>
                <w:color w:val="auto"/>
                <w:w w:val="99"/>
              </w:rPr>
              <w:t>Average</w:t>
            </w:r>
          </w:p>
        </w:tc>
        <w:tc>
          <w:tcPr>
            <w:tcW w:w="1300" w:type="dxa"/>
            <w:vAlign w:val="bottom"/>
          </w:tcPr>
          <w:p>
            <w:pPr>
              <w:jc w:val="center"/>
              <w:spacing w:after="0" w:line="162" w:lineRule="exact"/>
              <w:rPr>
                <w:sz w:val="20"/>
                <w:szCs w:val="20"/>
                <w:color w:val="auto"/>
              </w:rPr>
            </w:pPr>
            <w:r>
              <w:rPr>
                <w:rFonts w:ascii="Trebuchet MS" w:cs="Trebuchet MS" w:eastAsia="Trebuchet MS" w:hAnsi="Trebuchet MS"/>
                <w:sz w:val="16"/>
                <w:szCs w:val="16"/>
                <w:b w:val="1"/>
                <w:bCs w:val="1"/>
                <w:color w:val="auto"/>
                <w:w w:val="99"/>
              </w:rPr>
              <w:t>Average</w:t>
            </w:r>
          </w:p>
        </w:tc>
      </w:tr>
      <w:tr>
        <w:trPr>
          <w:trHeight w:val="212"/>
        </w:trPr>
        <w:tc>
          <w:tcPr>
            <w:tcW w:w="1460" w:type="dxa"/>
            <w:vAlign w:val="bottom"/>
            <w:tcBorders>
              <w:bottom w:val="single" w:sz="8" w:color="auto"/>
            </w:tcBorders>
          </w:tcPr>
          <w:p>
            <w:pPr>
              <w:jc w:val="right"/>
              <w:ind w:right="359"/>
              <w:spacing w:after="0"/>
              <w:rPr>
                <w:sz w:val="20"/>
                <w:szCs w:val="20"/>
                <w:color w:val="auto"/>
              </w:rPr>
            </w:pPr>
            <w:r>
              <w:rPr>
                <w:rFonts w:ascii="Trebuchet MS" w:cs="Trebuchet MS" w:eastAsia="Trebuchet MS" w:hAnsi="Trebuchet MS"/>
                <w:sz w:val="16"/>
                <w:szCs w:val="16"/>
                <w:b w:val="1"/>
                <w:bCs w:val="1"/>
                <w:color w:val="auto"/>
              </w:rPr>
              <w:t>Start Date</w:t>
            </w:r>
          </w:p>
        </w:tc>
        <w:tc>
          <w:tcPr>
            <w:tcW w:w="1340" w:type="dxa"/>
            <w:vAlign w:val="bottom"/>
            <w:tcBorders>
              <w:bottom w:val="single" w:sz="8" w:color="auto"/>
            </w:tcBorders>
          </w:tcPr>
          <w:p>
            <w:pPr>
              <w:jc w:val="right"/>
              <w:ind w:right="359"/>
              <w:spacing w:after="0"/>
              <w:rPr>
                <w:sz w:val="20"/>
                <w:szCs w:val="20"/>
                <w:color w:val="auto"/>
              </w:rPr>
            </w:pPr>
            <w:r>
              <w:rPr>
                <w:rFonts w:ascii="Trebuchet MS" w:cs="Trebuchet MS" w:eastAsia="Trebuchet MS" w:hAnsi="Trebuchet MS"/>
                <w:sz w:val="16"/>
                <w:szCs w:val="16"/>
                <w:b w:val="1"/>
                <w:bCs w:val="1"/>
                <w:color w:val="auto"/>
              </w:rPr>
              <w:t>End Date</w:t>
            </w:r>
          </w:p>
        </w:tc>
        <w:tc>
          <w:tcPr>
            <w:tcW w:w="128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b w:val="1"/>
                <w:bCs w:val="1"/>
                <w:color w:val="auto"/>
              </w:rPr>
              <w:t>Commodity</w:t>
            </w:r>
          </w:p>
        </w:tc>
        <w:tc>
          <w:tcPr>
            <w:tcW w:w="138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b w:val="1"/>
                <w:bCs w:val="1"/>
                <w:color w:val="auto"/>
              </w:rPr>
              <w:t>Option Type</w:t>
            </w:r>
          </w:p>
        </w:tc>
        <w:tc>
          <w:tcPr>
            <w:tcW w:w="180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b w:val="1"/>
                <w:bCs w:val="1"/>
                <w:color w:val="auto"/>
                <w:w w:val="98"/>
              </w:rPr>
              <w:t>Quantity</w:t>
            </w:r>
          </w:p>
        </w:tc>
        <w:tc>
          <w:tcPr>
            <w:tcW w:w="132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b w:val="1"/>
                <w:bCs w:val="1"/>
                <w:color w:val="auto"/>
              </w:rPr>
              <w:t>Floor</w:t>
            </w:r>
          </w:p>
        </w:tc>
        <w:tc>
          <w:tcPr>
            <w:tcW w:w="136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b w:val="1"/>
                <w:bCs w:val="1"/>
                <w:color w:val="auto"/>
              </w:rPr>
              <w:t>Ceiling</w:t>
            </w:r>
          </w:p>
        </w:tc>
        <w:tc>
          <w:tcPr>
            <w:tcW w:w="130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b w:val="1"/>
                <w:bCs w:val="1"/>
                <w:color w:val="auto"/>
              </w:rPr>
              <w:t>Premium</w:t>
            </w:r>
          </w:p>
        </w:tc>
      </w:tr>
      <w:tr>
        <w:trPr>
          <w:trHeight w:val="165"/>
        </w:trPr>
        <w:tc>
          <w:tcPr>
            <w:tcW w:w="1460" w:type="dxa"/>
            <w:vAlign w:val="bottom"/>
          </w:tcPr>
          <w:p>
            <w:pPr>
              <w:jc w:val="right"/>
              <w:ind w:right="139"/>
              <w:spacing w:after="0" w:line="165" w:lineRule="exact"/>
              <w:rPr>
                <w:sz w:val="20"/>
                <w:szCs w:val="20"/>
                <w:color w:val="auto"/>
              </w:rPr>
            </w:pPr>
            <w:r>
              <w:rPr>
                <w:rFonts w:ascii="Trebuchet MS" w:cs="Trebuchet MS" w:eastAsia="Trebuchet MS" w:hAnsi="Trebuchet MS"/>
                <w:sz w:val="16"/>
                <w:szCs w:val="16"/>
                <w:color w:val="auto"/>
              </w:rPr>
              <w:t>11/1/2021</w:t>
            </w:r>
          </w:p>
        </w:tc>
        <w:tc>
          <w:tcPr>
            <w:tcW w:w="1340" w:type="dxa"/>
            <w:vAlign w:val="bottom"/>
          </w:tcPr>
          <w:p>
            <w:pPr>
              <w:jc w:val="right"/>
              <w:ind w:right="99"/>
              <w:spacing w:after="0" w:line="165" w:lineRule="exact"/>
              <w:rPr>
                <w:sz w:val="20"/>
                <w:szCs w:val="20"/>
                <w:color w:val="auto"/>
              </w:rPr>
            </w:pPr>
            <w:r>
              <w:rPr>
                <w:rFonts w:ascii="Trebuchet MS" w:cs="Trebuchet MS" w:eastAsia="Trebuchet MS" w:hAnsi="Trebuchet MS"/>
                <w:sz w:val="16"/>
                <w:szCs w:val="16"/>
                <w:color w:val="auto"/>
              </w:rPr>
              <w:t>10/31/2024</w:t>
            </w:r>
          </w:p>
        </w:tc>
        <w:tc>
          <w:tcPr>
            <w:tcW w:w="1280" w:type="dxa"/>
            <w:vAlign w:val="bottom"/>
          </w:tcPr>
          <w:p>
            <w:pPr>
              <w:jc w:val="center"/>
              <w:spacing w:after="0" w:line="165" w:lineRule="exact"/>
              <w:rPr>
                <w:sz w:val="20"/>
                <w:szCs w:val="20"/>
                <w:color w:val="auto"/>
              </w:rPr>
            </w:pPr>
            <w:r>
              <w:rPr>
                <w:rFonts w:ascii="Trebuchet MS" w:cs="Trebuchet MS" w:eastAsia="Trebuchet MS" w:hAnsi="Trebuchet MS"/>
                <w:sz w:val="16"/>
                <w:szCs w:val="16"/>
                <w:color w:val="auto"/>
              </w:rPr>
              <w:t>Natural Gas</w:t>
            </w:r>
          </w:p>
        </w:tc>
        <w:tc>
          <w:tcPr>
            <w:tcW w:w="1380" w:type="dxa"/>
            <w:vAlign w:val="bottom"/>
          </w:tcPr>
          <w:p>
            <w:pPr>
              <w:jc w:val="center"/>
              <w:spacing w:after="0" w:line="165" w:lineRule="exact"/>
              <w:rPr>
                <w:sz w:val="20"/>
                <w:szCs w:val="20"/>
                <w:color w:val="auto"/>
              </w:rPr>
            </w:pPr>
            <w:r>
              <w:rPr>
                <w:rFonts w:ascii="Trebuchet MS" w:cs="Trebuchet MS" w:eastAsia="Trebuchet MS" w:hAnsi="Trebuchet MS"/>
                <w:sz w:val="16"/>
                <w:szCs w:val="16"/>
                <w:color w:val="auto"/>
              </w:rPr>
              <w:t>Collar</w:t>
            </w:r>
          </w:p>
        </w:tc>
        <w:tc>
          <w:tcPr>
            <w:tcW w:w="1800" w:type="dxa"/>
            <w:vAlign w:val="bottom"/>
          </w:tcPr>
          <w:p>
            <w:pPr>
              <w:jc w:val="center"/>
              <w:spacing w:after="0" w:line="165" w:lineRule="exact"/>
              <w:rPr>
                <w:sz w:val="20"/>
                <w:szCs w:val="20"/>
                <w:color w:val="auto"/>
              </w:rPr>
            </w:pPr>
            <w:r>
              <w:rPr>
                <w:rFonts w:ascii="Trebuchet MS" w:cs="Trebuchet MS" w:eastAsia="Trebuchet MS" w:hAnsi="Trebuchet MS"/>
                <w:sz w:val="16"/>
                <w:szCs w:val="16"/>
                <w:color w:val="auto"/>
              </w:rPr>
              <w:t>6,570,000 MMBTU</w:t>
            </w:r>
          </w:p>
        </w:tc>
        <w:tc>
          <w:tcPr>
            <w:tcW w:w="1320" w:type="dxa"/>
            <w:vAlign w:val="bottom"/>
          </w:tcPr>
          <w:p>
            <w:pPr>
              <w:jc w:val="right"/>
              <w:ind w:right="359"/>
              <w:spacing w:after="0" w:line="165" w:lineRule="exact"/>
              <w:rPr>
                <w:sz w:val="20"/>
                <w:szCs w:val="20"/>
                <w:color w:val="auto"/>
              </w:rPr>
            </w:pPr>
            <w:r>
              <w:rPr>
                <w:rFonts w:ascii="Trebuchet MS" w:cs="Trebuchet MS" w:eastAsia="Trebuchet MS" w:hAnsi="Trebuchet MS"/>
                <w:sz w:val="16"/>
                <w:szCs w:val="16"/>
                <w:color w:val="auto"/>
              </w:rPr>
              <w:t>$2.175</w:t>
            </w:r>
          </w:p>
        </w:tc>
        <w:tc>
          <w:tcPr>
            <w:tcW w:w="1360" w:type="dxa"/>
            <w:vAlign w:val="bottom"/>
          </w:tcPr>
          <w:p>
            <w:pPr>
              <w:jc w:val="center"/>
              <w:spacing w:after="0" w:line="165" w:lineRule="exact"/>
              <w:rPr>
                <w:sz w:val="20"/>
                <w:szCs w:val="20"/>
                <w:color w:val="auto"/>
              </w:rPr>
            </w:pPr>
            <w:r>
              <w:rPr>
                <w:rFonts w:ascii="Trebuchet MS" w:cs="Trebuchet MS" w:eastAsia="Trebuchet MS" w:hAnsi="Trebuchet MS"/>
                <w:sz w:val="16"/>
                <w:szCs w:val="16"/>
                <w:color w:val="auto"/>
              </w:rPr>
              <w:t>$3.093</w:t>
            </w:r>
          </w:p>
        </w:tc>
        <w:tc>
          <w:tcPr>
            <w:tcW w:w="1300" w:type="dxa"/>
            <w:vAlign w:val="bottom"/>
          </w:tcPr>
          <w:p>
            <w:pPr>
              <w:jc w:val="center"/>
              <w:spacing w:after="0" w:line="165" w:lineRule="exact"/>
              <w:rPr>
                <w:sz w:val="20"/>
                <w:szCs w:val="20"/>
                <w:color w:val="auto"/>
              </w:rPr>
            </w:pPr>
            <w:r>
              <w:rPr>
                <w:rFonts w:ascii="Trebuchet MS" w:cs="Trebuchet MS" w:eastAsia="Trebuchet MS" w:hAnsi="Trebuchet MS"/>
                <w:sz w:val="16"/>
                <w:szCs w:val="16"/>
                <w:color w:val="auto"/>
              </w:rPr>
              <w:t>Costless</w:t>
            </w:r>
          </w:p>
        </w:tc>
      </w:tr>
      <w:tr>
        <w:trPr>
          <w:trHeight w:val="200"/>
        </w:trPr>
        <w:tc>
          <w:tcPr>
            <w:tcW w:w="1460" w:type="dxa"/>
            <w:vAlign w:val="bottom"/>
            <w:tcBorders>
              <w:bottom w:val="single" w:sz="8" w:color="auto"/>
            </w:tcBorders>
          </w:tcPr>
          <w:p>
            <w:pPr>
              <w:jc w:val="right"/>
              <w:ind w:right="139"/>
              <w:spacing w:after="0"/>
              <w:rPr>
                <w:sz w:val="20"/>
                <w:szCs w:val="20"/>
                <w:color w:val="auto"/>
              </w:rPr>
            </w:pPr>
            <w:r>
              <w:rPr>
                <w:rFonts w:ascii="Trebuchet MS" w:cs="Trebuchet MS" w:eastAsia="Trebuchet MS" w:hAnsi="Trebuchet MS"/>
                <w:sz w:val="16"/>
                <w:szCs w:val="16"/>
                <w:color w:val="auto"/>
              </w:rPr>
              <w:t>1/1/2021</w:t>
            </w:r>
          </w:p>
        </w:tc>
        <w:tc>
          <w:tcPr>
            <w:tcW w:w="1340" w:type="dxa"/>
            <w:vAlign w:val="bottom"/>
            <w:tcBorders>
              <w:bottom w:val="single" w:sz="8" w:color="auto"/>
            </w:tcBorders>
          </w:tcPr>
          <w:p>
            <w:pPr>
              <w:jc w:val="right"/>
              <w:ind w:right="99"/>
              <w:spacing w:after="0"/>
              <w:rPr>
                <w:sz w:val="20"/>
                <w:szCs w:val="20"/>
                <w:color w:val="auto"/>
              </w:rPr>
            </w:pPr>
            <w:r>
              <w:rPr>
                <w:rFonts w:ascii="Trebuchet MS" w:cs="Trebuchet MS" w:eastAsia="Trebuchet MS" w:hAnsi="Trebuchet MS"/>
                <w:sz w:val="16"/>
                <w:szCs w:val="16"/>
                <w:color w:val="auto"/>
              </w:rPr>
              <w:t>3/31/2023</w:t>
            </w:r>
          </w:p>
        </w:tc>
        <w:tc>
          <w:tcPr>
            <w:tcW w:w="128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color w:val="auto"/>
                <w:w w:val="98"/>
              </w:rPr>
              <w:t>Crude Oil</w:t>
            </w:r>
          </w:p>
        </w:tc>
        <w:tc>
          <w:tcPr>
            <w:tcW w:w="138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color w:val="auto"/>
                <w:w w:val="99"/>
              </w:rPr>
              <w:t>Put</w:t>
            </w:r>
          </w:p>
        </w:tc>
        <w:tc>
          <w:tcPr>
            <w:tcW w:w="180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color w:val="auto"/>
              </w:rPr>
              <w:t>317,900 BBL</w:t>
            </w:r>
          </w:p>
        </w:tc>
        <w:tc>
          <w:tcPr>
            <w:tcW w:w="1320" w:type="dxa"/>
            <w:vAlign w:val="bottom"/>
            <w:tcBorders>
              <w:bottom w:val="single" w:sz="8" w:color="auto"/>
            </w:tcBorders>
          </w:tcPr>
          <w:p>
            <w:pPr>
              <w:jc w:val="right"/>
              <w:ind w:right="319"/>
              <w:spacing w:after="0"/>
              <w:rPr>
                <w:sz w:val="20"/>
                <w:szCs w:val="20"/>
                <w:color w:val="auto"/>
              </w:rPr>
            </w:pPr>
            <w:r>
              <w:rPr>
                <w:rFonts w:ascii="Trebuchet MS" w:cs="Trebuchet MS" w:eastAsia="Trebuchet MS" w:hAnsi="Trebuchet MS"/>
                <w:sz w:val="16"/>
                <w:szCs w:val="16"/>
                <w:color w:val="auto"/>
              </w:rPr>
              <w:t>$29.310</w:t>
            </w:r>
          </w:p>
        </w:tc>
        <w:tc>
          <w:tcPr>
            <w:tcW w:w="136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color w:val="auto"/>
                <w:w w:val="99"/>
              </w:rPr>
              <w:t>N/A</w:t>
            </w:r>
          </w:p>
        </w:tc>
        <w:tc>
          <w:tcPr>
            <w:tcW w:w="130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6"/>
                <w:szCs w:val="16"/>
                <w:color w:val="auto"/>
              </w:rPr>
              <w:t>$1.998</w:t>
            </w:r>
          </w:p>
        </w:tc>
      </w:tr>
    </w:tbl>
    <w:p>
      <w:pPr>
        <w:spacing w:after="0" w:line="214"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Gross fair values of the Company’s derivative instruments, prior to netting of assets and liabilities subject to a master netting arrangement,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20" w:type="dxa"/>
            <w:vAlign w:val="bottom"/>
          </w:tcPr>
          <w:p>
            <w:pPr>
              <w:ind w:left="1140"/>
              <w:spacing w:after="0"/>
              <w:rPr>
                <w:sz w:val="20"/>
                <w:szCs w:val="20"/>
                <w:color w:val="auto"/>
              </w:rPr>
            </w:pPr>
            <w:r>
              <w:rPr>
                <w:rFonts w:ascii="Trebuchet MS" w:cs="Trebuchet MS" w:eastAsia="Trebuchet MS" w:hAnsi="Trebuchet MS"/>
                <w:sz w:val="19"/>
                <w:szCs w:val="19"/>
                <w:b w:val="1"/>
                <w:bCs w:val="1"/>
                <w:color w:val="auto"/>
              </w:rPr>
              <w:t>Derivative</w:t>
            </w:r>
          </w:p>
        </w:tc>
        <w:tc>
          <w:tcPr>
            <w:tcW w:w="4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60" w:type="dxa"/>
            <w:vAlign w:val="bottom"/>
          </w:tcPr>
          <w:p>
            <w:pPr>
              <w:jc w:val="right"/>
              <w:ind w:right="566"/>
              <w:spacing w:after="0"/>
              <w:rPr>
                <w:sz w:val="20"/>
                <w:szCs w:val="20"/>
                <w:color w:val="auto"/>
              </w:rPr>
            </w:pPr>
            <w:r>
              <w:rPr>
                <w:rFonts w:ascii="Trebuchet MS" w:cs="Trebuchet MS" w:eastAsia="Trebuchet MS" w:hAnsi="Trebuchet MS"/>
                <w:sz w:val="19"/>
                <w:szCs w:val="19"/>
                <w:b w:val="1"/>
                <w:bCs w:val="1"/>
                <w:color w:val="auto"/>
              </w:rPr>
              <w:t>Fair Value as of</w:t>
            </w:r>
          </w:p>
        </w:tc>
        <w:tc>
          <w:tcPr>
            <w:tcW w:w="0" w:type="dxa"/>
            <w:vAlign w:val="bottom"/>
          </w:tcPr>
          <w:p>
            <w:pPr>
              <w:spacing w:after="0"/>
              <w:rPr>
                <w:sz w:val="1"/>
                <w:szCs w:val="1"/>
                <w:color w:val="auto"/>
              </w:rPr>
            </w:pPr>
          </w:p>
        </w:tc>
      </w:tr>
      <w:tr>
        <w:trPr>
          <w:trHeight w:val="235"/>
        </w:trPr>
        <w:tc>
          <w:tcPr>
            <w:tcW w:w="3320" w:type="dxa"/>
            <w:vAlign w:val="bottom"/>
            <w:tcBorders>
              <w:bottom w:val="single" w:sz="8" w:color="auto"/>
            </w:tcBorders>
          </w:tcPr>
          <w:p>
            <w:pPr>
              <w:ind w:left="640"/>
              <w:spacing w:after="0"/>
              <w:rPr>
                <w:sz w:val="20"/>
                <w:szCs w:val="20"/>
                <w:color w:val="auto"/>
              </w:rPr>
            </w:pPr>
            <w:r>
              <w:rPr>
                <w:rFonts w:ascii="Trebuchet MS" w:cs="Trebuchet MS" w:eastAsia="Trebuchet MS" w:hAnsi="Trebuchet MS"/>
                <w:sz w:val="19"/>
                <w:szCs w:val="19"/>
                <w:b w:val="1"/>
                <w:bCs w:val="1"/>
                <w:color w:val="auto"/>
              </w:rPr>
              <w:t>Financial Instruments</w:t>
            </w:r>
          </w:p>
        </w:tc>
        <w:tc>
          <w:tcPr>
            <w:tcW w:w="4900" w:type="dxa"/>
            <w:vAlign w:val="bottom"/>
            <w:tcBorders>
              <w:bottom w:val="single" w:sz="8" w:color="auto"/>
            </w:tcBorders>
          </w:tcPr>
          <w:p>
            <w:pPr>
              <w:jc w:val="center"/>
              <w:ind w:left="226"/>
              <w:spacing w:after="0"/>
              <w:rPr>
                <w:sz w:val="20"/>
                <w:szCs w:val="20"/>
                <w:color w:val="auto"/>
              </w:rPr>
            </w:pPr>
            <w:r>
              <w:rPr>
                <w:rFonts w:ascii="Trebuchet MS" w:cs="Trebuchet MS" w:eastAsia="Trebuchet MS" w:hAnsi="Trebuchet MS"/>
                <w:sz w:val="19"/>
                <w:szCs w:val="19"/>
                <w:b w:val="1"/>
                <w:bCs w:val="1"/>
                <w:color w:val="auto"/>
                <w:w w:val="99"/>
              </w:rPr>
              <w:t>Balance Sheet Location</w:t>
            </w:r>
          </w:p>
        </w:tc>
        <w:tc>
          <w:tcPr>
            <w:tcW w:w="6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346"/>
              <w:spacing w:after="0"/>
              <w:rPr>
                <w:sz w:val="20"/>
                <w:szCs w:val="20"/>
                <w:color w:val="auto"/>
              </w:rPr>
            </w:pPr>
            <w:r>
              <w:rPr>
                <w:rFonts w:ascii="Trebuchet MS" w:cs="Trebuchet MS" w:eastAsia="Trebuchet MS" w:hAnsi="Trebuchet MS"/>
                <w:sz w:val="19"/>
                <w:szCs w:val="19"/>
                <w:b w:val="1"/>
                <w:bCs w:val="1"/>
                <w:color w:val="auto"/>
              </w:rPr>
              <w:t>September 30, 2021</w:t>
            </w:r>
          </w:p>
        </w:tc>
        <w:tc>
          <w:tcPr>
            <w:tcW w:w="0" w:type="dxa"/>
            <w:vAlign w:val="bottom"/>
          </w:tcPr>
          <w:p>
            <w:pPr>
              <w:spacing w:after="0"/>
              <w:rPr>
                <w:sz w:val="1"/>
                <w:szCs w:val="1"/>
                <w:color w:val="auto"/>
              </w:rPr>
            </w:pPr>
          </w:p>
        </w:tc>
      </w:tr>
      <w:tr>
        <w:trPr>
          <w:trHeight w:val="221"/>
        </w:trPr>
        <w:tc>
          <w:tcPr>
            <w:tcW w:w="3320" w:type="dxa"/>
            <w:vAlign w:val="bottom"/>
          </w:tcPr>
          <w:p>
            <w:pPr>
              <w:ind w:left="20"/>
              <w:spacing w:after="0"/>
              <w:rPr>
                <w:sz w:val="20"/>
                <w:szCs w:val="20"/>
                <w:color w:val="auto"/>
              </w:rPr>
            </w:pPr>
            <w:r>
              <w:rPr>
                <w:rFonts w:ascii="Trebuchet MS" w:cs="Trebuchet MS" w:eastAsia="Trebuchet MS" w:hAnsi="Trebuchet MS"/>
                <w:sz w:val="19"/>
                <w:szCs w:val="19"/>
                <w:color w:val="auto"/>
              </w:rPr>
              <w:t>Commodity Contracts</w:t>
            </w:r>
          </w:p>
        </w:tc>
        <w:tc>
          <w:tcPr>
            <w:tcW w:w="4900" w:type="dxa"/>
            <w:vAlign w:val="bottom"/>
            <w:vMerge w:val="restart"/>
          </w:tcPr>
          <w:p>
            <w:pPr>
              <w:jc w:val="center"/>
              <w:ind w:left="246"/>
              <w:spacing w:after="0"/>
              <w:rPr>
                <w:sz w:val="20"/>
                <w:szCs w:val="20"/>
                <w:color w:val="auto"/>
              </w:rPr>
            </w:pPr>
            <w:r>
              <w:rPr>
                <w:rFonts w:ascii="Trebuchet MS" w:cs="Trebuchet MS" w:eastAsia="Trebuchet MS" w:hAnsi="Trebuchet MS"/>
                <w:sz w:val="19"/>
                <w:szCs w:val="19"/>
                <w:color w:val="auto"/>
                <w:w w:val="99"/>
              </w:rPr>
              <w:t>Current Assets - Derivative Assets</w:t>
            </w:r>
          </w:p>
        </w:tc>
        <w:tc>
          <w:tcPr>
            <w:tcW w:w="66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236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14,806</w:t>
            </w:r>
          </w:p>
        </w:tc>
        <w:tc>
          <w:tcPr>
            <w:tcW w:w="0" w:type="dxa"/>
            <w:vAlign w:val="bottom"/>
          </w:tcPr>
          <w:p>
            <w:pPr>
              <w:spacing w:after="0"/>
              <w:rPr>
                <w:sz w:val="1"/>
                <w:szCs w:val="1"/>
                <w:color w:val="auto"/>
              </w:rPr>
            </w:pPr>
          </w:p>
        </w:tc>
      </w:tr>
      <w:tr>
        <w:trPr>
          <w:trHeight w:val="174"/>
        </w:trPr>
        <w:tc>
          <w:tcPr>
            <w:tcW w:w="332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Commodity Contracts</w:t>
            </w:r>
          </w:p>
        </w:tc>
        <w:tc>
          <w:tcPr>
            <w:tcW w:w="490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4900" w:type="dxa"/>
            <w:vAlign w:val="bottom"/>
            <w:vMerge w:val="restart"/>
          </w:tcPr>
          <w:p>
            <w:pPr>
              <w:jc w:val="center"/>
              <w:ind w:left="226"/>
              <w:spacing w:after="0"/>
              <w:rPr>
                <w:sz w:val="20"/>
                <w:szCs w:val="20"/>
                <w:color w:val="auto"/>
              </w:rPr>
            </w:pPr>
            <w:r>
              <w:rPr>
                <w:rFonts w:ascii="Trebuchet MS" w:cs="Trebuchet MS" w:eastAsia="Trebuchet MS" w:hAnsi="Trebuchet MS"/>
                <w:sz w:val="19"/>
                <w:szCs w:val="19"/>
                <w:color w:val="auto"/>
                <w:w w:val="99"/>
              </w:rPr>
              <w:t>Noncurrent Assets - Derivative Assets</w:t>
            </w:r>
          </w:p>
        </w:tc>
        <w:tc>
          <w:tcPr>
            <w:tcW w:w="660" w:type="dxa"/>
            <w:vAlign w:val="bottom"/>
            <w:vMerge w:val="restart"/>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236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100,052</w:t>
            </w:r>
          </w:p>
        </w:tc>
        <w:tc>
          <w:tcPr>
            <w:tcW w:w="0" w:type="dxa"/>
            <w:vAlign w:val="bottom"/>
          </w:tcPr>
          <w:p>
            <w:pPr>
              <w:spacing w:after="0"/>
              <w:rPr>
                <w:sz w:val="1"/>
                <w:szCs w:val="1"/>
                <w:color w:val="auto"/>
              </w:rPr>
            </w:pPr>
          </w:p>
        </w:tc>
      </w:tr>
      <w:tr>
        <w:trPr>
          <w:trHeight w:val="189"/>
        </w:trPr>
        <w:tc>
          <w:tcPr>
            <w:tcW w:w="332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Commodity Contracts</w:t>
            </w:r>
          </w:p>
        </w:tc>
        <w:tc>
          <w:tcPr>
            <w:tcW w:w="49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20" w:type="dxa"/>
            <w:vAlign w:val="bottom"/>
            <w:vMerge w:val="continue"/>
          </w:tcPr>
          <w:p>
            <w:pPr>
              <w:spacing w:after="0"/>
              <w:rPr>
                <w:sz w:val="19"/>
                <w:szCs w:val="19"/>
                <w:color w:val="auto"/>
              </w:rPr>
            </w:pPr>
          </w:p>
        </w:tc>
        <w:tc>
          <w:tcPr>
            <w:tcW w:w="4900" w:type="dxa"/>
            <w:vAlign w:val="bottom"/>
          </w:tcPr>
          <w:p>
            <w:pPr>
              <w:jc w:val="center"/>
              <w:ind w:left="226"/>
              <w:spacing w:after="0"/>
              <w:rPr>
                <w:sz w:val="20"/>
                <w:szCs w:val="20"/>
                <w:color w:val="auto"/>
              </w:rPr>
            </w:pPr>
            <w:r>
              <w:rPr>
                <w:rFonts w:ascii="Trebuchet MS" w:cs="Trebuchet MS" w:eastAsia="Trebuchet MS" w:hAnsi="Trebuchet MS"/>
                <w:sz w:val="19"/>
                <w:szCs w:val="19"/>
                <w:color w:val="auto"/>
                <w:w w:val="99"/>
              </w:rPr>
              <w:t>Current Liabilities - Derivative Liabilities</w:t>
            </w:r>
          </w:p>
        </w:tc>
        <w:tc>
          <w:tcPr>
            <w:tcW w:w="66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2360" w:type="dxa"/>
            <w:vAlign w:val="bottom"/>
          </w:tcPr>
          <w:p>
            <w:pPr>
              <w:jc w:val="right"/>
              <w:spacing w:after="0"/>
              <w:rPr>
                <w:sz w:val="20"/>
                <w:szCs w:val="20"/>
                <w:color w:val="auto"/>
              </w:rPr>
            </w:pPr>
            <w:r>
              <w:rPr>
                <w:rFonts w:ascii="Trebuchet MS" w:cs="Trebuchet MS" w:eastAsia="Trebuchet MS" w:hAnsi="Trebuchet MS"/>
                <w:sz w:val="19"/>
                <w:szCs w:val="19"/>
                <w:color w:val="auto"/>
              </w:rPr>
              <w:t>(5,185,147 )</w:t>
            </w:r>
          </w:p>
        </w:tc>
        <w:tc>
          <w:tcPr>
            <w:tcW w:w="0" w:type="dxa"/>
            <w:vAlign w:val="bottom"/>
          </w:tcPr>
          <w:p>
            <w:pPr>
              <w:spacing w:after="0"/>
              <w:rPr>
                <w:sz w:val="1"/>
                <w:szCs w:val="1"/>
                <w:color w:val="auto"/>
              </w:rPr>
            </w:pPr>
          </w:p>
        </w:tc>
      </w:tr>
      <w:tr>
        <w:trPr>
          <w:trHeight w:val="242"/>
        </w:trPr>
        <w:tc>
          <w:tcPr>
            <w:tcW w:w="33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color w:val="auto"/>
              </w:rPr>
              <w:t>Commodity Contracts</w:t>
            </w:r>
          </w:p>
        </w:tc>
        <w:tc>
          <w:tcPr>
            <w:tcW w:w="4900" w:type="dxa"/>
            <w:vAlign w:val="bottom"/>
            <w:tcBorders>
              <w:bottom w:val="single" w:sz="8" w:color="auto"/>
            </w:tcBorders>
          </w:tcPr>
          <w:p>
            <w:pPr>
              <w:jc w:val="center"/>
              <w:ind w:left="246"/>
              <w:spacing w:after="0"/>
              <w:rPr>
                <w:sz w:val="20"/>
                <w:szCs w:val="20"/>
                <w:color w:val="auto"/>
              </w:rPr>
            </w:pPr>
            <w:r>
              <w:rPr>
                <w:rFonts w:ascii="Trebuchet MS" w:cs="Trebuchet MS" w:eastAsia="Trebuchet MS" w:hAnsi="Trebuchet MS"/>
                <w:sz w:val="19"/>
                <w:szCs w:val="19"/>
                <w:color w:val="auto"/>
                <w:w w:val="98"/>
              </w:rPr>
              <w:t>Long Term Liabilities - Derivative Liabilities</w:t>
            </w:r>
          </w:p>
        </w:tc>
        <w:tc>
          <w:tcPr>
            <w:tcW w:w="66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236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(1,689,999 )</w:t>
            </w:r>
          </w:p>
        </w:tc>
        <w:tc>
          <w:tcPr>
            <w:tcW w:w="0" w:type="dxa"/>
            <w:vAlign w:val="bottom"/>
          </w:tcPr>
          <w:p>
            <w:pPr>
              <w:spacing w:after="0"/>
              <w:rPr>
                <w:sz w:val="1"/>
                <w:szCs w:val="1"/>
                <w:color w:val="auto"/>
              </w:rPr>
            </w:pPr>
          </w:p>
        </w:tc>
      </w:tr>
      <w:tr>
        <w:trPr>
          <w:trHeight w:val="224"/>
        </w:trPr>
        <w:tc>
          <w:tcPr>
            <w:tcW w:w="33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color w:val="auto"/>
              </w:rPr>
              <w:t>Total Derivatives, net</w:t>
            </w:r>
          </w:p>
        </w:tc>
        <w:tc>
          <w:tcPr>
            <w:tcW w:w="49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w:t>
            </w:r>
          </w:p>
        </w:tc>
        <w:tc>
          <w:tcPr>
            <w:tcW w:w="236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(6,760,288 )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All of the gains and losses related to derivative contracts are recorded through the “Loss on derivative instruments” account in the consolidated statement of operations.</w:t>
      </w:r>
    </w:p>
    <w:p>
      <w:pPr>
        <w:spacing w:after="0" w:line="173" w:lineRule="exact"/>
        <w:rPr>
          <w:sz w:val="20"/>
          <w:szCs w:val="20"/>
          <w:color w:val="auto"/>
        </w:rPr>
      </w:pPr>
    </w:p>
    <w:p>
      <w:pPr>
        <w:ind w:left="520" w:hanging="512"/>
        <w:spacing w:after="0"/>
        <w:tabs>
          <w:tab w:leader="none" w:pos="520" w:val="left"/>
        </w:tabs>
        <w:numPr>
          <w:ilvl w:val="0"/>
          <w:numId w:val="125"/>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Acquisitions and Divestitures</w:t>
      </w:r>
    </w:p>
    <w:p>
      <w:pPr>
        <w:spacing w:after="0" w:line="192"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May 2021 Disposition</w:t>
      </w:r>
    </w:p>
    <w:p>
      <w:pPr>
        <w:spacing w:after="0" w:line="107" w:lineRule="exact"/>
        <w:rPr>
          <w:sz w:val="20"/>
          <w:szCs w:val="20"/>
          <w:color w:val="auto"/>
        </w:rPr>
      </w:pPr>
    </w:p>
    <w:p>
      <w:pPr>
        <w:jc w:val="both"/>
        <w:spacing w:after="0" w:line="241" w:lineRule="auto"/>
        <w:rPr>
          <w:sz w:val="20"/>
          <w:szCs w:val="20"/>
          <w:color w:val="auto"/>
        </w:rPr>
      </w:pPr>
      <w:r>
        <w:rPr>
          <w:rFonts w:ascii="Trebuchet MS" w:cs="Trebuchet MS" w:eastAsia="Trebuchet MS" w:hAnsi="Trebuchet MS"/>
          <w:sz w:val="19"/>
          <w:szCs w:val="19"/>
          <w:color w:val="auto"/>
        </w:rPr>
        <w:t>In May 2021, the Company closed on the sale of certain oil and natural gas properties located in various counties in Texas and New Mexico. The Company received no proceeds, but was relieved of $568 thousand of plugging liability. The Company did not recognize a gain or loss on the sale as the divestiture did not significantly alter the relationship between capitalized costs and proved oil and gas reserves.</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September 2021 Acquisition</w:t>
      </w:r>
    </w:p>
    <w:p>
      <w:pPr>
        <w:spacing w:after="0" w:line="107"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In September 2021, the Company closed on the acquisition of the remaining working interest in the Uhyrek #1-OL Unit located in Fayette County, Texas. The full cost pool was increased by the purchase price of $456 thousand.</w:t>
      </w:r>
    </w:p>
    <w:p>
      <w:pPr>
        <w:spacing w:after="0" w:line="187" w:lineRule="exact"/>
        <w:rPr>
          <w:sz w:val="20"/>
          <w:szCs w:val="20"/>
          <w:color w:val="auto"/>
        </w:rPr>
      </w:pPr>
    </w:p>
    <w:p>
      <w:pPr>
        <w:ind w:left="520" w:hanging="512"/>
        <w:spacing w:after="0"/>
        <w:tabs>
          <w:tab w:leader="none" w:pos="520" w:val="left"/>
        </w:tabs>
        <w:numPr>
          <w:ilvl w:val="0"/>
          <w:numId w:val="126"/>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Long-Term Debt</w:t>
      </w:r>
    </w:p>
    <w:p>
      <w:pPr>
        <w:spacing w:after="0" w:line="223"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Long-term debt consists of the following:</w:t>
      </w:r>
    </w:p>
    <w:p>
      <w:pPr>
        <w:spacing w:after="0" w:line="153"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i w:val="1"/>
          <w:iCs w:val="1"/>
          <w:color w:val="auto"/>
        </w:rPr>
        <w:t>September 30,</w:t>
      </w:r>
    </w:p>
    <w:p>
      <w:pPr>
        <w:ind w:left="9960"/>
        <w:spacing w:after="0"/>
        <w:rPr>
          <w:sz w:val="20"/>
          <w:szCs w:val="20"/>
          <w:color w:val="auto"/>
        </w:rPr>
      </w:pPr>
      <w:r>
        <w:rPr>
          <w:rFonts w:ascii="Trebuchet MS" w:cs="Trebuchet MS" w:eastAsia="Trebuchet MS" w:hAnsi="Trebuchet MS"/>
          <w:sz w:val="19"/>
          <w:szCs w:val="19"/>
          <w:b w:val="1"/>
          <w:bCs w:val="1"/>
          <w:color w:val="auto"/>
        </w:rPr>
        <w:t>2021</w:t>
      </w:r>
    </w:p>
    <w:p>
      <w:pPr>
        <w:ind w:left="20"/>
        <w:spacing w:after="0" w:line="215" w:lineRule="auto"/>
        <w:rPr>
          <w:sz w:val="20"/>
          <w:szCs w:val="20"/>
          <w:color w:val="auto"/>
        </w:rPr>
      </w:pPr>
      <w:r>
        <w:rPr>
          <w:rFonts w:ascii="Trebuchet MS" w:cs="Trebuchet MS" w:eastAsia="Trebuchet MS" w:hAnsi="Trebuchet MS"/>
          <w:sz w:val="19"/>
          <w:szCs w:val="19"/>
          <w:color w:val="auto"/>
        </w:rPr>
        <w:t>2020 Main Street Lending Program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260"/>
        <w:spacing w:after="0" w:line="235" w:lineRule="auto"/>
        <w:tabs>
          <w:tab w:leader="none" w:pos="10160" w:val="left"/>
        </w:tabs>
        <w:rPr>
          <w:sz w:val="20"/>
          <w:szCs w:val="20"/>
          <w:color w:val="auto"/>
        </w:rPr>
      </w:pPr>
      <w:r>
        <w:rPr>
          <w:rFonts w:ascii="Trebuchet MS" w:cs="Trebuchet MS" w:eastAsia="Trebuchet MS" w:hAnsi="Trebuchet MS"/>
          <w:sz w:val="19"/>
          <w:szCs w:val="19"/>
          <w:color w:val="auto"/>
        </w:rPr>
        <w:t>$</w:t>
      </w:r>
      <w:r>
        <w:rPr>
          <w:sz w:val="20"/>
          <w:szCs w:val="20"/>
          <w:color w:val="auto"/>
        </w:rPr>
        <w:tab/>
      </w:r>
      <w:r>
        <w:rPr>
          <w:rFonts w:ascii="Trebuchet MS" w:cs="Trebuchet MS" w:eastAsia="Trebuchet MS" w:hAnsi="Trebuchet MS"/>
          <w:sz w:val="19"/>
          <w:szCs w:val="19"/>
          <w:color w:val="auto"/>
        </w:rPr>
        <w:t>42,080,153</w:t>
      </w:r>
    </w:p>
    <w:p>
      <w:pPr>
        <w:ind w:left="20"/>
        <w:spacing w:after="0" w:line="205" w:lineRule="auto"/>
        <w:rPr>
          <w:sz w:val="20"/>
          <w:szCs w:val="20"/>
          <w:color w:val="auto"/>
        </w:rPr>
      </w:pPr>
      <w:r>
        <w:rPr>
          <w:rFonts w:ascii="Trebuchet MS" w:cs="Trebuchet MS" w:eastAsia="Trebuchet MS" w:hAnsi="Trebuchet MS"/>
          <w:sz w:val="19"/>
          <w:szCs w:val="19"/>
          <w:color w:val="auto"/>
        </w:rPr>
        <w:t>Less: Deferred Loan Costs</w:t>
      </w:r>
    </w:p>
    <w:p>
      <w:pPr>
        <w:spacing w:after="0" w:line="1" w:lineRule="exact"/>
        <w:rPr>
          <w:sz w:val="20"/>
          <w:szCs w:val="20"/>
          <w:color w:val="auto"/>
        </w:rPr>
      </w:pPr>
    </w:p>
    <w:p>
      <w:pPr>
        <w:ind w:left="10460"/>
        <w:spacing w:after="0"/>
        <w:rPr>
          <w:sz w:val="20"/>
          <w:szCs w:val="20"/>
          <w:color w:val="auto"/>
        </w:rPr>
      </w:pPr>
      <w:r>
        <w:rPr>
          <w:rFonts w:ascii="Trebuchet MS" w:cs="Trebuchet MS" w:eastAsia="Trebuchet MS" w:hAnsi="Trebuchet MS"/>
          <w:sz w:val="19"/>
          <w:szCs w:val="19"/>
          <w:color w:val="auto"/>
        </w:rPr>
        <w:t>826,561</w:t>
      </w:r>
    </w:p>
    <w:p>
      <w:pPr>
        <w:spacing w:after="0" w:line="5" w:lineRule="exact"/>
        <w:rPr>
          <w:sz w:val="20"/>
          <w:szCs w:val="20"/>
          <w:color w:val="auto"/>
        </w:rPr>
      </w:pPr>
    </w:p>
    <w:p>
      <w:pPr>
        <w:ind w:left="20"/>
        <w:spacing w:after="0"/>
        <w:tabs>
          <w:tab w:leader="none" w:pos="9240" w:val="left"/>
          <w:tab w:leader="none" w:pos="10160" w:val="left"/>
        </w:tabs>
        <w:rPr>
          <w:sz w:val="20"/>
          <w:szCs w:val="20"/>
          <w:color w:val="auto"/>
        </w:rPr>
      </w:pPr>
      <w:r>
        <w:rPr>
          <w:rFonts w:ascii="Trebuchet MS" w:cs="Trebuchet MS" w:eastAsia="Trebuchet MS" w:hAnsi="Trebuchet MS"/>
          <w:sz w:val="19"/>
          <w:szCs w:val="19"/>
          <w:b w:val="1"/>
          <w:bCs w:val="1"/>
          <w:color w:val="auto"/>
        </w:rPr>
        <w:t>Long-Term Debt, net</w:t>
      </w:r>
      <w:r>
        <w:rPr>
          <w:sz w:val="20"/>
          <w:szCs w:val="20"/>
          <w:color w:val="auto"/>
        </w:rPr>
        <w:tab/>
      </w:r>
      <w:r>
        <w:rPr>
          <w:rFonts w:ascii="Trebuchet MS" w:cs="Trebuchet MS" w:eastAsia="Trebuchet MS" w:hAnsi="Trebuchet MS"/>
          <w:sz w:val="19"/>
          <w:szCs w:val="19"/>
          <w:color w:val="auto"/>
        </w:rPr>
        <w:t>$</w:t>
      </w:r>
      <w:r>
        <w:rPr>
          <w:sz w:val="20"/>
          <w:szCs w:val="20"/>
          <w:color w:val="auto"/>
        </w:rPr>
        <w:tab/>
      </w:r>
      <w:r>
        <w:rPr>
          <w:rFonts w:ascii="Trebuchet MS" w:cs="Trebuchet MS" w:eastAsia="Trebuchet MS" w:hAnsi="Trebuchet MS"/>
          <w:sz w:val="19"/>
          <w:szCs w:val="19"/>
          <w:color w:val="auto"/>
        </w:rPr>
        <w:t>41,253,592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Paycheck Protection Program Loan</w:t>
      </w:r>
    </w:p>
    <w:p>
      <w:pPr>
        <w:spacing w:after="0" w:line="1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 entered into two loans in the amounts of $501 thousand on April 29, 2020, and $525 thousand on February 16, 2021, with the Paycheck Protection Program through the United States Small Business</w:t>
      </w:r>
    </w:p>
    <w:p>
      <w:pPr>
        <w:spacing w:after="0" w:line="20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0" w:name="page141"/>
    <w:bookmarkEnd w:id="140"/>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0"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23430" cy="260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8">
                      <a:extLst>
                        <a:ext uri="{28A0092B-C50C-407E-A947-70E740481C1C}"/>
                      </a:extLst>
                    </a:blip>
                    <a:srcRect/>
                    <a:stretch>
                      <a:fillRect/>
                    </a:stretch>
                  </pic:blipFill>
                  <pic:spPr bwMode="auto">
                    <a:xfrm>
                      <a:off x="0" y="0"/>
                      <a:ext cx="7123430" cy="26035"/>
                    </a:xfrm>
                    <a:prstGeom prst="rect">
                      <a:avLst/>
                    </a:prstGeom>
                    <a:noFill/>
                  </pic:spPr>
                </pic:pic>
              </a:graphicData>
            </a:graphic>
          </wp:anchor>
        </w:drawing>
      </w:r>
    </w:p>
    <w:p>
      <w:pPr>
        <w:spacing w:after="0" w:line="370"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Administration. Each loan had a term of two years and carried an interest rate of 1%. The loan amounts were based on approximately 2.5 months’ of payroll, rent and utilities expense and were forgivable upon showing support for applicable expenditures and proof of eligibility requirements. The Company submitted forgiveness applications and the loans were forgiven in June</w:t>
      </w:r>
    </w:p>
    <w:p>
      <w:pPr>
        <w:spacing w:after="0" w:line="303"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and August of 2021, respectively. The Company has elected to use ASC 470 to account for these loans, and has recognized gains on forgiveness of debt in the periods in which the debt was legally forgiven. The application for these funds required the Company to, in good faith, certify that the current economic uncertainty made the loan requests necessary to support the ongoing operations of the Company. The receipt of these funds, and the forgiveness of the loans attendant to these funds, was dependent on the Company having initially qualified for the loan and qualifying for the forgiveness of such loans based on its future adherence to the forgiveness criteria.</w:t>
      </w:r>
    </w:p>
    <w:p>
      <w:pPr>
        <w:spacing w:after="0" w:line="20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Main Street Lending Program Loan Facility</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On September 4, 2020, RAM, with Holdings, Fayette and Service, as guarantors, entered into a $40.8 million loan facility with the Main Street Lending Program and Vast Bank (the “Main Street Loan”). The Company used $26.5 million of the proceeds to repay the debt with a former lender and deferred loan costs.</w:t>
      </w:r>
    </w:p>
    <w:p>
      <w:pPr>
        <w:spacing w:after="0" w:line="208"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Main Street Loan matures in 2025 and carries an interest rate of LIBOR plus 3%. The loan provides for interest to be paid in-kind through September 4, 2021 in the amount of $1.3 million. The first interest payment is due October 4, 2021 and each month thereafter. Principal is due as follows: 15% on September 4, 2023, 15% on September 4, 2024, and the remaining 70% on September 4, 2025.</w:t>
      </w:r>
    </w:p>
    <w:p>
      <w:pPr>
        <w:spacing w:after="0" w:line="209" w:lineRule="exact"/>
        <w:rPr>
          <w:sz w:val="20"/>
          <w:szCs w:val="20"/>
          <w:color w:val="auto"/>
        </w:rPr>
      </w:pPr>
    </w:p>
    <w:p>
      <w:pPr>
        <w:jc w:val="both"/>
        <w:spacing w:after="0" w:line="241" w:lineRule="auto"/>
        <w:rPr>
          <w:sz w:val="20"/>
          <w:szCs w:val="20"/>
          <w:color w:val="auto"/>
        </w:rPr>
      </w:pPr>
      <w:r>
        <w:rPr>
          <w:rFonts w:ascii="Trebuchet MS" w:cs="Trebuchet MS" w:eastAsia="Trebuchet MS" w:hAnsi="Trebuchet MS"/>
          <w:sz w:val="19"/>
          <w:szCs w:val="19"/>
          <w:color w:val="auto"/>
        </w:rPr>
        <w:t>The Main Street Loan is secured by liens on substantially all properties and assets of the borrowers. The loan agreement contains representations, warranties and covenants customary in transactions of this nature, including a financial covenant relating to a minimum debt service coverage ratio, calculated semi-annually. As of September 30, 2021, the Company was in compliance with its financial covenants.</w:t>
      </w:r>
    </w:p>
    <w:p>
      <w:pPr>
        <w:spacing w:after="0" w:line="174" w:lineRule="exact"/>
        <w:rPr>
          <w:sz w:val="20"/>
          <w:szCs w:val="20"/>
          <w:color w:val="auto"/>
        </w:rPr>
      </w:pPr>
    </w:p>
    <w:p>
      <w:pPr>
        <w:ind w:left="520" w:hanging="512"/>
        <w:spacing w:after="0"/>
        <w:tabs>
          <w:tab w:leader="none" w:pos="520" w:val="left"/>
        </w:tabs>
        <w:numPr>
          <w:ilvl w:val="0"/>
          <w:numId w:val="127"/>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Commitments and Contingencies</w:t>
      </w:r>
    </w:p>
    <w:p>
      <w:pPr>
        <w:spacing w:after="0" w:line="196" w:lineRule="exact"/>
        <w:rPr>
          <w:sz w:val="20"/>
          <w:szCs w:val="20"/>
          <w:color w:val="auto"/>
        </w:rPr>
      </w:pPr>
    </w:p>
    <w:p>
      <w:pPr>
        <w:jc w:val="both"/>
        <w:ind w:right="300"/>
        <w:spacing w:after="0" w:line="238" w:lineRule="auto"/>
        <w:rPr>
          <w:sz w:val="20"/>
          <w:szCs w:val="20"/>
          <w:color w:val="auto"/>
        </w:rPr>
      </w:pPr>
      <w:r>
        <w:rPr>
          <w:rFonts w:ascii="Trebuchet MS" w:cs="Trebuchet MS" w:eastAsia="Trebuchet MS" w:hAnsi="Trebuchet MS"/>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Leases</w:t>
      </w:r>
    </w:p>
    <w:p>
      <w:pPr>
        <w:spacing w:after="0" w:line="1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RAM leases office space and certain equipment under non-cancelable operating lease agreements that expire on various dates through 2024. Approximate future minimum lease payments as of September 30, 2021 are as follows:</w:t>
      </w:r>
    </w:p>
    <w:p>
      <w:pPr>
        <w:spacing w:after="0" w:line="378" w:lineRule="exact"/>
        <w:rPr>
          <w:sz w:val="20"/>
          <w:szCs w:val="20"/>
          <w:color w:val="auto"/>
        </w:rPr>
      </w:pPr>
    </w:p>
    <w:p>
      <w:pPr>
        <w:ind w:left="20"/>
        <w:spacing w:after="0"/>
        <w:rPr>
          <w:sz w:val="20"/>
          <w:szCs w:val="20"/>
          <w:color w:val="auto"/>
        </w:rPr>
      </w:pPr>
      <w:r>
        <w:rPr>
          <w:rFonts w:ascii="Trebuchet MS" w:cs="Trebuchet MS" w:eastAsia="Trebuchet MS" w:hAnsi="Trebuchet MS"/>
          <w:sz w:val="19"/>
          <w:szCs w:val="19"/>
          <w:b w:val="1"/>
          <w:bCs w:val="1"/>
          <w:i w:val="1"/>
          <w:iCs w:val="1"/>
          <w:color w:val="auto"/>
        </w:rPr>
        <w:t>Year Ending September 30,</w:t>
      </w:r>
    </w:p>
    <w:tbl>
      <w:tblPr>
        <w:tblLayout w:type="fixed"/>
        <w:tblInd w:w="0" w:type="dxa"/>
        <w:tblCellMar>
          <w:top w:w="0" w:type="dxa"/>
          <w:left w:w="0" w:type="dxa"/>
          <w:bottom w:w="0" w:type="dxa"/>
          <w:right w:w="0" w:type="dxa"/>
        </w:tblCellMar>
      </w:tblPr>
      <w:tr>
        <w:trPr>
          <w:trHeight w:val="182"/>
        </w:trPr>
        <w:tc>
          <w:tcPr>
            <w:tcW w:w="10080" w:type="dxa"/>
            <w:vAlign w:val="bottom"/>
            <w:tcBorders>
              <w:top w:val="single" w:sz="8" w:color="auto"/>
            </w:tcBorders>
          </w:tcPr>
          <w:p>
            <w:pPr>
              <w:jc w:val="right"/>
              <w:ind w:right="9326"/>
              <w:spacing w:after="0" w:line="182" w:lineRule="exact"/>
              <w:rPr>
                <w:sz w:val="20"/>
                <w:szCs w:val="20"/>
                <w:color w:val="auto"/>
              </w:rPr>
            </w:pPr>
            <w:r>
              <w:rPr>
                <w:rFonts w:ascii="Trebuchet MS" w:cs="Trebuchet MS" w:eastAsia="Trebuchet MS" w:hAnsi="Trebuchet MS"/>
                <w:sz w:val="19"/>
                <w:szCs w:val="19"/>
                <w:color w:val="auto"/>
              </w:rPr>
              <w:t>2022</w:t>
            </w: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80" w:type="dxa"/>
            <w:vAlign w:val="bottom"/>
          </w:tcPr>
          <w:p>
            <w:pPr>
              <w:jc w:val="right"/>
              <w:ind w:right="626"/>
              <w:spacing w:after="0" w:line="216" w:lineRule="exact"/>
              <w:rPr>
                <w:sz w:val="20"/>
                <w:szCs w:val="20"/>
                <w:color w:val="auto"/>
              </w:rPr>
            </w:pPr>
            <w:r>
              <w:rPr>
                <w:rFonts w:ascii="Trebuchet MS" w:cs="Trebuchet MS" w:eastAsia="Trebuchet MS" w:hAnsi="Trebuchet MS"/>
                <w:sz w:val="19"/>
                <w:szCs w:val="19"/>
                <w:color w:val="auto"/>
              </w:rPr>
              <w:t>$</w:t>
            </w:r>
          </w:p>
        </w:tc>
        <w:tc>
          <w:tcPr>
            <w:tcW w:w="1160" w:type="dxa"/>
            <w:vAlign w:val="bottom"/>
          </w:tcPr>
          <w:p>
            <w:pPr>
              <w:jc w:val="right"/>
              <w:ind w:right="26"/>
              <w:spacing w:after="0" w:line="216" w:lineRule="exact"/>
              <w:rPr>
                <w:sz w:val="20"/>
                <w:szCs w:val="20"/>
                <w:color w:val="auto"/>
              </w:rPr>
            </w:pPr>
            <w:r>
              <w:rPr>
                <w:rFonts w:ascii="Trebuchet MS" w:cs="Trebuchet MS" w:eastAsia="Trebuchet MS" w:hAnsi="Trebuchet MS"/>
                <w:sz w:val="19"/>
                <w:szCs w:val="19"/>
                <w:color w:val="auto"/>
              </w:rPr>
              <w:t>464</w:t>
            </w:r>
          </w:p>
        </w:tc>
        <w:tc>
          <w:tcPr>
            <w:tcW w:w="0" w:type="dxa"/>
            <w:vAlign w:val="bottom"/>
          </w:tcPr>
          <w:p>
            <w:pPr>
              <w:spacing w:after="0"/>
              <w:rPr>
                <w:sz w:val="1"/>
                <w:szCs w:val="1"/>
                <w:color w:val="auto"/>
              </w:rPr>
            </w:pPr>
          </w:p>
        </w:tc>
      </w:tr>
      <w:tr>
        <w:trPr>
          <w:trHeight w:val="225"/>
        </w:trPr>
        <w:tc>
          <w:tcPr>
            <w:tcW w:w="10080" w:type="dxa"/>
            <w:vAlign w:val="bottom"/>
          </w:tcPr>
          <w:p>
            <w:pPr>
              <w:jc w:val="right"/>
              <w:ind w:right="9326"/>
              <w:spacing w:after="0"/>
              <w:rPr>
                <w:sz w:val="20"/>
                <w:szCs w:val="20"/>
                <w:color w:val="auto"/>
              </w:rPr>
            </w:pPr>
            <w:r>
              <w:rPr>
                <w:rFonts w:ascii="Trebuchet MS" w:cs="Trebuchet MS" w:eastAsia="Trebuchet MS" w:hAnsi="Trebuchet MS"/>
                <w:sz w:val="19"/>
                <w:szCs w:val="19"/>
                <w:color w:val="auto"/>
              </w:rPr>
              <w:t>2023</w:t>
            </w:r>
          </w:p>
        </w:tc>
        <w:tc>
          <w:tcPr>
            <w:tcW w:w="116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118</w:t>
            </w:r>
          </w:p>
        </w:tc>
        <w:tc>
          <w:tcPr>
            <w:tcW w:w="0" w:type="dxa"/>
            <w:vAlign w:val="bottom"/>
          </w:tcPr>
          <w:p>
            <w:pPr>
              <w:spacing w:after="0"/>
              <w:rPr>
                <w:sz w:val="1"/>
                <w:szCs w:val="1"/>
                <w:color w:val="auto"/>
              </w:rPr>
            </w:pPr>
          </w:p>
        </w:tc>
      </w:tr>
      <w:tr>
        <w:trPr>
          <w:trHeight w:val="189"/>
        </w:trPr>
        <w:tc>
          <w:tcPr>
            <w:tcW w:w="10080" w:type="dxa"/>
            <w:vAlign w:val="bottom"/>
            <w:vMerge w:val="restart"/>
          </w:tcPr>
          <w:p>
            <w:pPr>
              <w:jc w:val="right"/>
              <w:ind w:right="9326"/>
              <w:spacing w:after="0"/>
              <w:rPr>
                <w:sz w:val="20"/>
                <w:szCs w:val="20"/>
                <w:color w:val="auto"/>
              </w:rPr>
            </w:pPr>
            <w:r>
              <w:rPr>
                <w:rFonts w:ascii="Trebuchet MS" w:cs="Trebuchet MS" w:eastAsia="Trebuchet MS" w:hAnsi="Trebuchet MS"/>
                <w:sz w:val="19"/>
                <w:szCs w:val="19"/>
                <w:color w:val="auto"/>
              </w:rPr>
              <w:t>2024</w:t>
            </w: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80" w:type="dxa"/>
            <w:vAlign w:val="bottom"/>
            <w:vMerge w:val="continue"/>
          </w:tcPr>
          <w:p>
            <w:pPr>
              <w:spacing w:after="0"/>
              <w:rPr>
                <w:sz w:val="18"/>
                <w:szCs w:val="18"/>
                <w:color w:val="auto"/>
              </w:rPr>
            </w:pPr>
          </w:p>
        </w:tc>
        <w:tc>
          <w:tcPr>
            <w:tcW w:w="116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9</w:t>
            </w:r>
          </w:p>
        </w:tc>
        <w:tc>
          <w:tcPr>
            <w:tcW w:w="0" w:type="dxa"/>
            <w:vAlign w:val="bottom"/>
          </w:tcPr>
          <w:p>
            <w:pPr>
              <w:spacing w:after="0"/>
              <w:rPr>
                <w:sz w:val="1"/>
                <w:szCs w:val="1"/>
                <w:color w:val="auto"/>
              </w:rPr>
            </w:pPr>
          </w:p>
        </w:tc>
      </w:tr>
      <w:tr>
        <w:trPr>
          <w:trHeight w:val="192"/>
        </w:trPr>
        <w:tc>
          <w:tcPr>
            <w:tcW w:w="100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080" w:type="dxa"/>
            <w:vAlign w:val="bottom"/>
            <w:tcBorders>
              <w:bottom w:val="single" w:sz="8" w:color="auto"/>
            </w:tcBorders>
          </w:tcPr>
          <w:p>
            <w:pPr>
              <w:jc w:val="right"/>
              <w:ind w:right="626"/>
              <w:spacing w:after="0"/>
              <w:rPr>
                <w:sz w:val="20"/>
                <w:szCs w:val="20"/>
                <w:color w:val="auto"/>
              </w:rPr>
            </w:pPr>
            <w:r>
              <w:rPr>
                <w:rFonts w:ascii="Trebuchet MS" w:cs="Trebuchet MS" w:eastAsia="Trebuchet MS" w:hAnsi="Trebuchet MS"/>
                <w:sz w:val="19"/>
                <w:szCs w:val="19"/>
                <w:color w:val="auto"/>
              </w:rPr>
              <w:t>$</w:t>
            </w:r>
          </w:p>
        </w:tc>
        <w:tc>
          <w:tcPr>
            <w:tcW w:w="116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591</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Rent expense of approximately $0.5 million was incurred under operating leases for the year ended September 30,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1" w:name="page142"/>
    <w:bookmarkEnd w:id="141"/>
    <w:p>
      <w:pPr>
        <w:jc w:val="center"/>
        <w:ind w:right="-19"/>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23430" cy="260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0">
                      <a:extLst>
                        <a:ext uri="{28A0092B-C50C-407E-A947-70E740481C1C}"/>
                      </a:extLst>
                    </a:blip>
                    <a:srcRect/>
                    <a:stretch>
                      <a:fillRect/>
                    </a:stretch>
                  </pic:blipFill>
                  <pic:spPr bwMode="auto">
                    <a:xfrm>
                      <a:off x="0" y="0"/>
                      <a:ext cx="7123430" cy="26035"/>
                    </a:xfrm>
                    <a:prstGeom prst="rect">
                      <a:avLst/>
                    </a:prstGeom>
                    <a:noFill/>
                  </pic:spPr>
                </pic:pic>
              </a:graphicData>
            </a:graphic>
          </wp:anchor>
        </w:drawing>
      </w:r>
    </w:p>
    <w:p>
      <w:pPr>
        <w:spacing w:after="0" w:line="323" w:lineRule="exact"/>
        <w:rPr>
          <w:sz w:val="20"/>
          <w:szCs w:val="20"/>
          <w:color w:val="auto"/>
        </w:rPr>
      </w:pPr>
    </w:p>
    <w:p>
      <w:pPr>
        <w:ind w:left="520" w:hanging="512"/>
        <w:spacing w:after="0"/>
        <w:tabs>
          <w:tab w:leader="none" w:pos="520" w:val="left"/>
        </w:tabs>
        <w:numPr>
          <w:ilvl w:val="0"/>
          <w:numId w:val="128"/>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Related Party Transactions</w:t>
      </w:r>
    </w:p>
    <w:p>
      <w:pPr>
        <w:spacing w:after="0" w:line="196"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made certain payments on behalf of an officer totaling $51 thousand in 2021, which are due to the Company as of September 30, 2021.</w:t>
      </w:r>
    </w:p>
    <w:p>
      <w:pPr>
        <w:spacing w:after="0" w:line="187" w:lineRule="exact"/>
        <w:rPr>
          <w:sz w:val="20"/>
          <w:szCs w:val="20"/>
          <w:color w:val="auto"/>
        </w:rPr>
      </w:pPr>
    </w:p>
    <w:p>
      <w:pPr>
        <w:spacing w:after="0"/>
        <w:tabs>
          <w:tab w:leader="none" w:pos="500" w:val="left"/>
        </w:tabs>
        <w:rPr>
          <w:sz w:val="20"/>
          <w:szCs w:val="20"/>
          <w:color w:val="auto"/>
        </w:rPr>
      </w:pPr>
      <w:r>
        <w:rPr>
          <w:rFonts w:ascii="Trebuchet MS" w:cs="Trebuchet MS" w:eastAsia="Trebuchet MS" w:hAnsi="Trebuchet MS"/>
          <w:sz w:val="22"/>
          <w:szCs w:val="22"/>
          <w:b w:val="1"/>
          <w:bCs w:val="1"/>
          <w:color w:val="auto"/>
        </w:rPr>
        <w:t>10.</w:t>
      </w:r>
      <w:r>
        <w:rPr>
          <w:sz w:val="20"/>
          <w:szCs w:val="20"/>
          <w:color w:val="auto"/>
        </w:rPr>
        <w:tab/>
      </w:r>
      <w:r>
        <w:rPr>
          <w:rFonts w:ascii="Trebuchet MS" w:cs="Trebuchet MS" w:eastAsia="Trebuchet MS" w:hAnsi="Trebuchet MS"/>
          <w:sz w:val="21"/>
          <w:szCs w:val="21"/>
          <w:b w:val="1"/>
          <w:bCs w:val="1"/>
          <w:color w:val="auto"/>
        </w:rPr>
        <w:t>Subsequent Events</w:t>
      </w:r>
    </w:p>
    <w:p>
      <w:pPr>
        <w:spacing w:after="0" w:line="23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evaluates events and transactions occurring after the balance sheet date and before the consolidated financial statements are available for issuance. Such events and transactions have been evaluated through November 16, 2021, the date the consolidated financial statements were available to be issued.</w:t>
      </w:r>
    </w:p>
    <w:p>
      <w:pPr>
        <w:spacing w:after="0" w:line="181"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On October 4 and November 4, 2021, the Company paid the first and second interest payments due on the Main Street loan in the amounts of $109 thousand and $113 thousand, respectively.</w:t>
      </w:r>
    </w:p>
    <w:p>
      <w:pPr>
        <w:spacing w:after="0" w:line="207"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42" w:name="page143"/>
    <w:bookmarkEnd w:id="142"/>
    <w:p>
      <w:pPr>
        <w:jc w:val="right"/>
        <w:spacing w:after="0"/>
        <w:rPr>
          <w:sz w:val="20"/>
          <w:szCs w:val="20"/>
          <w:color w:val="auto"/>
        </w:rPr>
      </w:pPr>
      <w:r>
        <w:rPr>
          <w:rFonts w:ascii="Trebuchet MS" w:cs="Trebuchet MS" w:eastAsia="Trebuchet MS" w:hAnsi="Trebuchet MS"/>
          <w:sz w:val="20"/>
          <w:szCs w:val="20"/>
          <w:color w:val="auto"/>
        </w:rPr>
        <w:t>EXHIBIT 99.2</w:t>
      </w:r>
    </w:p>
    <w:p>
      <w:pPr>
        <w:jc w:val="right"/>
        <w:spacing w:after="0"/>
        <w:rPr>
          <w:sz w:val="20"/>
          <w:szCs w:val="20"/>
          <w:color w:val="auto"/>
        </w:rPr>
      </w:pPr>
      <w:r>
        <w:rPr>
          <w:rFonts w:ascii="Trebuchet MS" w:cs="Trebuchet MS" w:eastAsia="Trebuchet MS" w:hAnsi="Trebuchet MS"/>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760"/>
        <w:spacing w:after="0"/>
        <w:rPr>
          <w:sz w:val="20"/>
          <w:szCs w:val="20"/>
          <w:color w:val="auto"/>
        </w:rPr>
      </w:pPr>
      <w:r>
        <w:rPr>
          <w:rFonts w:ascii="Trebuchet MS" w:cs="Trebuchet MS" w:eastAsia="Trebuchet MS" w:hAnsi="Trebuchet MS"/>
          <w:sz w:val="29"/>
          <w:szCs w:val="29"/>
          <w:b w:val="1"/>
          <w:bCs w:val="1"/>
          <w:color w:val="auto"/>
        </w:rPr>
        <w:t>RAM ENERGY HOLDINGS LLC</w:t>
      </w:r>
    </w:p>
    <w:p>
      <w:pPr>
        <w:ind w:left="3760"/>
        <w:spacing w:after="0"/>
        <w:rPr>
          <w:sz w:val="20"/>
          <w:szCs w:val="20"/>
          <w:color w:val="auto"/>
        </w:rPr>
      </w:pPr>
      <w:r>
        <w:rPr>
          <w:rFonts w:ascii="Trebuchet MS" w:cs="Trebuchet MS" w:eastAsia="Trebuchet MS" w:hAnsi="Trebuchet MS"/>
          <w:sz w:val="29"/>
          <w:szCs w:val="29"/>
          <w:b w:val="1"/>
          <w:bCs w:val="1"/>
          <w:color w:val="auto"/>
        </w:rPr>
        <w:t>AND SUBSIDIARIES</w:t>
      </w:r>
    </w:p>
    <w:p>
      <w:pPr>
        <w:spacing w:after="0" w:line="210" w:lineRule="exact"/>
        <w:rPr>
          <w:sz w:val="20"/>
          <w:szCs w:val="20"/>
          <w:color w:val="auto"/>
        </w:rPr>
      </w:pPr>
    </w:p>
    <w:p>
      <w:pPr>
        <w:ind w:left="3760"/>
        <w:spacing w:after="0"/>
        <w:rPr>
          <w:sz w:val="20"/>
          <w:szCs w:val="20"/>
          <w:color w:val="auto"/>
        </w:rPr>
      </w:pPr>
      <w:r>
        <w:rPr>
          <w:rFonts w:ascii="Trebuchet MS" w:cs="Trebuchet MS" w:eastAsia="Trebuchet MS" w:hAnsi="Trebuchet MS"/>
          <w:sz w:val="25"/>
          <w:szCs w:val="25"/>
          <w:color w:val="auto"/>
        </w:rPr>
        <w:t>Consolidated Financial Statements</w:t>
      </w:r>
    </w:p>
    <w:p>
      <w:pPr>
        <w:spacing w:after="0" w:line="190" w:lineRule="exact"/>
        <w:rPr>
          <w:sz w:val="20"/>
          <w:szCs w:val="20"/>
          <w:color w:val="auto"/>
        </w:rPr>
      </w:pPr>
    </w:p>
    <w:p>
      <w:pPr>
        <w:ind w:left="3760"/>
        <w:spacing w:after="0"/>
        <w:rPr>
          <w:sz w:val="20"/>
          <w:szCs w:val="20"/>
          <w:color w:val="auto"/>
        </w:rPr>
      </w:pPr>
      <w:r>
        <w:rPr>
          <w:rFonts w:ascii="Trebuchet MS" w:cs="Trebuchet MS" w:eastAsia="Trebuchet MS" w:hAnsi="Trebuchet MS"/>
          <w:sz w:val="22"/>
          <w:szCs w:val="22"/>
          <w:color w:val="auto"/>
        </w:rPr>
        <w:t>As of and for the Year Ended</w:t>
      </w:r>
    </w:p>
    <w:p>
      <w:pPr>
        <w:ind w:left="3760"/>
        <w:spacing w:after="0"/>
        <w:rPr>
          <w:sz w:val="20"/>
          <w:szCs w:val="20"/>
          <w:color w:val="auto"/>
        </w:rPr>
      </w:pPr>
      <w:r>
        <w:rPr>
          <w:rFonts w:ascii="Trebuchet MS" w:cs="Trebuchet MS" w:eastAsia="Trebuchet MS" w:hAnsi="Trebuchet MS"/>
          <w:sz w:val="22"/>
          <w:szCs w:val="22"/>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2294255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0"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rebuchet MS" w:cs="Trebuchet MS" w:eastAsia="Trebuchet MS" w:hAnsi="Trebuchet MS"/>
          <w:sz w:val="29"/>
          <w:szCs w:val="29"/>
          <w:b w:val="1"/>
          <w:bCs w:val="1"/>
          <w:color w:val="auto"/>
        </w:rPr>
        <w:t>RAM ENERGY HOLDINGS LLC</w:t>
      </w:r>
    </w:p>
    <w:p>
      <w:pPr>
        <w:spacing w:after="0" w:line="11" w:lineRule="exact"/>
        <w:rPr>
          <w:sz w:val="20"/>
          <w:szCs w:val="20"/>
          <w:color w:val="auto"/>
        </w:rPr>
      </w:pPr>
    </w:p>
    <w:p>
      <w:pPr>
        <w:jc w:val="center"/>
        <w:spacing w:after="0"/>
        <w:rPr>
          <w:sz w:val="20"/>
          <w:szCs w:val="20"/>
          <w:color w:val="auto"/>
        </w:rPr>
      </w:pPr>
      <w:r>
        <w:rPr>
          <w:rFonts w:ascii="Trebuchet MS" w:cs="Trebuchet MS" w:eastAsia="Trebuchet MS" w:hAnsi="Trebuchet MS"/>
          <w:sz w:val="29"/>
          <w:szCs w:val="29"/>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52070</wp:posOffset>
            </wp:positionV>
            <wp:extent cx="7132320" cy="260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12" w:lineRule="exact"/>
        <w:rPr>
          <w:sz w:val="20"/>
          <w:szCs w:val="20"/>
          <w:color w:val="auto"/>
        </w:rPr>
      </w:pPr>
    </w:p>
    <w:p>
      <w:pPr>
        <w:jc w:val="center"/>
        <w:spacing w:after="0"/>
        <w:rPr>
          <w:sz w:val="20"/>
          <w:szCs w:val="20"/>
          <w:color w:val="auto"/>
        </w:rPr>
      </w:pPr>
      <w:r>
        <w:rPr>
          <w:rFonts w:ascii="Trebuchet MS" w:cs="Trebuchet MS" w:eastAsia="Trebuchet MS" w:hAnsi="Trebuchet MS"/>
          <w:sz w:val="25"/>
          <w:szCs w:val="25"/>
          <w:color w:val="auto"/>
        </w:rPr>
        <w:t>Consolidated Financial Statements</w:t>
      </w:r>
    </w:p>
    <w:p>
      <w:pPr>
        <w:spacing w:after="0" w:line="20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color w:val="auto"/>
        </w:rPr>
        <w:t>As of and for the Year Ended</w:t>
      </w:r>
    </w:p>
    <w:p>
      <w:pPr>
        <w:jc w:val="center"/>
        <w:spacing w:after="0"/>
        <w:rPr>
          <w:sz w:val="20"/>
          <w:szCs w:val="20"/>
          <w:color w:val="auto"/>
        </w:rPr>
      </w:pPr>
      <w:r>
        <w:rPr>
          <w:rFonts w:ascii="Trebuchet MS" w:cs="Trebuchet MS" w:eastAsia="Trebuchet MS" w:hAnsi="Trebuchet MS"/>
          <w:sz w:val="22"/>
          <w:szCs w:val="22"/>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2422525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4" w:name="page145"/>
    <w:bookmarkEnd w:id="144"/>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7" w:lineRule="exact"/>
        <w:rPr>
          <w:sz w:val="20"/>
          <w:szCs w:val="20"/>
          <w:color w:val="auto"/>
        </w:rPr>
      </w:pPr>
    </w:p>
    <w:p>
      <w:pPr>
        <w:jc w:val="center"/>
        <w:spacing w:after="0"/>
        <w:rPr>
          <w:sz w:val="20"/>
          <w:szCs w:val="20"/>
          <w:color w:val="auto"/>
        </w:rPr>
      </w:pPr>
      <w:r>
        <w:rPr>
          <w:rFonts w:ascii="Trebuchet MS" w:cs="Trebuchet MS" w:eastAsia="Trebuchet MS" w:hAnsi="Trebuchet MS"/>
          <w:sz w:val="25"/>
          <w:szCs w:val="25"/>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260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680" w:type="dxa"/>
            <w:vAlign w:val="bottom"/>
          </w:tcPr>
          <w:p>
            <w:pPr>
              <w:spacing w:after="0"/>
              <w:rPr>
                <w:sz w:val="20"/>
                <w:szCs w:val="20"/>
                <w:color w:val="auto"/>
              </w:rPr>
            </w:pPr>
          </w:p>
        </w:tc>
        <w:tc>
          <w:tcPr>
            <w:tcW w:w="3520" w:type="dxa"/>
            <w:vAlign w:val="bottom"/>
          </w:tcPr>
          <w:p>
            <w:pPr>
              <w:jc w:val="right"/>
              <w:spacing w:after="0"/>
              <w:rPr>
                <w:sz w:val="20"/>
                <w:szCs w:val="20"/>
                <w:color w:val="auto"/>
              </w:rPr>
            </w:pPr>
            <w:r>
              <w:rPr>
                <w:rFonts w:ascii="Trebuchet MS" w:cs="Trebuchet MS" w:eastAsia="Trebuchet MS" w:hAnsi="Trebuchet MS"/>
                <w:sz w:val="19"/>
                <w:szCs w:val="19"/>
                <w:b w:val="1"/>
                <w:bCs w:val="1"/>
                <w:color w:val="auto"/>
              </w:rPr>
              <w:t>Page</w:t>
            </w:r>
          </w:p>
        </w:tc>
      </w:tr>
      <w:tr>
        <w:trPr>
          <w:trHeight w:val="419"/>
        </w:trPr>
        <w:tc>
          <w:tcPr>
            <w:tcW w:w="7680" w:type="dxa"/>
            <w:vAlign w:val="bottom"/>
          </w:tcPr>
          <w:p>
            <w:pPr>
              <w:spacing w:after="0"/>
              <w:rPr>
                <w:sz w:val="20"/>
                <w:szCs w:val="20"/>
                <w:color w:val="auto"/>
              </w:rPr>
            </w:pPr>
            <w:r>
              <w:rPr>
                <w:rFonts w:ascii="Trebuchet MS" w:cs="Trebuchet MS" w:eastAsia="Trebuchet MS" w:hAnsi="Trebuchet MS"/>
                <w:sz w:val="19"/>
                <w:szCs w:val="19"/>
                <w:b w:val="1"/>
                <w:bCs w:val="1"/>
                <w:color w:val="auto"/>
              </w:rPr>
              <w:t>Independent Auditor’s Report</w:t>
            </w:r>
          </w:p>
        </w:tc>
        <w:tc>
          <w:tcPr>
            <w:tcW w:w="3520" w:type="dxa"/>
            <w:vAlign w:val="bottom"/>
          </w:tcPr>
          <w:p>
            <w:pPr>
              <w:jc w:val="right"/>
              <w:spacing w:after="0"/>
              <w:rPr>
                <w:sz w:val="20"/>
                <w:szCs w:val="20"/>
                <w:color w:val="auto"/>
              </w:rPr>
            </w:pPr>
            <w:r>
              <w:rPr>
                <w:rFonts w:ascii="Trebuchet MS" w:cs="Trebuchet MS" w:eastAsia="Trebuchet MS" w:hAnsi="Trebuchet MS"/>
                <w:sz w:val="19"/>
                <w:szCs w:val="19"/>
                <w:color w:val="auto"/>
              </w:rPr>
              <w:t>3</w:t>
            </w:r>
          </w:p>
        </w:tc>
      </w:tr>
      <w:tr>
        <w:trPr>
          <w:trHeight w:val="418"/>
        </w:trPr>
        <w:tc>
          <w:tcPr>
            <w:tcW w:w="7680" w:type="dxa"/>
            <w:vAlign w:val="bottom"/>
          </w:tcPr>
          <w:p>
            <w:pPr>
              <w:spacing w:after="0"/>
              <w:rPr>
                <w:sz w:val="20"/>
                <w:szCs w:val="20"/>
                <w:color w:val="auto"/>
              </w:rPr>
            </w:pPr>
            <w:r>
              <w:rPr>
                <w:rFonts w:ascii="Trebuchet MS" w:cs="Trebuchet MS" w:eastAsia="Trebuchet MS" w:hAnsi="Trebuchet MS"/>
                <w:sz w:val="19"/>
                <w:szCs w:val="19"/>
                <w:b w:val="1"/>
                <w:bCs w:val="1"/>
                <w:color w:val="auto"/>
              </w:rPr>
              <w:t>Consolidated Financial Statements</w:t>
            </w:r>
          </w:p>
        </w:tc>
        <w:tc>
          <w:tcPr>
            <w:tcW w:w="3520" w:type="dxa"/>
            <w:vAlign w:val="bottom"/>
          </w:tcPr>
          <w:p>
            <w:pPr>
              <w:spacing w:after="0"/>
              <w:rPr>
                <w:sz w:val="24"/>
                <w:szCs w:val="24"/>
                <w:color w:val="auto"/>
              </w:rPr>
            </w:pPr>
          </w:p>
        </w:tc>
      </w:tr>
      <w:tr>
        <w:trPr>
          <w:trHeight w:val="417"/>
        </w:trPr>
        <w:tc>
          <w:tcPr>
            <w:tcW w:w="7680" w:type="dxa"/>
            <w:vAlign w:val="bottom"/>
          </w:tcPr>
          <w:p>
            <w:pPr>
              <w:spacing w:after="0"/>
              <w:rPr>
                <w:sz w:val="20"/>
                <w:szCs w:val="20"/>
                <w:color w:val="auto"/>
              </w:rPr>
            </w:pPr>
            <w:r>
              <w:rPr>
                <w:rFonts w:ascii="Trebuchet MS" w:cs="Trebuchet MS" w:eastAsia="Trebuchet MS" w:hAnsi="Trebuchet MS"/>
                <w:sz w:val="19"/>
                <w:szCs w:val="19"/>
                <w:color w:val="auto"/>
              </w:rPr>
              <w:t>Consolidated Balance Sheet as of September 30, 2020</w:t>
            </w:r>
          </w:p>
        </w:tc>
        <w:tc>
          <w:tcPr>
            <w:tcW w:w="3520" w:type="dxa"/>
            <w:vAlign w:val="bottom"/>
          </w:tcPr>
          <w:p>
            <w:pPr>
              <w:jc w:val="right"/>
              <w:spacing w:after="0"/>
              <w:rPr>
                <w:sz w:val="20"/>
                <w:szCs w:val="20"/>
                <w:color w:val="auto"/>
              </w:rPr>
            </w:pPr>
            <w:r>
              <w:rPr>
                <w:rFonts w:ascii="Trebuchet MS" w:cs="Trebuchet MS" w:eastAsia="Trebuchet MS" w:hAnsi="Trebuchet MS"/>
                <w:sz w:val="19"/>
                <w:szCs w:val="19"/>
                <w:color w:val="auto"/>
              </w:rPr>
              <w:t>5</w:t>
            </w:r>
          </w:p>
        </w:tc>
      </w:tr>
      <w:tr>
        <w:trPr>
          <w:trHeight w:val="382"/>
        </w:trPr>
        <w:tc>
          <w:tcPr>
            <w:tcW w:w="7680" w:type="dxa"/>
            <w:vAlign w:val="bottom"/>
          </w:tcPr>
          <w:p>
            <w:pPr>
              <w:ind w:left="220"/>
              <w:spacing w:after="0"/>
              <w:rPr>
                <w:sz w:val="20"/>
                <w:szCs w:val="20"/>
                <w:color w:val="auto"/>
              </w:rPr>
            </w:pPr>
            <w:r>
              <w:rPr>
                <w:rFonts w:ascii="Trebuchet MS" w:cs="Trebuchet MS" w:eastAsia="Trebuchet MS" w:hAnsi="Trebuchet MS"/>
                <w:sz w:val="19"/>
                <w:szCs w:val="19"/>
                <w:color w:val="auto"/>
              </w:rPr>
              <w:t>Consolidated Statement of Operations</w:t>
            </w:r>
          </w:p>
        </w:tc>
        <w:tc>
          <w:tcPr>
            <w:tcW w:w="3520" w:type="dxa"/>
            <w:vAlign w:val="bottom"/>
          </w:tcPr>
          <w:p>
            <w:pPr>
              <w:jc w:val="right"/>
              <w:spacing w:after="0"/>
              <w:rPr>
                <w:sz w:val="20"/>
                <w:szCs w:val="20"/>
                <w:color w:val="auto"/>
              </w:rPr>
            </w:pPr>
            <w:r>
              <w:rPr>
                <w:rFonts w:ascii="Trebuchet MS" w:cs="Trebuchet MS" w:eastAsia="Trebuchet MS" w:hAnsi="Trebuchet MS"/>
                <w:sz w:val="19"/>
                <w:szCs w:val="19"/>
                <w:color w:val="auto"/>
              </w:rPr>
              <w:t>6</w:t>
            </w:r>
          </w:p>
        </w:tc>
      </w:tr>
      <w:tr>
        <w:trPr>
          <w:trHeight w:val="225"/>
        </w:trPr>
        <w:tc>
          <w:tcPr>
            <w:tcW w:w="7680" w:type="dxa"/>
            <w:vAlign w:val="bottom"/>
          </w:tcPr>
          <w:p>
            <w:pPr>
              <w:ind w:left="220"/>
              <w:spacing w:after="0"/>
              <w:rPr>
                <w:sz w:val="20"/>
                <w:szCs w:val="20"/>
                <w:color w:val="auto"/>
              </w:rPr>
            </w:pPr>
            <w:r>
              <w:rPr>
                <w:rFonts w:ascii="Trebuchet MS" w:cs="Trebuchet MS" w:eastAsia="Trebuchet MS" w:hAnsi="Trebuchet MS"/>
                <w:sz w:val="19"/>
                <w:szCs w:val="19"/>
                <w:color w:val="auto"/>
              </w:rPr>
              <w:t>for the Year Ended September 30, 2020</w:t>
            </w:r>
          </w:p>
        </w:tc>
        <w:tc>
          <w:tcPr>
            <w:tcW w:w="3520" w:type="dxa"/>
            <w:vAlign w:val="bottom"/>
          </w:tcPr>
          <w:p>
            <w:pPr>
              <w:spacing w:after="0"/>
              <w:rPr>
                <w:sz w:val="19"/>
                <w:szCs w:val="19"/>
                <w:color w:val="auto"/>
              </w:rPr>
            </w:pPr>
          </w:p>
        </w:tc>
      </w:tr>
      <w:tr>
        <w:trPr>
          <w:trHeight w:val="382"/>
        </w:trPr>
        <w:tc>
          <w:tcPr>
            <w:tcW w:w="7680" w:type="dxa"/>
            <w:vAlign w:val="bottom"/>
          </w:tcPr>
          <w:p>
            <w:pPr>
              <w:ind w:left="220"/>
              <w:spacing w:after="0"/>
              <w:rPr>
                <w:sz w:val="20"/>
                <w:szCs w:val="20"/>
                <w:color w:val="auto"/>
              </w:rPr>
            </w:pPr>
            <w:r>
              <w:rPr>
                <w:rFonts w:ascii="Trebuchet MS" w:cs="Trebuchet MS" w:eastAsia="Trebuchet MS" w:hAnsi="Trebuchet MS"/>
                <w:sz w:val="19"/>
                <w:szCs w:val="19"/>
                <w:color w:val="auto"/>
              </w:rPr>
              <w:t>Consolidated Statement of Member’s Equity</w:t>
            </w:r>
          </w:p>
        </w:tc>
        <w:tc>
          <w:tcPr>
            <w:tcW w:w="3520" w:type="dxa"/>
            <w:vAlign w:val="bottom"/>
          </w:tcPr>
          <w:p>
            <w:pPr>
              <w:jc w:val="right"/>
              <w:spacing w:after="0"/>
              <w:rPr>
                <w:sz w:val="20"/>
                <w:szCs w:val="20"/>
                <w:color w:val="auto"/>
              </w:rPr>
            </w:pPr>
            <w:r>
              <w:rPr>
                <w:rFonts w:ascii="Trebuchet MS" w:cs="Trebuchet MS" w:eastAsia="Trebuchet MS" w:hAnsi="Trebuchet MS"/>
                <w:sz w:val="19"/>
                <w:szCs w:val="19"/>
                <w:color w:val="auto"/>
              </w:rPr>
              <w:t>7</w:t>
            </w:r>
          </w:p>
        </w:tc>
      </w:tr>
      <w:tr>
        <w:trPr>
          <w:trHeight w:val="225"/>
        </w:trPr>
        <w:tc>
          <w:tcPr>
            <w:tcW w:w="7680" w:type="dxa"/>
            <w:vAlign w:val="bottom"/>
          </w:tcPr>
          <w:p>
            <w:pPr>
              <w:ind w:left="220"/>
              <w:spacing w:after="0"/>
              <w:rPr>
                <w:sz w:val="20"/>
                <w:szCs w:val="20"/>
                <w:color w:val="auto"/>
              </w:rPr>
            </w:pPr>
            <w:r>
              <w:rPr>
                <w:rFonts w:ascii="Trebuchet MS" w:cs="Trebuchet MS" w:eastAsia="Trebuchet MS" w:hAnsi="Trebuchet MS"/>
                <w:sz w:val="19"/>
                <w:szCs w:val="19"/>
                <w:color w:val="auto"/>
              </w:rPr>
              <w:t>for the Year Ended September 30, 2020</w:t>
            </w:r>
          </w:p>
        </w:tc>
        <w:tc>
          <w:tcPr>
            <w:tcW w:w="3520" w:type="dxa"/>
            <w:vAlign w:val="bottom"/>
          </w:tcPr>
          <w:p>
            <w:pPr>
              <w:spacing w:after="0"/>
              <w:rPr>
                <w:sz w:val="19"/>
                <w:szCs w:val="19"/>
                <w:color w:val="auto"/>
              </w:rPr>
            </w:pPr>
          </w:p>
        </w:tc>
      </w:tr>
      <w:tr>
        <w:trPr>
          <w:trHeight w:val="382"/>
        </w:trPr>
        <w:tc>
          <w:tcPr>
            <w:tcW w:w="7680" w:type="dxa"/>
            <w:vAlign w:val="bottom"/>
          </w:tcPr>
          <w:p>
            <w:pPr>
              <w:ind w:left="220"/>
              <w:spacing w:after="0"/>
              <w:rPr>
                <w:sz w:val="20"/>
                <w:szCs w:val="20"/>
                <w:color w:val="auto"/>
              </w:rPr>
            </w:pPr>
            <w:r>
              <w:rPr>
                <w:rFonts w:ascii="Trebuchet MS" w:cs="Trebuchet MS" w:eastAsia="Trebuchet MS" w:hAnsi="Trebuchet MS"/>
                <w:sz w:val="19"/>
                <w:szCs w:val="19"/>
                <w:color w:val="auto"/>
              </w:rPr>
              <w:t>Consolidated Statement of Cash Flows</w:t>
            </w:r>
          </w:p>
        </w:tc>
        <w:tc>
          <w:tcPr>
            <w:tcW w:w="3520" w:type="dxa"/>
            <w:vAlign w:val="bottom"/>
          </w:tcPr>
          <w:p>
            <w:pPr>
              <w:jc w:val="right"/>
              <w:spacing w:after="0"/>
              <w:rPr>
                <w:sz w:val="20"/>
                <w:szCs w:val="20"/>
                <w:color w:val="auto"/>
              </w:rPr>
            </w:pPr>
            <w:r>
              <w:rPr>
                <w:rFonts w:ascii="Trebuchet MS" w:cs="Trebuchet MS" w:eastAsia="Trebuchet MS" w:hAnsi="Trebuchet MS"/>
                <w:sz w:val="19"/>
                <w:szCs w:val="19"/>
                <w:color w:val="auto"/>
              </w:rPr>
              <w:t>8</w:t>
            </w:r>
          </w:p>
        </w:tc>
      </w:tr>
      <w:tr>
        <w:trPr>
          <w:trHeight w:val="225"/>
        </w:trPr>
        <w:tc>
          <w:tcPr>
            <w:tcW w:w="7680" w:type="dxa"/>
            <w:vAlign w:val="bottom"/>
          </w:tcPr>
          <w:p>
            <w:pPr>
              <w:ind w:left="220"/>
              <w:spacing w:after="0"/>
              <w:rPr>
                <w:sz w:val="20"/>
                <w:szCs w:val="20"/>
                <w:color w:val="auto"/>
              </w:rPr>
            </w:pPr>
            <w:r>
              <w:rPr>
                <w:rFonts w:ascii="Trebuchet MS" w:cs="Trebuchet MS" w:eastAsia="Trebuchet MS" w:hAnsi="Trebuchet MS"/>
                <w:sz w:val="19"/>
                <w:szCs w:val="19"/>
                <w:color w:val="auto"/>
              </w:rPr>
              <w:t>for the Year Ended September 30, 2020</w:t>
            </w:r>
          </w:p>
        </w:tc>
        <w:tc>
          <w:tcPr>
            <w:tcW w:w="3520" w:type="dxa"/>
            <w:vAlign w:val="bottom"/>
          </w:tcPr>
          <w:p>
            <w:pPr>
              <w:spacing w:after="0"/>
              <w:rPr>
                <w:sz w:val="19"/>
                <w:szCs w:val="19"/>
                <w:color w:val="auto"/>
              </w:rPr>
            </w:pPr>
          </w:p>
        </w:tc>
      </w:tr>
      <w:tr>
        <w:trPr>
          <w:trHeight w:val="418"/>
        </w:trPr>
        <w:tc>
          <w:tcPr>
            <w:tcW w:w="7680" w:type="dxa"/>
            <w:vAlign w:val="bottom"/>
          </w:tcPr>
          <w:p>
            <w:pPr>
              <w:ind w:left="220"/>
              <w:spacing w:after="0"/>
              <w:rPr>
                <w:sz w:val="20"/>
                <w:szCs w:val="20"/>
                <w:color w:val="auto"/>
              </w:rPr>
            </w:pPr>
            <w:r>
              <w:rPr>
                <w:rFonts w:ascii="Trebuchet MS" w:cs="Trebuchet MS" w:eastAsia="Trebuchet MS" w:hAnsi="Trebuchet MS"/>
                <w:sz w:val="19"/>
                <w:szCs w:val="19"/>
                <w:color w:val="auto"/>
              </w:rPr>
              <w:t>Notes to Consolidated Financial Statements</w:t>
            </w:r>
          </w:p>
        </w:tc>
        <w:tc>
          <w:tcPr>
            <w:tcW w:w="3520" w:type="dxa"/>
            <w:vAlign w:val="bottom"/>
          </w:tcPr>
          <w:p>
            <w:pPr>
              <w:jc w:val="right"/>
              <w:spacing w:after="0"/>
              <w:rPr>
                <w:sz w:val="20"/>
                <w:szCs w:val="20"/>
                <w:color w:val="auto"/>
              </w:rPr>
            </w:pPr>
            <w:r>
              <w:rPr>
                <w:rFonts w:ascii="Trebuchet MS" w:cs="Trebuchet MS" w:eastAsia="Trebuchet MS" w:hAnsi="Trebuchet MS"/>
                <w:sz w:val="19"/>
                <w:szCs w:val="19"/>
                <w:color w:val="auto"/>
              </w:rPr>
              <w:t>9-20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63" w:right="359" w:bottom="1440" w:gutter="0" w:footer="0" w:header="0"/>
        </w:sectPr>
      </w:pPr>
    </w:p>
    <w:bookmarkStart w:id="145" w:name="page146"/>
    <w:bookmarkEnd w:id="145"/>
    <w:p>
      <w:pPr>
        <w:spacing w:after="0"/>
        <w:rPr>
          <w:sz w:val="20"/>
          <w:szCs w:val="20"/>
          <w:color w:val="auto"/>
        </w:rPr>
      </w:pPr>
      <w:r>
        <w:rPr>
          <w:rFonts w:ascii="Trebuchet MS" w:cs="Trebuchet MS" w:eastAsia="Trebuchet MS" w:hAnsi="Trebuchet MS"/>
          <w:sz w:val="19"/>
          <w:szCs w:val="19"/>
          <w:b w:val="1"/>
          <w:bCs w:val="1"/>
          <w:color w:val="auto"/>
        </w:rPr>
        <w:t>Independent Auditor’s Report</w:t>
      </w:r>
    </w:p>
    <w:p>
      <w:pPr>
        <w:spacing w:after="0" w:line="109"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To the Board of Directors RAM Energy Holdings</w:t>
      </w:r>
    </w:p>
    <w:p>
      <w:pPr>
        <w:spacing w:after="0" w:line="4"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LLC</w:t>
      </w:r>
    </w:p>
    <w:p>
      <w:pPr>
        <w:spacing w:after="0"/>
        <w:rPr>
          <w:sz w:val="20"/>
          <w:szCs w:val="20"/>
          <w:color w:val="auto"/>
        </w:rPr>
      </w:pPr>
      <w:r>
        <w:rPr>
          <w:rFonts w:ascii="Trebuchet MS" w:cs="Trebuchet MS" w:eastAsia="Trebuchet MS" w:hAnsi="Trebuchet MS"/>
          <w:sz w:val="19"/>
          <w:szCs w:val="19"/>
          <w:color w:val="auto"/>
        </w:rPr>
        <w:t>Tulsa, Oklahoma</w:t>
      </w:r>
    </w:p>
    <w:p>
      <w:pPr>
        <w:spacing w:after="0" w:line="103"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We have audited the accompanying consolidated financial statements of RAM Energy Holdings LLC and its subsidiaries (the “Company”), which comprise the consolidated balance sheet as of September 30, 2020, and the related consolidated statements of operations, member’s equity, and cash flows for the year then ended, and the related notes to the consolidated financial statements.</w:t>
      </w:r>
    </w:p>
    <w:p>
      <w:pPr>
        <w:spacing w:after="0" w:line="31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Management’s Responsibility for the Consolidated Financial Statements</w:t>
      </w:r>
    </w:p>
    <w:p>
      <w:pPr>
        <w:spacing w:after="0" w:line="1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32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Auditor’s Responsibility</w:t>
      </w:r>
    </w:p>
    <w:p>
      <w:pPr>
        <w:spacing w:after="0" w:line="1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209"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We believe that the audit evidence we have obtained is sufficient and appropriate to provide a basis for our audit opinion.</w:t>
      </w:r>
    </w:p>
    <w:p>
      <w:pPr>
        <w:spacing w:after="0" w:line="315"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Opinion</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our opinion, the consolidated financial statements referred to above present fairly, in all material respects, the financial position of RAM Energy Holdings LLC and its subsidiaries as of September 30, 2020,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6" w:name="page147"/>
    <w:bookmarkEnd w:id="146"/>
    <w:p>
      <w:pPr>
        <w:spacing w:after="0"/>
        <w:rPr>
          <w:sz w:val="20"/>
          <w:szCs w:val="20"/>
          <w:color w:val="auto"/>
        </w:rPr>
      </w:pPr>
      <w:r>
        <w:rPr>
          <w:rFonts w:ascii="Trebuchet MS" w:cs="Trebuchet MS" w:eastAsia="Trebuchet MS" w:hAnsi="Trebuchet MS"/>
          <w:sz w:val="19"/>
          <w:szCs w:val="19"/>
          <w:b w:val="1"/>
          <w:bCs w:val="1"/>
          <w:i w:val="1"/>
          <w:iCs w:val="1"/>
          <w:color w:val="auto"/>
        </w:rPr>
        <w:t>Emphasis of Matter</w:t>
      </w:r>
    </w:p>
    <w:p>
      <w:pPr>
        <w:spacing w:after="0" w:line="107" w:lineRule="exact"/>
        <w:rPr>
          <w:sz w:val="20"/>
          <w:szCs w:val="20"/>
          <w:color w:val="auto"/>
        </w:rPr>
      </w:pPr>
    </w:p>
    <w:p>
      <w:pPr>
        <w:jc w:val="both"/>
        <w:spacing w:after="0" w:line="239" w:lineRule="auto"/>
        <w:rPr>
          <w:sz w:val="20"/>
          <w:szCs w:val="20"/>
          <w:color w:val="auto"/>
        </w:rPr>
      </w:pPr>
      <w:r>
        <w:rPr>
          <w:rFonts w:ascii="Trebuchet MS" w:cs="Trebuchet MS" w:eastAsia="Trebuchet MS" w:hAnsi="Trebuchet MS"/>
          <w:sz w:val="19"/>
          <w:szCs w:val="19"/>
          <w:color w:val="auto"/>
        </w:rPr>
        <w:t>As more fully described in Note 2 to the consolidated financial statements, the Company has been materially impacted by the outbreak of a novel coronavirus (COVID-19), which was declared a global pandemic by the World Health Organization in March 2020. The pandemic has compounded the crude oil price volatility due to disruption of global supply and demand, which has, and may continue to have a material impact to the Company’s financial position and results of operations. Our opinion is not modified with respect to this matter.</w:t>
      </w:r>
    </w:p>
    <w:p>
      <w:pPr>
        <w:spacing w:after="0" w:line="21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 BDO USA, LLP</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Houston, TX</w:t>
      </w:r>
    </w:p>
    <w:p>
      <w:pPr>
        <w:spacing w:after="0"/>
        <w:rPr>
          <w:sz w:val="20"/>
          <w:szCs w:val="20"/>
          <w:color w:val="auto"/>
        </w:rPr>
      </w:pPr>
      <w:r>
        <w:rPr>
          <w:rFonts w:ascii="Trebuchet MS" w:cs="Trebuchet MS" w:eastAsia="Trebuchet MS" w:hAnsi="Trebuchet MS"/>
          <w:sz w:val="19"/>
          <w:szCs w:val="19"/>
          <w:color w:val="auto"/>
        </w:rPr>
        <w:t>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147" w:name="page148"/>
    <w:bookmarkEnd w:id="147"/>
    <w:p>
      <w:pPr>
        <w:jc w:val="center"/>
        <w:ind w:right="19"/>
        <w:spacing w:after="0"/>
        <w:rPr>
          <w:sz w:val="20"/>
          <w:szCs w:val="20"/>
          <w:color w:val="auto"/>
        </w:rPr>
      </w:pPr>
      <w:r>
        <w:rPr>
          <w:rFonts w:ascii="Trebuchet MS" w:cs="Trebuchet MS" w:eastAsia="Trebuchet MS" w:hAnsi="Trebuchet MS"/>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2907665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66" w:right="1440" w:bottom="1440" w:gutter="0" w:footer="0" w:header="0"/>
        </w:sectPr>
      </w:pPr>
    </w:p>
    <w:bookmarkStart w:id="148" w:name="page149"/>
    <w:bookmarkEnd w:id="148"/>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8520" w:type="dxa"/>
            <w:vAlign w:val="bottom"/>
          </w:tcPr>
          <w:p>
            <w:pPr>
              <w:ind w:left="316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8520" w:type="dxa"/>
            <w:vAlign w:val="bottom"/>
            <w:tcBorders>
              <w:bottom w:val="single" w:sz="8" w:color="auto"/>
            </w:tcBorders>
          </w:tcPr>
          <w:p>
            <w:pPr>
              <w:ind w:left="4240"/>
              <w:spacing w:after="0"/>
              <w:rPr>
                <w:sz w:val="20"/>
                <w:szCs w:val="20"/>
                <w:color w:val="auto"/>
              </w:rPr>
            </w:pPr>
            <w:r>
              <w:rPr>
                <w:rFonts w:ascii="Trebuchet MS" w:cs="Trebuchet MS" w:eastAsia="Trebuchet MS" w:hAnsi="Trebuchet MS"/>
                <w:sz w:val="22"/>
                <w:szCs w:val="22"/>
                <w:b w:val="1"/>
                <w:bCs w:val="1"/>
                <w:color w:val="auto"/>
              </w:rPr>
              <w:t>Consolidated Balance Sheet</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906"/>
              <w:spacing w:after="0"/>
              <w:rPr>
                <w:sz w:val="20"/>
                <w:szCs w:val="20"/>
                <w:color w:val="auto"/>
              </w:rPr>
            </w:pPr>
            <w:r>
              <w:rPr>
                <w:rFonts w:ascii="Trebuchet MS" w:cs="Trebuchet MS" w:eastAsia="Trebuchet MS" w:hAnsi="Trebuchet MS"/>
                <w:sz w:val="19"/>
                <w:szCs w:val="19"/>
                <w:b w:val="1"/>
                <w:bCs w:val="1"/>
                <w:color w:val="auto"/>
              </w:rPr>
              <w:t>2020</w:t>
            </w:r>
          </w:p>
        </w:tc>
        <w:tc>
          <w:tcPr>
            <w:tcW w:w="0" w:type="dxa"/>
            <w:vAlign w:val="bottom"/>
          </w:tcPr>
          <w:p>
            <w:pPr>
              <w:spacing w:after="0"/>
              <w:rPr>
                <w:sz w:val="1"/>
                <w:szCs w:val="1"/>
                <w:color w:val="auto"/>
              </w:rPr>
            </w:pPr>
          </w:p>
        </w:tc>
      </w:tr>
      <w:tr>
        <w:trPr>
          <w:trHeight w:val="536"/>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Assets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Current Assets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Cash and cash equivalents</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8,670,146</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Accounts receivable, net</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1,776,351</w:t>
            </w:r>
          </w:p>
        </w:tc>
        <w:tc>
          <w:tcPr>
            <w:tcW w:w="0" w:type="dxa"/>
            <w:vAlign w:val="bottom"/>
          </w:tcPr>
          <w:p>
            <w:pPr>
              <w:spacing w:after="0"/>
              <w:rPr>
                <w:sz w:val="1"/>
                <w:szCs w:val="1"/>
                <w:color w:val="auto"/>
              </w:rPr>
            </w:pPr>
          </w:p>
        </w:tc>
      </w:tr>
      <w:tr>
        <w:trPr>
          <w:trHeight w:val="408"/>
        </w:trPr>
        <w:tc>
          <w:tcPr>
            <w:tcW w:w="85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Prepaid expenses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167,589</w:t>
            </w:r>
          </w:p>
        </w:tc>
        <w:tc>
          <w:tcPr>
            <w:tcW w:w="0" w:type="dxa"/>
            <w:vAlign w:val="bottom"/>
          </w:tcPr>
          <w:p>
            <w:pPr>
              <w:spacing w:after="0"/>
              <w:rPr>
                <w:sz w:val="1"/>
                <w:szCs w:val="1"/>
                <w:color w:val="auto"/>
              </w:rPr>
            </w:pPr>
          </w:p>
        </w:tc>
      </w:tr>
      <w:tr>
        <w:trPr>
          <w:trHeight w:val="532"/>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Total Current Assets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10,614,086</w:t>
            </w:r>
          </w:p>
        </w:tc>
        <w:tc>
          <w:tcPr>
            <w:tcW w:w="0" w:type="dxa"/>
            <w:vAlign w:val="bottom"/>
          </w:tcPr>
          <w:p>
            <w:pPr>
              <w:spacing w:after="0"/>
              <w:rPr>
                <w:sz w:val="1"/>
                <w:szCs w:val="1"/>
                <w:color w:val="auto"/>
              </w:rPr>
            </w:pPr>
          </w:p>
        </w:tc>
      </w:tr>
      <w:tr>
        <w:trPr>
          <w:trHeight w:val="529"/>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Property and Equipment, at Cost</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20" w:type="dxa"/>
            <w:vAlign w:val="bottom"/>
          </w:tcPr>
          <w:p>
            <w:pPr>
              <w:ind w:left="260"/>
              <w:spacing w:after="0" w:line="203" w:lineRule="exact"/>
              <w:rPr>
                <w:sz w:val="20"/>
                <w:szCs w:val="20"/>
                <w:color w:val="auto"/>
              </w:rPr>
            </w:pPr>
            <w:r>
              <w:rPr>
                <w:rFonts w:ascii="Trebuchet MS" w:cs="Trebuchet MS" w:eastAsia="Trebuchet MS" w:hAnsi="Trebuchet MS"/>
                <w:sz w:val="19"/>
                <w:szCs w:val="19"/>
                <w:color w:val="auto"/>
              </w:rPr>
              <w:t>Proved oil and natural gas properties and equipment,</w:t>
            </w:r>
          </w:p>
        </w:tc>
        <w:tc>
          <w:tcPr>
            <w:tcW w:w="900" w:type="dxa"/>
            <w:vAlign w:val="bottom"/>
          </w:tcPr>
          <w:p>
            <w:pPr>
              <w:spacing w:after="0"/>
              <w:rPr>
                <w:sz w:val="17"/>
                <w:szCs w:val="17"/>
                <w:color w:val="auto"/>
              </w:rPr>
            </w:pPr>
          </w:p>
        </w:tc>
        <w:tc>
          <w:tcPr>
            <w:tcW w:w="182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116,121,091</w:t>
            </w:r>
          </w:p>
        </w:tc>
        <w:tc>
          <w:tcPr>
            <w:tcW w:w="0" w:type="dxa"/>
            <w:vAlign w:val="bottom"/>
          </w:tcPr>
          <w:p>
            <w:pPr>
              <w:spacing w:after="0"/>
              <w:rPr>
                <w:sz w:val="1"/>
                <w:szCs w:val="1"/>
                <w:color w:val="auto"/>
              </w:rPr>
            </w:pPr>
          </w:p>
        </w:tc>
      </w:tr>
      <w:tr>
        <w:trPr>
          <w:trHeight w:val="225"/>
        </w:trPr>
        <w:tc>
          <w:tcPr>
            <w:tcW w:w="8520" w:type="dxa"/>
            <w:vAlign w:val="bottom"/>
          </w:tcPr>
          <w:p>
            <w:pPr>
              <w:ind w:left="440"/>
              <w:spacing w:after="0"/>
              <w:rPr>
                <w:sz w:val="20"/>
                <w:szCs w:val="20"/>
                <w:color w:val="auto"/>
              </w:rPr>
            </w:pPr>
            <w:r>
              <w:rPr>
                <w:rFonts w:ascii="Trebuchet MS" w:cs="Trebuchet MS" w:eastAsia="Trebuchet MS" w:hAnsi="Trebuchet MS"/>
                <w:sz w:val="19"/>
                <w:szCs w:val="19"/>
                <w:color w:val="auto"/>
              </w:rPr>
              <w:t>full cost method</w:t>
            </w:r>
          </w:p>
        </w:tc>
        <w:tc>
          <w:tcPr>
            <w:tcW w:w="9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Unproved oil and natural gas properties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7,488,377</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Gas gathering and processing equipment</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17,610,003</w:t>
            </w:r>
          </w:p>
        </w:tc>
        <w:tc>
          <w:tcPr>
            <w:tcW w:w="0" w:type="dxa"/>
            <w:vAlign w:val="bottom"/>
          </w:tcPr>
          <w:p>
            <w:pPr>
              <w:spacing w:after="0"/>
              <w:rPr>
                <w:sz w:val="1"/>
                <w:szCs w:val="1"/>
                <w:color w:val="auto"/>
              </w:rPr>
            </w:pPr>
          </w:p>
        </w:tc>
      </w:tr>
      <w:tr>
        <w:trPr>
          <w:trHeight w:val="408"/>
        </w:trPr>
        <w:tc>
          <w:tcPr>
            <w:tcW w:w="85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Other property and equipment</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534,903</w:t>
            </w:r>
          </w:p>
        </w:tc>
        <w:tc>
          <w:tcPr>
            <w:tcW w:w="0" w:type="dxa"/>
            <w:vAlign w:val="bottom"/>
          </w:tcPr>
          <w:p>
            <w:pPr>
              <w:spacing w:after="0"/>
              <w:rPr>
                <w:sz w:val="1"/>
                <w:szCs w:val="1"/>
                <w:color w:val="auto"/>
              </w:rPr>
            </w:pPr>
          </w:p>
        </w:tc>
      </w:tr>
      <w:tr>
        <w:trPr>
          <w:trHeight w:val="395"/>
        </w:trPr>
        <w:tc>
          <w:tcPr>
            <w:tcW w:w="8520" w:type="dxa"/>
            <w:vAlign w:val="bottom"/>
            <w:vMerge w:val="restart"/>
          </w:tcPr>
          <w:p>
            <w:pPr>
              <w:ind w:left="20"/>
              <w:spacing w:after="0"/>
              <w:rPr>
                <w:sz w:val="20"/>
                <w:szCs w:val="20"/>
                <w:color w:val="auto"/>
              </w:rPr>
            </w:pPr>
            <w:r>
              <w:rPr>
                <w:rFonts w:ascii="Trebuchet MS" w:cs="Trebuchet MS" w:eastAsia="Trebuchet MS" w:hAnsi="Trebuchet MS"/>
                <w:sz w:val="19"/>
                <w:szCs w:val="19"/>
                <w:color w:val="auto"/>
              </w:rPr>
              <w:t>Less: accumulated depreciation, depletion,</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141,754,374</w:t>
            </w:r>
          </w:p>
        </w:tc>
        <w:tc>
          <w:tcPr>
            <w:tcW w:w="0" w:type="dxa"/>
            <w:vAlign w:val="bottom"/>
          </w:tcPr>
          <w:p>
            <w:pPr>
              <w:spacing w:after="0"/>
              <w:rPr>
                <w:sz w:val="1"/>
                <w:szCs w:val="1"/>
                <w:color w:val="auto"/>
              </w:rPr>
            </w:pPr>
          </w:p>
        </w:tc>
      </w:tr>
      <w:tr>
        <w:trPr>
          <w:trHeight w:val="193"/>
        </w:trPr>
        <w:tc>
          <w:tcPr>
            <w:tcW w:w="852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820" w:type="dxa"/>
            <w:vAlign w:val="bottom"/>
            <w:vMerge w:val="restart"/>
          </w:tcPr>
          <w:p>
            <w:pPr>
              <w:jc w:val="right"/>
              <w:spacing w:after="0"/>
              <w:rPr>
                <w:sz w:val="20"/>
                <w:szCs w:val="20"/>
                <w:color w:val="auto"/>
              </w:rPr>
            </w:pPr>
            <w:r>
              <w:rPr>
                <w:rFonts w:ascii="Trebuchet MS" w:cs="Trebuchet MS" w:eastAsia="Trebuchet MS" w:hAnsi="Trebuchet MS"/>
                <w:sz w:val="19"/>
                <w:szCs w:val="19"/>
                <w:color w:val="auto"/>
              </w:rPr>
              <w:t>(90,727,620 )</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auto"/>
            </w:tcBorders>
          </w:tcPr>
          <w:p>
            <w:pPr>
              <w:ind w:left="200"/>
              <w:spacing w:after="0" w:line="218" w:lineRule="exact"/>
              <w:rPr>
                <w:sz w:val="20"/>
                <w:szCs w:val="20"/>
                <w:color w:val="auto"/>
              </w:rPr>
            </w:pPr>
            <w:r>
              <w:rPr>
                <w:rFonts w:ascii="Trebuchet MS" w:cs="Trebuchet MS" w:eastAsia="Trebuchet MS" w:hAnsi="Trebuchet MS"/>
                <w:sz w:val="19"/>
                <w:szCs w:val="19"/>
                <w:color w:val="auto"/>
              </w:rPr>
              <w:t>amortization and impairment</w:t>
            </w:r>
          </w:p>
        </w:tc>
        <w:tc>
          <w:tcPr>
            <w:tcW w:w="9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29"/>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Net Property and Equipment</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51,026,754</w:t>
            </w:r>
          </w:p>
        </w:tc>
        <w:tc>
          <w:tcPr>
            <w:tcW w:w="0" w:type="dxa"/>
            <w:vAlign w:val="bottom"/>
          </w:tcPr>
          <w:p>
            <w:pPr>
              <w:spacing w:after="0"/>
              <w:rPr>
                <w:sz w:val="1"/>
                <w:szCs w:val="1"/>
                <w:color w:val="auto"/>
              </w:rPr>
            </w:pPr>
          </w:p>
        </w:tc>
      </w:tr>
      <w:tr>
        <w:trPr>
          <w:trHeight w:val="540"/>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Other Assets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Restricted cash</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741,524</w:t>
            </w:r>
          </w:p>
        </w:tc>
        <w:tc>
          <w:tcPr>
            <w:tcW w:w="0" w:type="dxa"/>
            <w:vAlign w:val="bottom"/>
          </w:tcPr>
          <w:p>
            <w:pPr>
              <w:spacing w:after="0"/>
              <w:rPr>
                <w:sz w:val="1"/>
                <w:szCs w:val="1"/>
                <w:color w:val="auto"/>
              </w:rPr>
            </w:pPr>
          </w:p>
        </w:tc>
      </w:tr>
      <w:tr>
        <w:trPr>
          <w:trHeight w:val="408"/>
        </w:trPr>
        <w:tc>
          <w:tcPr>
            <w:tcW w:w="85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Other</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15,334</w:t>
            </w:r>
          </w:p>
        </w:tc>
        <w:tc>
          <w:tcPr>
            <w:tcW w:w="0" w:type="dxa"/>
            <w:vAlign w:val="bottom"/>
          </w:tcPr>
          <w:p>
            <w:pPr>
              <w:spacing w:after="0"/>
              <w:rPr>
                <w:sz w:val="1"/>
                <w:szCs w:val="1"/>
                <w:color w:val="auto"/>
              </w:rPr>
            </w:pPr>
          </w:p>
        </w:tc>
      </w:tr>
      <w:tr>
        <w:trPr>
          <w:trHeight w:val="535"/>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Total Other Assets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756,858</w:t>
            </w:r>
          </w:p>
        </w:tc>
        <w:tc>
          <w:tcPr>
            <w:tcW w:w="0" w:type="dxa"/>
            <w:vAlign w:val="bottom"/>
          </w:tcPr>
          <w:p>
            <w:pPr>
              <w:spacing w:after="0"/>
              <w:rPr>
                <w:sz w:val="1"/>
                <w:szCs w:val="1"/>
                <w:color w:val="auto"/>
              </w:rPr>
            </w:pPr>
          </w:p>
        </w:tc>
      </w:tr>
      <w:tr>
        <w:trPr>
          <w:trHeight w:val="543"/>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Total Assets</w:t>
            </w:r>
          </w:p>
        </w:tc>
        <w:tc>
          <w:tcPr>
            <w:tcW w:w="900" w:type="dxa"/>
            <w:vAlign w:val="bottom"/>
            <w:tcBorders>
              <w:bottom w:val="single" w:sz="8" w:color="auto"/>
            </w:tcBorders>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62,397,698</w:t>
            </w:r>
          </w:p>
        </w:tc>
        <w:tc>
          <w:tcPr>
            <w:tcW w:w="0" w:type="dxa"/>
            <w:vAlign w:val="bottom"/>
          </w:tcPr>
          <w:p>
            <w:pPr>
              <w:spacing w:after="0"/>
              <w:rPr>
                <w:sz w:val="1"/>
                <w:szCs w:val="1"/>
                <w:color w:val="auto"/>
              </w:rPr>
            </w:pPr>
          </w:p>
        </w:tc>
      </w:tr>
      <w:tr>
        <w:trPr>
          <w:trHeight w:val="536"/>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Liabilities and Member’s Equity</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Current Liabilities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Accounts payable</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9,297,593</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Revenue payable</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1,526,449</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Accrued liabilities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1,074,357</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Derivative liabilities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537,157</w:t>
            </w:r>
          </w:p>
        </w:tc>
        <w:tc>
          <w:tcPr>
            <w:tcW w:w="0" w:type="dxa"/>
            <w:vAlign w:val="bottom"/>
          </w:tcPr>
          <w:p>
            <w:pPr>
              <w:spacing w:after="0"/>
              <w:rPr>
                <w:sz w:val="1"/>
                <w:szCs w:val="1"/>
                <w:color w:val="auto"/>
              </w:rPr>
            </w:pPr>
          </w:p>
        </w:tc>
      </w:tr>
      <w:tr>
        <w:trPr>
          <w:trHeight w:val="408"/>
        </w:trPr>
        <w:tc>
          <w:tcPr>
            <w:tcW w:w="85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Current portion of asset retirement obligations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903,228</w:t>
            </w:r>
          </w:p>
        </w:tc>
        <w:tc>
          <w:tcPr>
            <w:tcW w:w="0" w:type="dxa"/>
            <w:vAlign w:val="bottom"/>
          </w:tcPr>
          <w:p>
            <w:pPr>
              <w:spacing w:after="0"/>
              <w:rPr>
                <w:sz w:val="1"/>
                <w:szCs w:val="1"/>
                <w:color w:val="auto"/>
              </w:rPr>
            </w:pPr>
          </w:p>
        </w:tc>
      </w:tr>
      <w:tr>
        <w:trPr>
          <w:trHeight w:val="533"/>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Total Current Liabilities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13,338,784</w:t>
            </w:r>
          </w:p>
        </w:tc>
        <w:tc>
          <w:tcPr>
            <w:tcW w:w="0" w:type="dxa"/>
            <w:vAlign w:val="bottom"/>
          </w:tcPr>
          <w:p>
            <w:pPr>
              <w:spacing w:after="0"/>
              <w:rPr>
                <w:sz w:val="1"/>
                <w:szCs w:val="1"/>
                <w:color w:val="auto"/>
              </w:rPr>
            </w:pPr>
          </w:p>
        </w:tc>
      </w:tr>
      <w:tr>
        <w:trPr>
          <w:trHeight w:val="540"/>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Asset Retirement Obligations, net of current portion</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4,827,793</w:t>
            </w:r>
          </w:p>
        </w:tc>
        <w:tc>
          <w:tcPr>
            <w:tcW w:w="0" w:type="dxa"/>
            <w:vAlign w:val="bottom"/>
          </w:tcPr>
          <w:p>
            <w:pPr>
              <w:spacing w:after="0"/>
              <w:rPr>
                <w:sz w:val="1"/>
                <w:szCs w:val="1"/>
                <w:color w:val="auto"/>
              </w:rPr>
            </w:pPr>
          </w:p>
        </w:tc>
      </w:tr>
      <w:tr>
        <w:trPr>
          <w:trHeight w:val="542"/>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Long-Term Debt, net</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40,293,546</w:t>
            </w:r>
          </w:p>
        </w:tc>
        <w:tc>
          <w:tcPr>
            <w:tcW w:w="0" w:type="dxa"/>
            <w:vAlign w:val="bottom"/>
          </w:tcPr>
          <w:p>
            <w:pPr>
              <w:spacing w:after="0"/>
              <w:rPr>
                <w:sz w:val="1"/>
                <w:szCs w:val="1"/>
                <w:color w:val="auto"/>
              </w:rPr>
            </w:pPr>
          </w:p>
        </w:tc>
      </w:tr>
      <w:tr>
        <w:trPr>
          <w:trHeight w:val="533"/>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Total Liabilities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58,460,123</w:t>
            </w:r>
          </w:p>
        </w:tc>
        <w:tc>
          <w:tcPr>
            <w:tcW w:w="0" w:type="dxa"/>
            <w:vAlign w:val="bottom"/>
          </w:tcPr>
          <w:p>
            <w:pPr>
              <w:spacing w:after="0"/>
              <w:rPr>
                <w:sz w:val="1"/>
                <w:szCs w:val="1"/>
                <w:color w:val="auto"/>
              </w:rPr>
            </w:pPr>
          </w:p>
        </w:tc>
      </w:tr>
      <w:tr>
        <w:trPr>
          <w:trHeight w:val="532"/>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Commitments and Contingencies (Note 9)</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1"/>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Member’s Equity</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3,937,575</w:t>
            </w:r>
          </w:p>
        </w:tc>
        <w:tc>
          <w:tcPr>
            <w:tcW w:w="0" w:type="dxa"/>
            <w:vAlign w:val="bottom"/>
          </w:tcPr>
          <w:p>
            <w:pPr>
              <w:spacing w:after="0"/>
              <w:rPr>
                <w:sz w:val="1"/>
                <w:szCs w:val="1"/>
                <w:color w:val="auto"/>
              </w:rPr>
            </w:pPr>
          </w:p>
        </w:tc>
      </w:tr>
    </w:tbl>
    <w:p>
      <w:pPr>
        <w:sectPr>
          <w:pgSz w:w="11900" w:h="16850" w:orient="portrait"/>
          <w:cols w:equalWidth="0" w:num="1">
            <w:col w:w="11240"/>
          </w:cols>
          <w:pgMar w:left="320" w:top="124" w:right="339" w:bottom="0" w:gutter="0" w:footer="0" w:header="0"/>
        </w:sectPr>
      </w:pPr>
    </w:p>
    <w:bookmarkStart w:id="149" w:name="page150"/>
    <w:bookmarkEnd w:id="149"/>
    <w:p>
      <w:pPr>
        <w:spacing w:after="0"/>
        <w:tabs>
          <w:tab w:leader="none" w:pos="8900" w:val="left"/>
          <w:tab w:leader="none" w:pos="10140" w:val="left"/>
        </w:tabs>
        <w:rPr>
          <w:sz w:val="20"/>
          <w:szCs w:val="20"/>
          <w:color w:val="auto"/>
        </w:rPr>
      </w:pPr>
      <w:r>
        <w:rPr>
          <w:rFonts w:ascii="Trebuchet MS" w:cs="Trebuchet MS" w:eastAsia="Trebuchet MS" w:hAnsi="Trebuchet MS"/>
          <w:sz w:val="19"/>
          <w:szCs w:val="19"/>
          <w:b w:val="1"/>
          <w:bCs w:val="1"/>
          <w:color w:val="auto"/>
        </w:rPr>
        <w:t>Total Liabilities and Member’s Equity</w:t>
      </w:r>
      <w:r>
        <w:rPr>
          <w:sz w:val="20"/>
          <w:szCs w:val="20"/>
          <w:color w:val="auto"/>
        </w:rPr>
        <w:tab/>
      </w:r>
      <w:r>
        <w:rPr>
          <w:rFonts w:ascii="Trebuchet MS" w:cs="Trebuchet MS" w:eastAsia="Trebuchet MS" w:hAnsi="Trebuchet MS"/>
          <w:sz w:val="19"/>
          <w:szCs w:val="19"/>
          <w:color w:val="auto"/>
        </w:rPr>
        <w:t>$</w:t>
      </w:r>
      <w:r>
        <w:rPr>
          <w:sz w:val="20"/>
          <w:szCs w:val="20"/>
          <w:color w:val="auto"/>
        </w:rPr>
        <w:tab/>
      </w:r>
      <w:r>
        <w:rPr>
          <w:rFonts w:ascii="Trebuchet MS" w:cs="Trebuchet MS" w:eastAsia="Trebuchet MS" w:hAnsi="Trebuchet MS"/>
          <w:sz w:val="19"/>
          <w:szCs w:val="19"/>
          <w:color w:val="auto"/>
        </w:rPr>
        <w:t>62,397,698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rebuchet MS" w:cs="Trebuchet MS" w:eastAsia="Trebuchet MS" w:hAnsi="Trebuchet MS"/>
          <w:sz w:val="19"/>
          <w:szCs w:val="19"/>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415" w:right="45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311"/>
        </w:trPr>
        <w:tc>
          <w:tcPr>
            <w:tcW w:w="8520" w:type="dxa"/>
            <w:vAlign w:val="bottom"/>
          </w:tcPr>
          <w:p>
            <w:pPr>
              <w:ind w:left="316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8520" w:type="dxa"/>
            <w:vAlign w:val="bottom"/>
            <w:tcBorders>
              <w:bottom w:val="single" w:sz="8" w:color="auto"/>
            </w:tcBorders>
          </w:tcPr>
          <w:p>
            <w:pPr>
              <w:ind w:left="3700"/>
              <w:spacing w:after="0"/>
              <w:rPr>
                <w:sz w:val="20"/>
                <w:szCs w:val="20"/>
                <w:color w:val="auto"/>
              </w:rPr>
            </w:pPr>
            <w:r>
              <w:rPr>
                <w:rFonts w:ascii="Trebuchet MS" w:cs="Trebuchet MS" w:eastAsia="Trebuchet MS" w:hAnsi="Trebuchet MS"/>
                <w:sz w:val="22"/>
                <w:szCs w:val="22"/>
                <w:b w:val="1"/>
                <w:bCs w:val="1"/>
                <w:color w:val="auto"/>
              </w:rPr>
              <w:t>Consolidated Statement of Operations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906"/>
              <w:spacing w:after="0"/>
              <w:rPr>
                <w:sz w:val="20"/>
                <w:szCs w:val="20"/>
                <w:color w:val="auto"/>
              </w:rPr>
            </w:pPr>
            <w:r>
              <w:rPr>
                <w:rFonts w:ascii="Trebuchet MS" w:cs="Trebuchet MS" w:eastAsia="Trebuchet MS" w:hAnsi="Trebuchet MS"/>
                <w:sz w:val="19"/>
                <w:szCs w:val="19"/>
                <w:b w:val="1"/>
                <w:bCs w:val="1"/>
                <w:color w:val="auto"/>
              </w:rPr>
              <w:t>2020</w:t>
            </w:r>
          </w:p>
        </w:tc>
        <w:tc>
          <w:tcPr>
            <w:tcW w:w="0" w:type="dxa"/>
            <w:vAlign w:val="bottom"/>
          </w:tcPr>
          <w:p>
            <w:pPr>
              <w:spacing w:after="0"/>
              <w:rPr>
                <w:sz w:val="1"/>
                <w:szCs w:val="1"/>
                <w:color w:val="auto"/>
              </w:rPr>
            </w:pPr>
          </w:p>
        </w:tc>
      </w:tr>
      <w:tr>
        <w:trPr>
          <w:trHeight w:val="536"/>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Operating Revenues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Crude oil sales</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13,242,725</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Natural gas sales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8,046,227</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Natural gas liquids sales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5,281,458</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Water supply services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748,221</w:t>
            </w:r>
          </w:p>
        </w:tc>
        <w:tc>
          <w:tcPr>
            <w:tcW w:w="0" w:type="dxa"/>
            <w:vAlign w:val="bottom"/>
          </w:tcPr>
          <w:p>
            <w:pPr>
              <w:spacing w:after="0"/>
              <w:rPr>
                <w:sz w:val="1"/>
                <w:szCs w:val="1"/>
                <w:color w:val="auto"/>
              </w:rPr>
            </w:pPr>
          </w:p>
        </w:tc>
      </w:tr>
      <w:tr>
        <w:trPr>
          <w:trHeight w:val="408"/>
        </w:trPr>
        <w:tc>
          <w:tcPr>
            <w:tcW w:w="85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Gathering fees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3,267,474</w:t>
            </w:r>
          </w:p>
        </w:tc>
        <w:tc>
          <w:tcPr>
            <w:tcW w:w="0" w:type="dxa"/>
            <w:vAlign w:val="bottom"/>
          </w:tcPr>
          <w:p>
            <w:pPr>
              <w:spacing w:after="0"/>
              <w:rPr>
                <w:sz w:val="1"/>
                <w:szCs w:val="1"/>
                <w:color w:val="auto"/>
              </w:rPr>
            </w:pPr>
          </w:p>
        </w:tc>
      </w:tr>
      <w:tr>
        <w:trPr>
          <w:trHeight w:val="532"/>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Total Revenues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30,586,105</w:t>
            </w:r>
          </w:p>
        </w:tc>
        <w:tc>
          <w:tcPr>
            <w:tcW w:w="0" w:type="dxa"/>
            <w:vAlign w:val="bottom"/>
          </w:tcPr>
          <w:p>
            <w:pPr>
              <w:spacing w:after="0"/>
              <w:rPr>
                <w:sz w:val="1"/>
                <w:szCs w:val="1"/>
                <w:color w:val="auto"/>
              </w:rPr>
            </w:pPr>
          </w:p>
        </w:tc>
      </w:tr>
      <w:tr>
        <w:trPr>
          <w:trHeight w:val="540"/>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Operating Expenses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Oil and natural gas operating expenses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19,371,952</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Oil and natural gas production taxes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713,228</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Water usage</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75,000</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Depreciation, depletion and amortization</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14,816,892</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Impairment of oil and gas properties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32,455,508</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Accretion of asset retirement obligations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576,665</w:t>
            </w:r>
          </w:p>
        </w:tc>
        <w:tc>
          <w:tcPr>
            <w:tcW w:w="0" w:type="dxa"/>
            <w:vAlign w:val="bottom"/>
          </w:tcPr>
          <w:p>
            <w:pPr>
              <w:spacing w:after="0"/>
              <w:rPr>
                <w:sz w:val="1"/>
                <w:szCs w:val="1"/>
                <w:color w:val="auto"/>
              </w:rPr>
            </w:pPr>
          </w:p>
        </w:tc>
      </w:tr>
      <w:tr>
        <w:trPr>
          <w:trHeight w:val="396"/>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Bad debt expense</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1,050</w:t>
            </w:r>
          </w:p>
        </w:tc>
        <w:tc>
          <w:tcPr>
            <w:tcW w:w="0" w:type="dxa"/>
            <w:vAlign w:val="bottom"/>
          </w:tcPr>
          <w:p>
            <w:pPr>
              <w:spacing w:after="0"/>
              <w:rPr>
                <w:sz w:val="1"/>
                <w:szCs w:val="1"/>
                <w:color w:val="auto"/>
              </w:rPr>
            </w:pPr>
          </w:p>
        </w:tc>
      </w:tr>
      <w:tr>
        <w:trPr>
          <w:trHeight w:val="203"/>
        </w:trPr>
        <w:tc>
          <w:tcPr>
            <w:tcW w:w="8520" w:type="dxa"/>
            <w:vAlign w:val="bottom"/>
          </w:tcPr>
          <w:p>
            <w:pPr>
              <w:ind w:left="260"/>
              <w:spacing w:after="0" w:line="203" w:lineRule="exact"/>
              <w:rPr>
                <w:sz w:val="20"/>
                <w:szCs w:val="20"/>
                <w:color w:val="auto"/>
              </w:rPr>
            </w:pPr>
            <w:r>
              <w:rPr>
                <w:rFonts w:ascii="Trebuchet MS" w:cs="Trebuchet MS" w:eastAsia="Trebuchet MS" w:hAnsi="Trebuchet MS"/>
                <w:sz w:val="19"/>
                <w:szCs w:val="19"/>
                <w:color w:val="auto"/>
              </w:rPr>
              <w:t>General and administrative, overhead and other</w:t>
            </w:r>
          </w:p>
        </w:tc>
        <w:tc>
          <w:tcPr>
            <w:tcW w:w="900" w:type="dxa"/>
            <w:vAlign w:val="bottom"/>
          </w:tcPr>
          <w:p>
            <w:pPr>
              <w:spacing w:after="0"/>
              <w:rPr>
                <w:sz w:val="17"/>
                <w:szCs w:val="17"/>
                <w:color w:val="auto"/>
              </w:rPr>
            </w:pPr>
          </w:p>
        </w:tc>
        <w:tc>
          <w:tcPr>
            <w:tcW w:w="182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4,450,780</w:t>
            </w:r>
          </w:p>
        </w:tc>
        <w:tc>
          <w:tcPr>
            <w:tcW w:w="0" w:type="dxa"/>
            <w:vAlign w:val="bottom"/>
          </w:tcPr>
          <w:p>
            <w:pPr>
              <w:spacing w:after="0"/>
              <w:rPr>
                <w:sz w:val="1"/>
                <w:szCs w:val="1"/>
                <w:color w:val="auto"/>
              </w:rPr>
            </w:pPr>
          </w:p>
        </w:tc>
      </w:tr>
      <w:tr>
        <w:trPr>
          <w:trHeight w:val="218"/>
        </w:trPr>
        <w:tc>
          <w:tcPr>
            <w:tcW w:w="8520" w:type="dxa"/>
            <w:vAlign w:val="bottom"/>
            <w:tcBorders>
              <w:bottom w:val="single" w:sz="8" w:color="auto"/>
            </w:tcBorders>
          </w:tcPr>
          <w:p>
            <w:pPr>
              <w:ind w:left="440"/>
              <w:spacing w:after="0" w:line="218" w:lineRule="exact"/>
              <w:rPr>
                <w:sz w:val="20"/>
                <w:szCs w:val="20"/>
                <w:color w:val="auto"/>
              </w:rPr>
            </w:pPr>
            <w:r>
              <w:rPr>
                <w:rFonts w:ascii="Trebuchet MS" w:cs="Trebuchet MS" w:eastAsia="Trebuchet MS" w:hAnsi="Trebuchet MS"/>
                <w:sz w:val="19"/>
                <w:szCs w:val="19"/>
                <w:color w:val="auto"/>
              </w:rPr>
              <w:t>expenses, net of operator's overhead fees</w:t>
            </w:r>
          </w:p>
        </w:tc>
        <w:tc>
          <w:tcPr>
            <w:tcW w:w="9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31"/>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Total Operating Expenses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72,461,075</w:t>
            </w:r>
          </w:p>
        </w:tc>
        <w:tc>
          <w:tcPr>
            <w:tcW w:w="0" w:type="dxa"/>
            <w:vAlign w:val="bottom"/>
          </w:tcPr>
          <w:p>
            <w:pPr>
              <w:spacing w:after="0"/>
              <w:rPr>
                <w:sz w:val="1"/>
                <w:szCs w:val="1"/>
                <w:color w:val="auto"/>
              </w:rPr>
            </w:pPr>
          </w:p>
        </w:tc>
      </w:tr>
      <w:tr>
        <w:trPr>
          <w:trHeight w:val="356"/>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Loss from Operations</w:t>
            </w:r>
          </w:p>
        </w:tc>
        <w:tc>
          <w:tcPr>
            <w:tcW w:w="9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(41,874,970 )</w:t>
            </w:r>
          </w:p>
        </w:tc>
        <w:tc>
          <w:tcPr>
            <w:tcW w:w="0" w:type="dxa"/>
            <w:vAlign w:val="bottom"/>
          </w:tcPr>
          <w:p>
            <w:pPr>
              <w:spacing w:after="0"/>
              <w:rPr>
                <w:sz w:val="1"/>
                <w:szCs w:val="1"/>
                <w:color w:val="auto"/>
              </w:rPr>
            </w:pPr>
          </w:p>
        </w:tc>
      </w:tr>
      <w:tr>
        <w:trPr>
          <w:trHeight w:val="540"/>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Other Income (Expense)</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Interest expense</w:t>
            </w:r>
          </w:p>
        </w:tc>
        <w:tc>
          <w:tcPr>
            <w:tcW w:w="9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(5,945,697 )</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Interest income</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86,697</w:t>
            </w:r>
          </w:p>
        </w:tc>
        <w:tc>
          <w:tcPr>
            <w:tcW w:w="0" w:type="dxa"/>
            <w:vAlign w:val="bottom"/>
          </w:tcPr>
          <w:p>
            <w:pPr>
              <w:spacing w:after="0"/>
              <w:rPr>
                <w:sz w:val="1"/>
                <w:szCs w:val="1"/>
                <w:color w:val="auto"/>
              </w:rPr>
            </w:pP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Gain on derivative instruments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2,322,535</w:t>
            </w:r>
          </w:p>
        </w:tc>
        <w:tc>
          <w:tcPr>
            <w:tcW w:w="0" w:type="dxa"/>
            <w:vAlign w:val="bottom"/>
          </w:tcPr>
          <w:p>
            <w:pPr>
              <w:spacing w:after="0"/>
              <w:rPr>
                <w:sz w:val="1"/>
                <w:szCs w:val="1"/>
                <w:color w:val="auto"/>
              </w:rPr>
            </w:pPr>
          </w:p>
        </w:tc>
      </w:tr>
      <w:tr>
        <w:trPr>
          <w:trHeight w:val="408"/>
        </w:trPr>
        <w:tc>
          <w:tcPr>
            <w:tcW w:w="85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Other income, net</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82,745</w:t>
            </w:r>
          </w:p>
        </w:tc>
        <w:tc>
          <w:tcPr>
            <w:tcW w:w="0" w:type="dxa"/>
            <w:vAlign w:val="bottom"/>
          </w:tcPr>
          <w:p>
            <w:pPr>
              <w:spacing w:after="0"/>
              <w:rPr>
                <w:sz w:val="1"/>
                <w:szCs w:val="1"/>
                <w:color w:val="auto"/>
              </w:rPr>
            </w:pPr>
          </w:p>
        </w:tc>
      </w:tr>
      <w:tr>
        <w:trPr>
          <w:trHeight w:val="359"/>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Total Other Income (Expense)</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(3,453,720 )</w:t>
            </w:r>
          </w:p>
        </w:tc>
        <w:tc>
          <w:tcPr>
            <w:tcW w:w="0" w:type="dxa"/>
            <w:vAlign w:val="bottom"/>
          </w:tcPr>
          <w:p>
            <w:pPr>
              <w:spacing w:after="0"/>
              <w:rPr>
                <w:sz w:val="1"/>
                <w:szCs w:val="1"/>
                <w:color w:val="auto"/>
              </w:rPr>
            </w:pPr>
          </w:p>
        </w:tc>
      </w:tr>
      <w:tr>
        <w:trPr>
          <w:trHeight w:val="367"/>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Net Loss</w:t>
            </w:r>
          </w:p>
        </w:tc>
        <w:tc>
          <w:tcPr>
            <w:tcW w:w="900" w:type="dxa"/>
            <w:vAlign w:val="bottom"/>
            <w:tcBorders>
              <w:bottom w:val="single" w:sz="8" w:color="auto"/>
            </w:tcBorders>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(45,328,690 )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1" w:name="page152"/>
    <w:bookmarkEnd w:id="151"/>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20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Consolidated Statement of Member’s Equity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860" w:type="dxa"/>
            <w:vAlign w:val="bottom"/>
            <w:tcBorders>
              <w:top w:val="single" w:sz="8" w:color="auto"/>
            </w:tcBorders>
          </w:tcPr>
          <w:p>
            <w:pPr>
              <w:spacing w:after="0"/>
              <w:rPr>
                <w:sz w:val="18"/>
                <w:szCs w:val="18"/>
                <w:color w:val="auto"/>
              </w:rPr>
            </w:pPr>
          </w:p>
        </w:tc>
        <w:tc>
          <w:tcPr>
            <w:tcW w:w="3800" w:type="dxa"/>
            <w:vAlign w:val="bottom"/>
            <w:tcBorders>
              <w:top w:val="single" w:sz="8" w:color="auto"/>
            </w:tcBorders>
            <w:vMerge w:val="restart"/>
          </w:tcPr>
          <w:p>
            <w:pPr>
              <w:jc w:val="right"/>
              <w:ind w:right="1046"/>
              <w:spacing w:after="0"/>
              <w:rPr>
                <w:sz w:val="20"/>
                <w:szCs w:val="20"/>
                <w:color w:val="auto"/>
              </w:rPr>
            </w:pPr>
            <w:r>
              <w:rPr>
                <w:rFonts w:ascii="Trebuchet MS" w:cs="Trebuchet MS" w:eastAsia="Trebuchet MS" w:hAnsi="Trebuchet MS"/>
                <w:sz w:val="19"/>
                <w:szCs w:val="19"/>
                <w:b w:val="1"/>
                <w:bCs w:val="1"/>
                <w:color w:val="auto"/>
              </w:rPr>
              <w:t>Units</w:t>
            </w:r>
          </w:p>
        </w:tc>
        <w:tc>
          <w:tcPr>
            <w:tcW w:w="7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526"/>
              <w:spacing w:after="0" w:line="211" w:lineRule="exact"/>
              <w:rPr>
                <w:sz w:val="20"/>
                <w:szCs w:val="20"/>
                <w:color w:val="auto"/>
              </w:rPr>
            </w:pPr>
            <w:r>
              <w:rPr>
                <w:rFonts w:ascii="Trebuchet MS" w:cs="Trebuchet MS" w:eastAsia="Trebuchet MS" w:hAnsi="Trebuchet MS"/>
                <w:sz w:val="19"/>
                <w:szCs w:val="19"/>
                <w:b w:val="1"/>
                <w:bCs w:val="1"/>
                <w:color w:val="auto"/>
              </w:rPr>
              <w:t>Member’s</w:t>
            </w:r>
          </w:p>
        </w:tc>
        <w:tc>
          <w:tcPr>
            <w:tcW w:w="0" w:type="dxa"/>
            <w:vAlign w:val="bottom"/>
          </w:tcPr>
          <w:p>
            <w:pPr>
              <w:spacing w:after="0"/>
              <w:rPr>
                <w:sz w:val="1"/>
                <w:szCs w:val="1"/>
                <w:color w:val="auto"/>
              </w:rPr>
            </w:pPr>
          </w:p>
        </w:tc>
      </w:tr>
      <w:tr>
        <w:trPr>
          <w:trHeight w:val="231"/>
        </w:trPr>
        <w:tc>
          <w:tcPr>
            <w:tcW w:w="48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86"/>
              <w:spacing w:after="0"/>
              <w:rPr>
                <w:sz w:val="20"/>
                <w:szCs w:val="20"/>
                <w:color w:val="auto"/>
              </w:rPr>
            </w:pPr>
            <w:r>
              <w:rPr>
                <w:rFonts w:ascii="Trebuchet MS" w:cs="Trebuchet MS" w:eastAsia="Trebuchet MS" w:hAnsi="Trebuchet MS"/>
                <w:sz w:val="19"/>
                <w:szCs w:val="19"/>
                <w:b w:val="1"/>
                <w:bCs w:val="1"/>
                <w:color w:val="auto"/>
              </w:rPr>
              <w:t>Equity (Deficit)</w:t>
            </w:r>
          </w:p>
        </w:tc>
        <w:tc>
          <w:tcPr>
            <w:tcW w:w="0" w:type="dxa"/>
            <w:vAlign w:val="bottom"/>
          </w:tcPr>
          <w:p>
            <w:pPr>
              <w:spacing w:after="0"/>
              <w:rPr>
                <w:sz w:val="1"/>
                <w:szCs w:val="1"/>
                <w:color w:val="auto"/>
              </w:rPr>
            </w:pPr>
          </w:p>
        </w:tc>
      </w:tr>
      <w:tr>
        <w:trPr>
          <w:trHeight w:val="361"/>
        </w:trPr>
        <w:tc>
          <w:tcPr>
            <w:tcW w:w="48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Balance, October 1, 2019</w:t>
            </w:r>
          </w:p>
        </w:tc>
        <w:tc>
          <w:tcPr>
            <w:tcW w:w="3800" w:type="dxa"/>
            <w:vAlign w:val="bottom"/>
          </w:tcPr>
          <w:p>
            <w:pPr>
              <w:jc w:val="right"/>
              <w:ind w:right="486"/>
              <w:spacing w:after="0"/>
              <w:rPr>
                <w:sz w:val="20"/>
                <w:szCs w:val="20"/>
                <w:color w:val="auto"/>
              </w:rPr>
            </w:pPr>
            <w:r>
              <w:rPr>
                <w:rFonts w:ascii="Trebuchet MS" w:cs="Trebuchet MS" w:eastAsia="Trebuchet MS" w:hAnsi="Trebuchet MS"/>
                <w:sz w:val="19"/>
                <w:szCs w:val="19"/>
                <w:color w:val="auto"/>
              </w:rPr>
              <w:t>84,747</w:t>
            </w:r>
          </w:p>
        </w:tc>
        <w:tc>
          <w:tcPr>
            <w:tcW w:w="780" w:type="dxa"/>
            <w:vAlign w:val="bottom"/>
          </w:tcPr>
          <w:p>
            <w:pPr>
              <w:jc w:val="right"/>
              <w:spacing w:after="0"/>
              <w:rPr>
                <w:sz w:val="20"/>
                <w:szCs w:val="20"/>
                <w:color w:val="auto"/>
              </w:rPr>
            </w:pPr>
            <w:r>
              <w:rPr>
                <w:rFonts w:ascii="Trebuchet MS" w:cs="Trebuchet MS" w:eastAsia="Trebuchet MS" w:hAnsi="Trebuchet MS"/>
                <w:sz w:val="19"/>
                <w:szCs w:val="19"/>
                <w:color w:val="auto"/>
              </w:rPr>
              <w:t>$</w:t>
            </w:r>
          </w:p>
        </w:tc>
        <w:tc>
          <w:tcPr>
            <w:tcW w:w="1800" w:type="dxa"/>
            <w:vAlign w:val="bottom"/>
          </w:tcPr>
          <w:p>
            <w:pPr>
              <w:jc w:val="right"/>
              <w:spacing w:after="0"/>
              <w:rPr>
                <w:sz w:val="20"/>
                <w:szCs w:val="20"/>
                <w:color w:val="auto"/>
              </w:rPr>
            </w:pPr>
            <w:r>
              <w:rPr>
                <w:rFonts w:ascii="Trebuchet MS" w:cs="Trebuchet MS" w:eastAsia="Trebuchet MS" w:hAnsi="Trebuchet MS"/>
                <w:sz w:val="19"/>
                <w:szCs w:val="19"/>
                <w:color w:val="auto"/>
              </w:rPr>
              <w:t>(37,177,068 )</w:t>
            </w:r>
          </w:p>
        </w:tc>
        <w:tc>
          <w:tcPr>
            <w:tcW w:w="0" w:type="dxa"/>
            <w:vAlign w:val="bottom"/>
          </w:tcPr>
          <w:p>
            <w:pPr>
              <w:spacing w:after="0"/>
              <w:rPr>
                <w:sz w:val="1"/>
                <w:szCs w:val="1"/>
                <w:color w:val="auto"/>
              </w:rPr>
            </w:pPr>
          </w:p>
        </w:tc>
      </w:tr>
      <w:tr>
        <w:trPr>
          <w:trHeight w:val="540"/>
        </w:trPr>
        <w:tc>
          <w:tcPr>
            <w:tcW w:w="486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Conversion of debt to equity</w:t>
            </w:r>
          </w:p>
        </w:tc>
        <w:tc>
          <w:tcPr>
            <w:tcW w:w="3800" w:type="dxa"/>
            <w:vAlign w:val="bottom"/>
          </w:tcPr>
          <w:p>
            <w:pPr>
              <w:jc w:val="right"/>
              <w:ind w:right="486"/>
              <w:spacing w:after="0"/>
              <w:rPr>
                <w:sz w:val="20"/>
                <w:szCs w:val="20"/>
                <w:color w:val="auto"/>
              </w:rPr>
            </w:pPr>
            <w:r>
              <w:rPr>
                <w:rFonts w:ascii="Trebuchet MS" w:cs="Trebuchet MS" w:eastAsia="Trebuchet MS" w:hAnsi="Trebuchet MS"/>
                <w:sz w:val="19"/>
                <w:szCs w:val="19"/>
                <w:color w:val="auto"/>
              </w:rPr>
              <w:t>96,058</w:t>
            </w:r>
          </w:p>
        </w:tc>
        <w:tc>
          <w:tcPr>
            <w:tcW w:w="780" w:type="dxa"/>
            <w:vAlign w:val="bottom"/>
          </w:tcPr>
          <w:p>
            <w:pPr>
              <w:spacing w:after="0"/>
              <w:rPr>
                <w:sz w:val="24"/>
                <w:szCs w:val="24"/>
                <w:color w:val="auto"/>
              </w:rPr>
            </w:pPr>
          </w:p>
        </w:tc>
        <w:tc>
          <w:tcPr>
            <w:tcW w:w="180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86,443,333</w:t>
            </w:r>
          </w:p>
        </w:tc>
        <w:tc>
          <w:tcPr>
            <w:tcW w:w="0" w:type="dxa"/>
            <w:vAlign w:val="bottom"/>
          </w:tcPr>
          <w:p>
            <w:pPr>
              <w:spacing w:after="0"/>
              <w:rPr>
                <w:sz w:val="1"/>
                <w:szCs w:val="1"/>
                <w:color w:val="auto"/>
              </w:rPr>
            </w:pPr>
          </w:p>
        </w:tc>
      </w:tr>
      <w:tr>
        <w:trPr>
          <w:trHeight w:val="366"/>
        </w:trPr>
        <w:tc>
          <w:tcPr>
            <w:tcW w:w="486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color w:val="auto"/>
              </w:rPr>
              <w:t>Net loss</w:t>
            </w:r>
          </w:p>
        </w:tc>
        <w:tc>
          <w:tcPr>
            <w:tcW w:w="3800" w:type="dxa"/>
            <w:vAlign w:val="bottom"/>
            <w:tcBorders>
              <w:bottom w:val="single" w:sz="8" w:color="auto"/>
            </w:tcBorders>
          </w:tcPr>
          <w:p>
            <w:pPr>
              <w:jc w:val="right"/>
              <w:ind w:right="486"/>
              <w:spacing w:after="0"/>
              <w:rPr>
                <w:sz w:val="20"/>
                <w:szCs w:val="20"/>
                <w:color w:val="auto"/>
              </w:rPr>
            </w:pPr>
            <w:r>
              <w:rPr>
                <w:rFonts w:ascii="Trebuchet MS" w:cs="Trebuchet MS" w:eastAsia="Trebuchet MS" w:hAnsi="Trebuchet MS"/>
                <w:sz w:val="19"/>
                <w:szCs w:val="19"/>
                <w:color w:val="auto"/>
              </w:rPr>
              <w:t>-</w:t>
            </w:r>
          </w:p>
        </w:tc>
        <w:tc>
          <w:tcPr>
            <w:tcW w:w="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(45,328,690 )</w:t>
            </w:r>
          </w:p>
        </w:tc>
        <w:tc>
          <w:tcPr>
            <w:tcW w:w="0" w:type="dxa"/>
            <w:vAlign w:val="bottom"/>
          </w:tcPr>
          <w:p>
            <w:pPr>
              <w:spacing w:after="0"/>
              <w:rPr>
                <w:sz w:val="1"/>
                <w:szCs w:val="1"/>
                <w:color w:val="auto"/>
              </w:rPr>
            </w:pPr>
          </w:p>
        </w:tc>
      </w:tr>
      <w:tr>
        <w:trPr>
          <w:trHeight w:val="543"/>
        </w:trPr>
        <w:tc>
          <w:tcPr>
            <w:tcW w:w="486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Balance, September 30, 2020</w:t>
            </w:r>
          </w:p>
        </w:tc>
        <w:tc>
          <w:tcPr>
            <w:tcW w:w="3800" w:type="dxa"/>
            <w:vAlign w:val="bottom"/>
            <w:tcBorders>
              <w:bottom w:val="single" w:sz="8" w:color="auto"/>
            </w:tcBorders>
          </w:tcPr>
          <w:p>
            <w:pPr>
              <w:jc w:val="right"/>
              <w:ind w:right="486"/>
              <w:spacing w:after="0"/>
              <w:rPr>
                <w:sz w:val="20"/>
                <w:szCs w:val="20"/>
                <w:color w:val="auto"/>
              </w:rPr>
            </w:pPr>
            <w:r>
              <w:rPr>
                <w:rFonts w:ascii="Trebuchet MS" w:cs="Trebuchet MS" w:eastAsia="Trebuchet MS" w:hAnsi="Trebuchet MS"/>
                <w:sz w:val="19"/>
                <w:szCs w:val="19"/>
                <w:color w:val="auto"/>
              </w:rPr>
              <w:t>180,805</w:t>
            </w:r>
          </w:p>
        </w:tc>
        <w:tc>
          <w:tcPr>
            <w:tcW w:w="78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w:t>
            </w:r>
          </w:p>
        </w:tc>
        <w:tc>
          <w:tcPr>
            <w:tcW w:w="180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3,937,575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100"/>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312"/>
        </w:trPr>
        <w:tc>
          <w:tcPr>
            <w:tcW w:w="8520" w:type="dxa"/>
            <w:vAlign w:val="bottom"/>
          </w:tcPr>
          <w:p>
            <w:pPr>
              <w:ind w:left="316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34"/>
        </w:trPr>
        <w:tc>
          <w:tcPr>
            <w:tcW w:w="8520" w:type="dxa"/>
            <w:vAlign w:val="bottom"/>
          </w:tcPr>
          <w:p>
            <w:pPr>
              <w:ind w:left="3920"/>
              <w:spacing w:after="0"/>
              <w:rPr>
                <w:sz w:val="20"/>
                <w:szCs w:val="20"/>
                <w:color w:val="auto"/>
              </w:rPr>
            </w:pPr>
            <w:r>
              <w:rPr>
                <w:rFonts w:ascii="Calibri" w:cs="Calibri" w:eastAsia="Calibri" w:hAnsi="Calibri"/>
                <w:sz w:val="22"/>
                <w:szCs w:val="22"/>
                <w:b w:val="1"/>
                <w:bCs w:val="1"/>
                <w:color w:val="auto"/>
              </w:rPr>
              <w:t>Consolidated Statement of Cash Flows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8"/>
        </w:trPr>
        <w:tc>
          <w:tcPr>
            <w:tcW w:w="8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524"/>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900" w:type="dxa"/>
            <w:vAlign w:val="bottom"/>
          </w:tcPr>
          <w:p>
            <w:pPr>
              <w:spacing w:after="0"/>
              <w:rPr>
                <w:sz w:val="24"/>
                <w:szCs w:val="24"/>
                <w:color w:val="auto"/>
              </w:rPr>
            </w:pPr>
          </w:p>
        </w:tc>
        <w:tc>
          <w:tcPr>
            <w:tcW w:w="1820" w:type="dxa"/>
            <w:vAlign w:val="bottom"/>
          </w:tcPr>
          <w:p>
            <w:pPr>
              <w:jc w:val="right"/>
              <w:ind w:right="886"/>
              <w:spacing w:after="0"/>
              <w:rPr>
                <w:sz w:val="20"/>
                <w:szCs w:val="20"/>
                <w:color w:val="auto"/>
              </w:rPr>
            </w:pPr>
            <w:r>
              <w:rPr>
                <w:rFonts w:ascii="Trebuchet MS" w:cs="Trebuchet MS" w:eastAsia="Trebuchet MS" w:hAnsi="Trebuchet MS"/>
                <w:sz w:val="19"/>
                <w:szCs w:val="19"/>
                <w:b w:val="1"/>
                <w:bCs w:val="1"/>
                <w:color w:val="auto"/>
              </w:rPr>
              <w:t>2020</w:t>
            </w:r>
          </w:p>
        </w:tc>
      </w:tr>
      <w:tr>
        <w:trPr>
          <w:trHeight w:val="103"/>
        </w:trPr>
        <w:tc>
          <w:tcPr>
            <w:tcW w:w="8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r>
      <w:tr>
        <w:trPr>
          <w:trHeight w:val="442"/>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Cash Flows from Operating Activities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99"/>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Net loss</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(45,328,690 )</w:t>
            </w:r>
          </w:p>
        </w:tc>
      </w:tr>
      <w:tr>
        <w:trPr>
          <w:trHeight w:val="189"/>
        </w:trPr>
        <w:tc>
          <w:tcPr>
            <w:tcW w:w="8520" w:type="dxa"/>
            <w:vAlign w:val="bottom"/>
          </w:tcPr>
          <w:p>
            <w:pPr>
              <w:ind w:left="260"/>
              <w:spacing w:after="0" w:line="189" w:lineRule="exact"/>
              <w:rPr>
                <w:sz w:val="20"/>
                <w:szCs w:val="20"/>
                <w:color w:val="auto"/>
              </w:rPr>
            </w:pPr>
            <w:r>
              <w:rPr>
                <w:rFonts w:ascii="Trebuchet MS" w:cs="Trebuchet MS" w:eastAsia="Trebuchet MS" w:hAnsi="Trebuchet MS"/>
                <w:sz w:val="19"/>
                <w:szCs w:val="19"/>
                <w:color w:val="auto"/>
              </w:rPr>
              <w:t>Adjustments to reconcile net loss to net cash used in</w:t>
            </w:r>
          </w:p>
        </w:tc>
        <w:tc>
          <w:tcPr>
            <w:tcW w:w="90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25"/>
        </w:trPr>
        <w:tc>
          <w:tcPr>
            <w:tcW w:w="8520" w:type="dxa"/>
            <w:vAlign w:val="bottom"/>
          </w:tcPr>
          <w:p>
            <w:pPr>
              <w:ind w:left="440"/>
              <w:spacing w:after="0"/>
              <w:rPr>
                <w:sz w:val="20"/>
                <w:szCs w:val="20"/>
                <w:color w:val="auto"/>
              </w:rPr>
            </w:pPr>
            <w:r>
              <w:rPr>
                <w:rFonts w:ascii="Trebuchet MS" w:cs="Trebuchet MS" w:eastAsia="Trebuchet MS" w:hAnsi="Trebuchet MS"/>
                <w:sz w:val="19"/>
                <w:szCs w:val="19"/>
                <w:color w:val="auto"/>
              </w:rPr>
              <w:t>operating activities:</w:t>
            </w:r>
          </w:p>
        </w:tc>
        <w:tc>
          <w:tcPr>
            <w:tcW w:w="9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311"/>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Depreciation, depletion and amortization</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14,816,892</w:t>
            </w:r>
          </w:p>
        </w:tc>
      </w:tr>
      <w:tr>
        <w:trPr>
          <w:trHeight w:val="405"/>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Impairment of oil and gas properties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32,455,508</w:t>
            </w:r>
          </w:p>
        </w:tc>
      </w:tr>
      <w:tr>
        <w:trPr>
          <w:trHeight w:val="405"/>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Interest expense paid in kind</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1,443,333</w:t>
            </w:r>
          </w:p>
        </w:tc>
      </w:tr>
      <w:tr>
        <w:trPr>
          <w:trHeight w:val="405"/>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Amortization of deferred loan costs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8,466</w:t>
            </w:r>
          </w:p>
        </w:tc>
      </w:tr>
      <w:tr>
        <w:trPr>
          <w:trHeight w:val="405"/>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Accretion of asset retirement obligations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576,665</w:t>
            </w:r>
          </w:p>
        </w:tc>
      </w:tr>
      <w:tr>
        <w:trPr>
          <w:trHeight w:val="405"/>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Bad debt expense</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1,050</w:t>
            </w:r>
          </w:p>
        </w:tc>
      </w:tr>
      <w:tr>
        <w:trPr>
          <w:trHeight w:val="310"/>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Gain on derivative instruments</w:t>
            </w:r>
          </w:p>
        </w:tc>
        <w:tc>
          <w:tcPr>
            <w:tcW w:w="9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(2,322,535 )</w:t>
            </w:r>
          </w:p>
        </w:tc>
      </w:tr>
      <w:tr>
        <w:trPr>
          <w:trHeight w:val="324"/>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Derivative cash settlements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2,859,692</w:t>
            </w: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Changes in operating assets and liabilities: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05"/>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Accounts receivable</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6,049,168</w:t>
            </w:r>
          </w:p>
        </w:tc>
      </w:tr>
      <w:tr>
        <w:trPr>
          <w:trHeight w:val="405"/>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Prepaid expenses and other assets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57,806</w:t>
            </w:r>
          </w:p>
        </w:tc>
      </w:tr>
      <w:tr>
        <w:trPr>
          <w:trHeight w:val="310"/>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Accounts payable and revenue payable</w:t>
            </w:r>
          </w:p>
        </w:tc>
        <w:tc>
          <w:tcPr>
            <w:tcW w:w="9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(18,113,792 )</w:t>
            </w:r>
          </w:p>
        </w:tc>
      </w:tr>
      <w:tr>
        <w:trPr>
          <w:trHeight w:val="230"/>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Drilling advances</w:t>
            </w:r>
          </w:p>
        </w:tc>
        <w:tc>
          <w:tcPr>
            <w:tcW w:w="9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(2,226,283 )</w:t>
            </w:r>
          </w:p>
        </w:tc>
      </w:tr>
      <w:tr>
        <w:trPr>
          <w:trHeight w:val="230"/>
        </w:trPr>
        <w:tc>
          <w:tcPr>
            <w:tcW w:w="8520" w:type="dxa"/>
            <w:vAlign w:val="bottom"/>
          </w:tcPr>
          <w:p>
            <w:pPr>
              <w:ind w:left="520"/>
              <w:spacing w:after="0"/>
              <w:rPr>
                <w:sz w:val="20"/>
                <w:szCs w:val="20"/>
                <w:color w:val="auto"/>
              </w:rPr>
            </w:pPr>
            <w:r>
              <w:rPr>
                <w:rFonts w:ascii="Trebuchet MS" w:cs="Trebuchet MS" w:eastAsia="Trebuchet MS" w:hAnsi="Trebuchet MS"/>
                <w:sz w:val="19"/>
                <w:szCs w:val="19"/>
                <w:color w:val="auto"/>
              </w:rPr>
              <w:t>Settlements of asset retirement obligations</w:t>
            </w:r>
          </w:p>
        </w:tc>
        <w:tc>
          <w:tcPr>
            <w:tcW w:w="9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(664,473 )</w:t>
            </w:r>
          </w:p>
        </w:tc>
      </w:tr>
      <w:tr>
        <w:trPr>
          <w:trHeight w:val="243"/>
        </w:trPr>
        <w:tc>
          <w:tcPr>
            <w:tcW w:w="8520" w:type="dxa"/>
            <w:vAlign w:val="bottom"/>
            <w:tcBorders>
              <w:bottom w:val="single" w:sz="8" w:color="auto"/>
            </w:tcBorders>
          </w:tcPr>
          <w:p>
            <w:pPr>
              <w:ind w:left="520"/>
              <w:spacing w:after="0"/>
              <w:rPr>
                <w:sz w:val="20"/>
                <w:szCs w:val="20"/>
                <w:color w:val="auto"/>
              </w:rPr>
            </w:pPr>
            <w:r>
              <w:rPr>
                <w:rFonts w:ascii="Trebuchet MS" w:cs="Trebuchet MS" w:eastAsia="Trebuchet MS" w:hAnsi="Trebuchet MS"/>
                <w:sz w:val="19"/>
                <w:szCs w:val="19"/>
                <w:color w:val="auto"/>
              </w:rPr>
              <w:t>Accrued liabilities</w:t>
            </w:r>
          </w:p>
        </w:tc>
        <w:tc>
          <w:tcPr>
            <w:tcW w:w="9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(507,152 )</w:t>
            </w:r>
          </w:p>
        </w:tc>
      </w:tr>
      <w:tr>
        <w:trPr>
          <w:trHeight w:val="358"/>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Net Cash Used in Operating Activities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(10,894,345 )</w:t>
            </w:r>
          </w:p>
        </w:tc>
      </w:tr>
      <w:tr>
        <w:trPr>
          <w:trHeight w:val="442"/>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Cash Flows from Investing Activities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8"/>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Payments for oil and natural gas properties and equipment</w:t>
            </w:r>
          </w:p>
        </w:tc>
        <w:tc>
          <w:tcPr>
            <w:tcW w:w="9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(34,021,957 )</w:t>
            </w:r>
          </w:p>
        </w:tc>
      </w:tr>
      <w:tr>
        <w:trPr>
          <w:trHeight w:val="324"/>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Proceeds from sales of oil and natural gas properties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75,000</w:t>
            </w:r>
          </w:p>
        </w:tc>
      </w:tr>
      <w:tr>
        <w:trPr>
          <w:trHeight w:val="324"/>
        </w:trPr>
        <w:tc>
          <w:tcPr>
            <w:tcW w:w="85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Payments for other property and equipment</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(7,297 )</w:t>
            </w:r>
          </w:p>
        </w:tc>
      </w:tr>
      <w:tr>
        <w:trPr>
          <w:trHeight w:val="358"/>
        </w:trPr>
        <w:tc>
          <w:tcPr>
            <w:tcW w:w="85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Net Cash Used in Investing Activities</w:t>
            </w: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(33,954,254 )</w:t>
            </w:r>
          </w:p>
        </w:tc>
      </w:tr>
      <w:tr>
        <w:trPr>
          <w:trHeight w:val="442"/>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Cash Flows from Financing Activities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03"/>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Proceeds from borrowings on long-term debt</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81,801,000</w:t>
            </w:r>
          </w:p>
        </w:tc>
      </w:tr>
      <w:tr>
        <w:trPr>
          <w:trHeight w:val="311"/>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Payments on long-term debt</w:t>
            </w:r>
          </w:p>
        </w:tc>
        <w:tc>
          <w:tcPr>
            <w:tcW w:w="9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(30,500,000 )</w:t>
            </w:r>
          </w:p>
        </w:tc>
      </w:tr>
      <w:tr>
        <w:trPr>
          <w:trHeight w:val="243"/>
        </w:trPr>
        <w:tc>
          <w:tcPr>
            <w:tcW w:w="85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Deferred financing costs</w:t>
            </w:r>
          </w:p>
        </w:tc>
        <w:tc>
          <w:tcPr>
            <w:tcW w:w="9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(965,920 )</w:t>
            </w:r>
          </w:p>
        </w:tc>
      </w:tr>
      <w:tr>
        <w:trPr>
          <w:trHeight w:val="441"/>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Net Cash Provided by Financing Activities</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50,335,080</w:t>
            </w:r>
          </w:p>
        </w:tc>
      </w:tr>
      <w:tr>
        <w:trPr>
          <w:trHeight w:val="98"/>
        </w:trPr>
        <w:tc>
          <w:tcPr>
            <w:tcW w:w="8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435"/>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Net Increase in Cash, Cash Equivalents and Restricted Cash</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5,486,481</w:t>
            </w:r>
          </w:p>
        </w:tc>
      </w:tr>
      <w:tr>
        <w:trPr>
          <w:trHeight w:val="540"/>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Cash, Cash Equivalents and Restricted Cash - Beginning of Year</w:t>
            </w:r>
          </w:p>
        </w:tc>
        <w:tc>
          <w:tcPr>
            <w:tcW w:w="90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3,925,189</w:t>
            </w:r>
          </w:p>
        </w:tc>
      </w:tr>
      <w:tr>
        <w:trPr>
          <w:trHeight w:val="99"/>
        </w:trPr>
        <w:tc>
          <w:tcPr>
            <w:tcW w:w="85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r>
      <w:tr>
        <w:trPr>
          <w:trHeight w:val="435"/>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Cash, Cash Equivalents and Restricted Cash - End of Year</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9,411,670</w:t>
            </w:r>
          </w:p>
        </w:tc>
      </w:tr>
      <w:tr>
        <w:trPr>
          <w:trHeight w:val="105"/>
        </w:trPr>
        <w:tc>
          <w:tcPr>
            <w:tcW w:w="8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r>
      <w:tr>
        <w:trPr>
          <w:trHeight w:val="441"/>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Supplemental Cash Flow Information</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403"/>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Cash paid for interest</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2,301,546</w:t>
            </w:r>
          </w:p>
        </w:tc>
      </w:tr>
      <w:tr>
        <w:trPr>
          <w:trHeight w:val="501"/>
        </w:trPr>
        <w:tc>
          <w:tcPr>
            <w:tcW w:w="8520" w:type="dxa"/>
            <w:vAlign w:val="bottom"/>
          </w:tcPr>
          <w:p>
            <w:pPr>
              <w:ind w:left="20"/>
              <w:spacing w:after="0"/>
              <w:rPr>
                <w:sz w:val="20"/>
                <w:szCs w:val="20"/>
                <w:color w:val="auto"/>
              </w:rPr>
            </w:pPr>
            <w:r>
              <w:rPr>
                <w:rFonts w:ascii="Trebuchet MS" w:cs="Trebuchet MS" w:eastAsia="Trebuchet MS" w:hAnsi="Trebuchet MS"/>
                <w:sz w:val="19"/>
                <w:szCs w:val="19"/>
                <w:b w:val="1"/>
                <w:bCs w:val="1"/>
                <w:color w:val="auto"/>
              </w:rPr>
              <w:t>Non-Cash Investing and Financing Activities</w:t>
            </w:r>
          </w:p>
        </w:tc>
        <w:tc>
          <w:tcPr>
            <w:tcW w:w="9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09"/>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Oil and natural gas properties accrued</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1,935,869</w:t>
            </w: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Asset retirement obligations</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334,919</w:t>
            </w:r>
          </w:p>
        </w:tc>
      </w:tr>
      <w:tr>
        <w:trPr>
          <w:trHeight w:val="405"/>
        </w:trPr>
        <w:tc>
          <w:tcPr>
            <w:tcW w:w="8520" w:type="dxa"/>
            <w:vAlign w:val="bottom"/>
          </w:tcPr>
          <w:p>
            <w:pPr>
              <w:ind w:left="260"/>
              <w:spacing w:after="0"/>
              <w:rPr>
                <w:sz w:val="20"/>
                <w:szCs w:val="20"/>
                <w:color w:val="auto"/>
              </w:rPr>
            </w:pPr>
            <w:r>
              <w:rPr>
                <w:rFonts w:ascii="Trebuchet MS" w:cs="Trebuchet MS" w:eastAsia="Trebuchet MS" w:hAnsi="Trebuchet MS"/>
                <w:sz w:val="19"/>
                <w:szCs w:val="19"/>
                <w:color w:val="auto"/>
              </w:rPr>
              <w:t>Conversion of debt to equity</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86,443,333</w:t>
            </w:r>
          </w:p>
        </w:tc>
      </w:tr>
      <w:tr>
        <w:trPr>
          <w:trHeight w:val="107"/>
        </w:trPr>
        <w:tc>
          <w:tcPr>
            <w:tcW w:w="85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4" w:right="339" w:bottom="0" w:gutter="0" w:footer="0" w:header="0"/>
        </w:sectPr>
      </w:pPr>
    </w:p>
    <w:bookmarkStart w:id="153" w:name="page154"/>
    <w:bookmarkEnd w:id="153"/>
    <w:p>
      <w:pPr>
        <w:ind w:left="640"/>
        <w:spacing w:after="0"/>
        <w:rPr>
          <w:sz w:val="20"/>
          <w:szCs w:val="20"/>
          <w:color w:val="auto"/>
        </w:rPr>
      </w:pPr>
      <w:r>
        <w:rPr>
          <w:rFonts w:ascii="Trebuchet MS" w:cs="Trebuchet MS" w:eastAsia="Trebuchet MS" w:hAnsi="Trebuchet MS"/>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408"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19"/>
          <w:szCs w:val="19"/>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66675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08" w:right="1440" w:bottom="1440" w:gutter="0" w:footer="0" w:header="0"/>
          <w:type w:val="continuous"/>
        </w:sectPr>
      </w:pPr>
    </w:p>
    <w:bookmarkStart w:id="154" w:name="page155"/>
    <w:bookmarkEnd w:id="154"/>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97" w:lineRule="exact"/>
        <w:rPr>
          <w:sz w:val="20"/>
          <w:szCs w:val="20"/>
          <w:color w:val="auto"/>
        </w:rPr>
      </w:pPr>
    </w:p>
    <w:p>
      <w:pPr>
        <w:ind w:right="3660" w:firstLine="3668"/>
        <w:spacing w:after="0" w:line="271" w:lineRule="auto"/>
        <w:rPr>
          <w:sz w:val="20"/>
          <w:szCs w:val="20"/>
          <w:color w:val="auto"/>
        </w:rPr>
      </w:pPr>
      <w:r>
        <w:rPr>
          <w:rFonts w:ascii="Calibri" w:cs="Calibri" w:eastAsia="Calibri" w:hAnsi="Calibri"/>
          <w:sz w:val="22"/>
          <w:szCs w:val="22"/>
          <w:b w:val="1"/>
          <w:bCs w:val="1"/>
          <w:color w:val="auto"/>
        </w:rPr>
        <w:t xml:space="preserve">Notes to Consolidated Financial Statements </w:t>
      </w:r>
      <w:r>
        <w:rPr>
          <w:rFonts w:ascii="Trebuchet MS" w:cs="Trebuchet MS" w:eastAsia="Trebuchet MS" w:hAnsi="Trebuchet MS"/>
          <w:sz w:val="22"/>
          <w:szCs w:val="22"/>
          <w:b w:val="1"/>
          <w:bCs w:val="1"/>
          <w:color w:val="auto"/>
        </w:rPr>
        <w:t>1. Nature of Operations and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60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62"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RAM Energy Holdings LLC (“Holdings”) is a Delaware limited liability company, wholly-owned by PennantPark Investment Corporation (“PennantPark”), and was formed in July 2014 as a holding company for interest ownership in RAM Energy LLC (“RAM”). RAM Fayette LLC (“Fayette”) was formed in September 2017 and Fayette Service Company LLC (“Service”) was formed in June 2018, both as wholly-owned subsidiaries of RAM. On October 1, 2019, RAM contributed its ownership in Service to Holdings and Service became wholly-owned by Holdings. Holdings, RAM, Fayette and Service are herein referred to as the “Company.”</w:t>
      </w:r>
    </w:p>
    <w:p>
      <w:pPr>
        <w:spacing w:after="0" w:line="207" w:lineRule="exact"/>
        <w:rPr>
          <w:sz w:val="20"/>
          <w:szCs w:val="20"/>
          <w:color w:val="auto"/>
        </w:rPr>
      </w:pPr>
    </w:p>
    <w:p>
      <w:pPr>
        <w:jc w:val="both"/>
        <w:ind w:right="20"/>
        <w:spacing w:after="0"/>
        <w:rPr>
          <w:sz w:val="20"/>
          <w:szCs w:val="20"/>
          <w:color w:val="auto"/>
        </w:rPr>
      </w:pPr>
      <w:r>
        <w:rPr>
          <w:rFonts w:ascii="Trebuchet MS" w:cs="Trebuchet MS" w:eastAsia="Trebuchet MS" w:hAnsi="Trebuchet MS"/>
          <w:sz w:val="19"/>
          <w:szCs w:val="19"/>
          <w:color w:val="auto"/>
        </w:rPr>
        <w:t>RAM was formed in April 2012 as a privately held, independent oil and natural gas company engaged in the acquisition, exploration, exploitation, development and production of oil and natural gas.</w:t>
      </w:r>
    </w:p>
    <w:p>
      <w:pPr>
        <w:spacing w:after="0" w:line="220"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In September 2017, Holdings issued PennantPark 61,606 common units in satisfaction of the $88 million of outstanding debt that RAM owed to PennantPark. Holdings then entered into a new $35 million term loan. In June 2018, the credit agreement was amended to add a $15 million revolving loan. The credit agreement was amended in January 2019 and May 2019 to increase the revolving loan to $40 million, and further amended in October 2019 to increase the revolving loan to $50 million. In January 2020, the debt was restructured and converted to equity, and Holdings issued PennantPark 96,058 common units in satisfaction of the $86 million in debt that Holdings owed to PennantPark. See Notes 7 and 8.</w:t>
      </w:r>
    </w:p>
    <w:p>
      <w:pPr>
        <w:spacing w:after="0" w:line="210"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In July 2018, the Company began a drilling program in the Austin Chalk formation. Fayette was formed to be an owner in the new wells drilled, and Service was formed to invest in gathering and facilities infrastructure.</w:t>
      </w:r>
    </w:p>
    <w:p>
      <w:pPr>
        <w:spacing w:after="0" w:line="2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201"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2.  Liquidity and Recent Events</w:t>
      </w:r>
    </w:p>
    <w:p>
      <w:pPr>
        <w:spacing w:after="0" w:line="115"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 novel strain of coronavirus (“COVID-19”) was first identified in December 2019, and subsequently declared a global pandemic by the World Health Organization in March 2020. As a result of the outbreak, many companies have experienced disruptions in their operations and in markets served.</w:t>
      </w:r>
    </w:p>
    <w:p>
      <w:pPr>
        <w:spacing w:after="0" w:line="208"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adverse economic effects of the COVID-19 outbreak have materially decreased demand for crude oil based on the restrictions in place by governments trying to curb the outbreak and changes in consumer behavior. This has led to a significant global oversupply of oil and consequently a substantial decrease in crude oil prices. In response to the reduction in crude oil prices, the Company has instituted cost reduction measures that include negotiated cost reductions with vendors and elimination or deferral of certain discretionary capital spending. Further, as discussed in Note 1, the Company’s sole Member converted all of its outstanding debt to equity during the year, and as further discussed in Note 7, the Company also refinanced its debt with Macquarie with a loan from the Main Street Lending Program, which is part of the U.S. Federally enacted “CAREs Act”. As a result of these two transactions, the Company has no debt principal payments due until 2023 and no cash interest payments due until October 2021.</w:t>
      </w:r>
    </w:p>
    <w:p>
      <w:pPr>
        <w:spacing w:after="0" w:line="213" w:lineRule="exact"/>
        <w:rPr>
          <w:sz w:val="20"/>
          <w:szCs w:val="20"/>
          <w:color w:val="auto"/>
        </w:rPr>
      </w:pPr>
    </w:p>
    <w:p>
      <w:pPr>
        <w:jc w:val="both"/>
        <w:spacing w:after="0" w:line="234" w:lineRule="auto"/>
        <w:rPr>
          <w:sz w:val="20"/>
          <w:szCs w:val="20"/>
          <w:color w:val="auto"/>
        </w:rPr>
      </w:pPr>
      <w:r>
        <w:rPr>
          <w:rFonts w:ascii="Trebuchet MS" w:cs="Trebuchet MS" w:eastAsia="Trebuchet MS" w:hAnsi="Trebuchet MS"/>
          <w:sz w:val="19"/>
          <w:szCs w:val="19"/>
          <w:color w:val="auto"/>
        </w:rPr>
        <w:t>While management believes it has sufficient liquidity to fund its cash requirements through November 2021 based on current oil and gas pricing models and derivative instruments the Company has in place, the full impact of the COVID-19 pandemic continues to evolve, and as such, the full magnitude that the pandemic will have on the Company’s financial condition, liquidity, and future</w:t>
      </w:r>
    </w:p>
    <w:p>
      <w:pPr>
        <w:spacing w:after="0" w:line="3"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5" w:name="page156"/>
    <w:bookmarkEnd w:id="155"/>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2" w:lineRule="exact"/>
        <w:rPr>
          <w:sz w:val="20"/>
          <w:szCs w:val="20"/>
          <w:color w:val="auto"/>
        </w:rPr>
      </w:pPr>
    </w:p>
    <w:p>
      <w:pPr>
        <w:jc w:val="both"/>
        <w:spacing w:after="0" w:line="254" w:lineRule="auto"/>
        <w:rPr>
          <w:sz w:val="20"/>
          <w:szCs w:val="20"/>
          <w:color w:val="auto"/>
        </w:rPr>
      </w:pPr>
      <w:r>
        <w:rPr>
          <w:rFonts w:ascii="Trebuchet MS" w:cs="Trebuchet MS" w:eastAsia="Trebuchet MS" w:hAnsi="Trebuchet MS"/>
          <w:sz w:val="19"/>
          <w:szCs w:val="19"/>
          <w:color w:val="auto"/>
        </w:rPr>
        <w:t>results of operations is uncertain. Management is actively monitoring the impact of the COVID-19 pandemic and oil and gas pricing volatility on the Company's financial position, liquidity, operations, suppliers, industry and workforce.</w:t>
      </w:r>
    </w:p>
    <w:p>
      <w:pPr>
        <w:spacing w:after="0" w:line="175"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3.  Summary of Significant Accounting Policies</w:t>
      </w:r>
    </w:p>
    <w:p>
      <w:pPr>
        <w:spacing w:after="0" w:line="111"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Basis of Presentation</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accompanying consolidated financial statements include the accounts of Holdings, its wholly-owned subsidiaries, RAM and Service, and RAM’s wholly-owned subsidiary, Fayette. All significant intercompany accounts and transactions have been eliminated in consolidation.</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Property and Equipment</w:t>
      </w:r>
    </w:p>
    <w:p>
      <w:pPr>
        <w:spacing w:after="0" w:line="121"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209"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222"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During the first half of calendar 2020, crude oil prices declined significantly due to the Saudi-Russia conflict and decreased demand as a result of the COVID-19 pandemic. As a result, the Company recognized an impairment of $32.5 million during the year ended September 30, 2020.</w:t>
      </w:r>
    </w:p>
    <w:p>
      <w:pPr>
        <w:spacing w:after="0" w:line="210"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September 30, 2020.</w:t>
      </w:r>
    </w:p>
    <w:p>
      <w:pPr>
        <w:spacing w:after="0" w:line="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6" w:name="page157"/>
    <w:bookmarkEnd w:id="156"/>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Depreciation, Depletion and Amortization</w:t>
      </w:r>
    </w:p>
    <w:p>
      <w:pPr>
        <w:spacing w:after="0" w:line="121"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2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September 30, 2020 was approximately $463 thousand.</w:t>
      </w:r>
    </w:p>
    <w:p>
      <w:pPr>
        <w:spacing w:after="0" w:line="21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Cash and Cash Equivalents</w:t>
      </w:r>
    </w:p>
    <w:p>
      <w:pPr>
        <w:spacing w:after="0" w:line="107"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All highly liquid unrestricted investments with a maturity of three months or less when purchased are considered to be cash equivalents.</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Restricted Cash</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At September 30, 2020, the Company had approximately $742 thousand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w:t>
      </w:r>
    </w:p>
    <w:p>
      <w:pPr>
        <w:spacing w:after="0" w:line="208"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3740" w:type="dxa"/>
            <w:vAlign w:val="bottom"/>
          </w:tcPr>
          <w:p>
            <w:pPr>
              <w:spacing w:after="0"/>
              <w:rPr>
                <w:sz w:val="20"/>
                <w:szCs w:val="20"/>
                <w:color w:val="auto"/>
              </w:rPr>
            </w:pPr>
          </w:p>
        </w:tc>
        <w:tc>
          <w:tcPr>
            <w:tcW w:w="1620" w:type="dxa"/>
            <w:vAlign w:val="bottom"/>
          </w:tcPr>
          <w:p>
            <w:pPr>
              <w:jc w:val="right"/>
              <w:ind w:right="746"/>
              <w:spacing w:after="0"/>
              <w:rPr>
                <w:sz w:val="20"/>
                <w:szCs w:val="20"/>
                <w:color w:val="auto"/>
              </w:rPr>
            </w:pPr>
            <w:r>
              <w:rPr>
                <w:rFonts w:ascii="Trebuchet MS" w:cs="Trebuchet MS" w:eastAsia="Trebuchet MS" w:hAnsi="Trebuchet MS"/>
                <w:sz w:val="19"/>
                <w:szCs w:val="19"/>
                <w:b w:val="1"/>
                <w:bCs w:val="1"/>
                <w:color w:val="auto"/>
              </w:rPr>
              <w:t>2020</w:t>
            </w:r>
          </w:p>
        </w:tc>
        <w:tc>
          <w:tcPr>
            <w:tcW w:w="820" w:type="dxa"/>
            <w:vAlign w:val="bottom"/>
          </w:tcPr>
          <w:p>
            <w:pPr>
              <w:spacing w:after="0"/>
              <w:rPr>
                <w:sz w:val="20"/>
                <w:szCs w:val="20"/>
                <w:color w:val="auto"/>
              </w:rPr>
            </w:pPr>
          </w:p>
        </w:tc>
      </w:tr>
      <w:tr>
        <w:trPr>
          <w:trHeight w:val="103"/>
        </w:trPr>
        <w:tc>
          <w:tcPr>
            <w:tcW w:w="340" w:type="dxa"/>
            <w:vAlign w:val="bottom"/>
          </w:tcPr>
          <w:p>
            <w:pPr>
              <w:spacing w:after="0"/>
              <w:rPr>
                <w:sz w:val="9"/>
                <w:szCs w:val="9"/>
                <w:color w:val="auto"/>
              </w:rPr>
            </w:pPr>
          </w:p>
        </w:tc>
        <w:tc>
          <w:tcPr>
            <w:tcW w:w="472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r>
      <w:tr>
        <w:trPr>
          <w:trHeight w:val="534"/>
        </w:trPr>
        <w:tc>
          <w:tcPr>
            <w:tcW w:w="3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rebuchet MS" w:cs="Trebuchet MS" w:eastAsia="Trebuchet MS" w:hAnsi="Trebuchet MS"/>
                <w:sz w:val="19"/>
                <w:szCs w:val="19"/>
                <w:color w:val="auto"/>
              </w:rPr>
              <w:t>Cash and cash equivalents</w:t>
            </w:r>
          </w:p>
        </w:tc>
        <w:tc>
          <w:tcPr>
            <w:tcW w:w="3740" w:type="dxa"/>
            <w:vAlign w:val="bottom"/>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2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8,670,146</w:t>
            </w:r>
          </w:p>
        </w:tc>
        <w:tc>
          <w:tcPr>
            <w:tcW w:w="820" w:type="dxa"/>
            <w:vAlign w:val="bottom"/>
          </w:tcPr>
          <w:p>
            <w:pPr>
              <w:spacing w:after="0"/>
              <w:rPr>
                <w:sz w:val="24"/>
                <w:szCs w:val="24"/>
                <w:color w:val="auto"/>
              </w:rPr>
            </w:pPr>
          </w:p>
        </w:tc>
      </w:tr>
      <w:tr>
        <w:trPr>
          <w:trHeight w:val="422"/>
        </w:trPr>
        <w:tc>
          <w:tcPr>
            <w:tcW w:w="34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Restricted cash included in other long-term assets</w:t>
            </w:r>
          </w:p>
        </w:tc>
        <w:tc>
          <w:tcPr>
            <w:tcW w:w="3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741,524</w:t>
            </w:r>
          </w:p>
        </w:tc>
        <w:tc>
          <w:tcPr>
            <w:tcW w:w="820" w:type="dxa"/>
            <w:vAlign w:val="bottom"/>
          </w:tcPr>
          <w:p>
            <w:pPr>
              <w:spacing w:after="0"/>
              <w:rPr>
                <w:sz w:val="24"/>
                <w:szCs w:val="24"/>
                <w:color w:val="auto"/>
              </w:rPr>
            </w:pPr>
          </w:p>
        </w:tc>
      </w:tr>
      <w:tr>
        <w:trPr>
          <w:trHeight w:val="305"/>
        </w:trPr>
        <w:tc>
          <w:tcPr>
            <w:tcW w:w="34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rebuchet MS" w:cs="Trebuchet MS" w:eastAsia="Trebuchet MS" w:hAnsi="Trebuchet MS"/>
                <w:sz w:val="19"/>
                <w:szCs w:val="19"/>
                <w:color w:val="auto"/>
              </w:rPr>
              <w:t>Total cash, cash equivalents, and restricted cash</w:t>
            </w:r>
          </w:p>
        </w:tc>
        <w:tc>
          <w:tcPr>
            <w:tcW w:w="3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8"/>
        </w:trPr>
        <w:tc>
          <w:tcPr>
            <w:tcW w:w="340" w:type="dxa"/>
            <w:vAlign w:val="bottom"/>
          </w:tcPr>
          <w:p>
            <w:pPr>
              <w:spacing w:after="0"/>
              <w:rPr>
                <w:sz w:val="20"/>
                <w:szCs w:val="20"/>
                <w:color w:val="auto"/>
              </w:rPr>
            </w:pPr>
          </w:p>
        </w:tc>
        <w:tc>
          <w:tcPr>
            <w:tcW w:w="4720" w:type="dxa"/>
            <w:vAlign w:val="bottom"/>
            <w:tcBorders>
              <w:bottom w:val="single" w:sz="8" w:color="auto"/>
            </w:tcBorders>
          </w:tcPr>
          <w:p>
            <w:pPr>
              <w:ind w:left="180"/>
              <w:spacing w:after="0"/>
              <w:rPr>
                <w:sz w:val="20"/>
                <w:szCs w:val="20"/>
                <w:color w:val="auto"/>
              </w:rPr>
            </w:pPr>
            <w:r>
              <w:rPr>
                <w:rFonts w:ascii="Trebuchet MS" w:cs="Trebuchet MS" w:eastAsia="Trebuchet MS" w:hAnsi="Trebuchet MS"/>
                <w:sz w:val="19"/>
                <w:szCs w:val="19"/>
                <w:color w:val="auto"/>
              </w:rPr>
              <w:t>shown in the statement of cash flows</w:t>
            </w:r>
          </w:p>
        </w:tc>
        <w:tc>
          <w:tcPr>
            <w:tcW w:w="374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2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9,411,670</w:t>
            </w:r>
          </w:p>
        </w:tc>
        <w:tc>
          <w:tcPr>
            <w:tcW w:w="820" w:type="dxa"/>
            <w:vAlign w:val="bottom"/>
          </w:tcPr>
          <w:p>
            <w:pPr>
              <w:spacing w:after="0"/>
              <w:rPr>
                <w:sz w:val="20"/>
                <w:szCs w:val="20"/>
                <w:color w:val="auto"/>
              </w:rPr>
            </w:pPr>
          </w:p>
        </w:tc>
      </w:tr>
      <w:tr>
        <w:trPr>
          <w:trHeight w:val="630"/>
        </w:trPr>
        <w:tc>
          <w:tcPr>
            <w:tcW w:w="3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740" w:type="dxa"/>
            <w:vAlign w:val="bottom"/>
          </w:tcPr>
          <w:p>
            <w:pPr>
              <w:jc w:val="right"/>
              <w:ind w:right="2966"/>
              <w:spacing w:after="0"/>
              <w:rPr>
                <w:sz w:val="20"/>
                <w:szCs w:val="20"/>
                <w:color w:val="auto"/>
              </w:rPr>
            </w:pPr>
            <w:r>
              <w:rPr>
                <w:rFonts w:ascii="Trebuchet MS" w:cs="Trebuchet MS" w:eastAsia="Trebuchet MS" w:hAnsi="Trebuchet MS"/>
                <w:sz w:val="19"/>
                <w:szCs w:val="19"/>
                <w:b w:val="1"/>
                <w:bCs w:val="1"/>
                <w:color w:val="auto"/>
              </w:rPr>
              <w:t>11</w:t>
            </w:r>
          </w:p>
        </w:tc>
        <w:tc>
          <w:tcPr>
            <w:tcW w:w="16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9"/>
        </w:trPr>
        <w:tc>
          <w:tcPr>
            <w:tcW w:w="34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7" w:name="page158"/>
    <w:bookmarkEnd w:id="157"/>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Concentrations of Credit Risk</w:t>
      </w:r>
    </w:p>
    <w:p>
      <w:pPr>
        <w:spacing w:after="0" w:line="121"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2020, over 87%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2020, the allowance for doubtful accounts was $8 thousand.</w:t>
      </w:r>
    </w:p>
    <w:p>
      <w:pPr>
        <w:spacing w:after="0" w:line="210"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2020,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General and Administrative Expenses</w:t>
      </w:r>
    </w:p>
    <w:p>
      <w:pPr>
        <w:spacing w:after="0" w:line="121"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receives fees for the operation of jointly owned oil and natural gas properties and records such reimbursements as reductions of general and administrative expenses. Such fees totaled approximately $0.5 million for the year ended September 30, 2020.</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Use of Estimates</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Oil and Natural Gas Reserves Estimates</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September 30, 2020,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205"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Asset Retirement Obligations</w:t>
      </w:r>
    </w:p>
    <w:p>
      <w:pPr>
        <w:spacing w:after="0" w:line="121" w:lineRule="exact"/>
        <w:rPr>
          <w:sz w:val="20"/>
          <w:szCs w:val="20"/>
          <w:color w:val="auto"/>
        </w:rPr>
      </w:pPr>
    </w:p>
    <w:p>
      <w:pPr>
        <w:jc w:val="both"/>
        <w:spacing w:after="0" w:line="234" w:lineRule="auto"/>
        <w:rPr>
          <w:sz w:val="20"/>
          <w:szCs w:val="20"/>
          <w:color w:val="auto"/>
        </w:rPr>
      </w:pPr>
      <w:r>
        <w:rPr>
          <w:rFonts w:ascii="Trebuchet MS" w:cs="Trebuchet MS" w:eastAsia="Trebuchet MS" w:hAnsi="Trebuchet MS"/>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w:t>
      </w:r>
    </w:p>
    <w:p>
      <w:pPr>
        <w:spacing w:after="0" w:line="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8" w:name="page159"/>
    <w:bookmarkEnd w:id="158"/>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54" w:lineRule="exact"/>
        <w:rPr>
          <w:sz w:val="20"/>
          <w:szCs w:val="20"/>
          <w:color w:val="auto"/>
        </w:rPr>
      </w:pPr>
    </w:p>
    <w:p>
      <w:pPr>
        <w:jc w:val="both"/>
        <w:spacing w:after="0" w:line="254" w:lineRule="auto"/>
        <w:rPr>
          <w:sz w:val="20"/>
          <w:szCs w:val="20"/>
          <w:color w:val="auto"/>
        </w:rPr>
      </w:pPr>
      <w:r>
        <w:rPr>
          <w:rFonts w:ascii="Trebuchet MS" w:cs="Trebuchet MS" w:eastAsia="Trebuchet MS" w:hAnsi="Trebuchet MS"/>
          <w:sz w:val="19"/>
          <w:szCs w:val="19"/>
          <w:color w:val="auto"/>
        </w:rPr>
        <w:t>the estimated liability associated with the Company’s oil and natural gas properties is recorded in the consolidated statement of operations.</w:t>
      </w:r>
    </w:p>
    <w:p>
      <w:pPr>
        <w:spacing w:after="0" w:line="195"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 recorded the following activity related to the asset retirement obligations:</w:t>
      </w:r>
    </w:p>
    <w:p>
      <w:pPr>
        <w:spacing w:after="0" w:line="273" w:lineRule="exact"/>
        <w:rPr>
          <w:sz w:val="20"/>
          <w:szCs w:val="20"/>
          <w:color w:val="auto"/>
        </w:rPr>
      </w:pPr>
    </w:p>
    <w:tbl>
      <w:tblPr>
        <w:tblLayout w:type="fixed"/>
        <w:tblInd w:w="340" w:type="dxa"/>
        <w:tblCellMar>
          <w:top w:w="0" w:type="dxa"/>
          <w:left w:w="0" w:type="dxa"/>
          <w:bottom w:w="0" w:type="dxa"/>
          <w:right w:w="0" w:type="dxa"/>
        </w:tblCellMar>
      </w:tblPr>
      <w:tr>
        <w:trPr>
          <w:trHeight w:val="233"/>
        </w:trPr>
        <w:tc>
          <w:tcPr>
            <w:tcW w:w="5820" w:type="dxa"/>
            <w:vAlign w:val="bottom"/>
            <w:vMerge w:val="restart"/>
          </w:tcPr>
          <w:p>
            <w:pPr>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2540" w:type="dxa"/>
            <w:vAlign w:val="bottom"/>
          </w:tcPr>
          <w:p>
            <w:pPr>
              <w:spacing w:after="0"/>
              <w:rPr>
                <w:sz w:val="20"/>
                <w:szCs w:val="20"/>
                <w:color w:val="auto"/>
              </w:rPr>
            </w:pPr>
          </w:p>
        </w:tc>
        <w:tc>
          <w:tcPr>
            <w:tcW w:w="1720" w:type="dxa"/>
            <w:vAlign w:val="bottom"/>
          </w:tcPr>
          <w:p>
            <w:pPr>
              <w:jc w:val="right"/>
              <w:ind w:right="826"/>
              <w:spacing w:after="0"/>
              <w:rPr>
                <w:sz w:val="20"/>
                <w:szCs w:val="20"/>
                <w:color w:val="auto"/>
              </w:rPr>
            </w:pPr>
            <w:r>
              <w:rPr>
                <w:rFonts w:ascii="Trebuchet MS" w:cs="Trebuchet MS" w:eastAsia="Trebuchet MS" w:hAnsi="Trebuchet MS"/>
                <w:sz w:val="19"/>
                <w:szCs w:val="19"/>
                <w:b w:val="1"/>
                <w:bCs w:val="1"/>
                <w:color w:val="auto"/>
              </w:rPr>
              <w:t>2020</w:t>
            </w:r>
          </w:p>
        </w:tc>
        <w:tc>
          <w:tcPr>
            <w:tcW w:w="0" w:type="dxa"/>
            <w:vAlign w:val="bottom"/>
          </w:tcPr>
          <w:p>
            <w:pPr>
              <w:spacing w:after="0"/>
              <w:rPr>
                <w:sz w:val="1"/>
                <w:szCs w:val="1"/>
                <w:color w:val="auto"/>
              </w:rPr>
            </w:pPr>
          </w:p>
        </w:tc>
      </w:tr>
      <w:tr>
        <w:trPr>
          <w:trHeight w:val="106"/>
        </w:trPr>
        <w:tc>
          <w:tcPr>
            <w:tcW w:w="5820" w:type="dxa"/>
            <w:vAlign w:val="bottom"/>
            <w:tcBorders>
              <w:bottom w:val="single" w:sz="8" w:color="auto"/>
            </w:tcBorders>
            <w:vMerge w:val="continue"/>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36"/>
        </w:trPr>
        <w:tc>
          <w:tcPr>
            <w:tcW w:w="5820" w:type="dxa"/>
            <w:vAlign w:val="bottom"/>
          </w:tcPr>
          <w:p>
            <w:pPr>
              <w:spacing w:after="0"/>
              <w:rPr>
                <w:sz w:val="20"/>
                <w:szCs w:val="20"/>
                <w:color w:val="auto"/>
              </w:rPr>
            </w:pPr>
            <w:r>
              <w:rPr>
                <w:rFonts w:ascii="Trebuchet MS" w:cs="Trebuchet MS" w:eastAsia="Trebuchet MS" w:hAnsi="Trebuchet MS"/>
                <w:sz w:val="19"/>
                <w:szCs w:val="19"/>
                <w:b w:val="1"/>
                <w:bCs w:val="1"/>
                <w:color w:val="auto"/>
              </w:rPr>
              <w:t>Liability for Asset Retirement Obligations,</w:t>
            </w:r>
          </w:p>
        </w:tc>
        <w:tc>
          <w:tcPr>
            <w:tcW w:w="2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20" w:type="dxa"/>
            <w:vAlign w:val="bottom"/>
          </w:tcPr>
          <w:p>
            <w:pPr>
              <w:ind w:left="260"/>
              <w:spacing w:after="0"/>
              <w:rPr>
                <w:sz w:val="20"/>
                <w:szCs w:val="20"/>
                <w:color w:val="auto"/>
              </w:rPr>
            </w:pPr>
            <w:r>
              <w:rPr>
                <w:rFonts w:ascii="Trebuchet MS" w:cs="Trebuchet MS" w:eastAsia="Trebuchet MS" w:hAnsi="Trebuchet MS"/>
                <w:sz w:val="19"/>
                <w:szCs w:val="19"/>
                <w:b w:val="1"/>
                <w:bCs w:val="1"/>
                <w:color w:val="auto"/>
              </w:rPr>
              <w:t>Beginning of Year</w:t>
            </w:r>
          </w:p>
        </w:tc>
        <w:tc>
          <w:tcPr>
            <w:tcW w:w="2540" w:type="dxa"/>
            <w:vAlign w:val="bottom"/>
          </w:tcPr>
          <w:p>
            <w:pPr>
              <w:jc w:val="right"/>
              <w:ind w:right="266"/>
              <w:spacing w:after="0"/>
              <w:rPr>
                <w:sz w:val="20"/>
                <w:szCs w:val="20"/>
                <w:color w:val="auto"/>
              </w:rPr>
            </w:pPr>
            <w:r>
              <w:rPr>
                <w:rFonts w:ascii="Trebuchet MS" w:cs="Trebuchet MS" w:eastAsia="Trebuchet MS" w:hAnsi="Trebuchet MS"/>
                <w:sz w:val="19"/>
                <w:szCs w:val="19"/>
                <w:color w:val="auto"/>
              </w:rPr>
              <w:t>$</w:t>
            </w:r>
          </w:p>
        </w:tc>
        <w:tc>
          <w:tcPr>
            <w:tcW w:w="17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5,483,910</w:t>
            </w:r>
          </w:p>
        </w:tc>
        <w:tc>
          <w:tcPr>
            <w:tcW w:w="0" w:type="dxa"/>
            <w:vAlign w:val="bottom"/>
          </w:tcPr>
          <w:p>
            <w:pPr>
              <w:spacing w:after="0"/>
              <w:rPr>
                <w:sz w:val="1"/>
                <w:szCs w:val="1"/>
                <w:color w:val="auto"/>
              </w:rPr>
            </w:pPr>
          </w:p>
        </w:tc>
      </w:tr>
      <w:tr>
        <w:trPr>
          <w:trHeight w:val="403"/>
        </w:trPr>
        <w:tc>
          <w:tcPr>
            <w:tcW w:w="5820" w:type="dxa"/>
            <w:vAlign w:val="bottom"/>
          </w:tcPr>
          <w:p>
            <w:pPr>
              <w:ind w:left="500"/>
              <w:spacing w:after="0"/>
              <w:rPr>
                <w:sz w:val="20"/>
                <w:szCs w:val="20"/>
                <w:color w:val="auto"/>
              </w:rPr>
            </w:pPr>
            <w:r>
              <w:rPr>
                <w:rFonts w:ascii="Trebuchet MS" w:cs="Trebuchet MS" w:eastAsia="Trebuchet MS" w:hAnsi="Trebuchet MS"/>
                <w:sz w:val="19"/>
                <w:szCs w:val="19"/>
                <w:color w:val="auto"/>
              </w:rPr>
              <w:t>Accretion expense</w:t>
            </w:r>
          </w:p>
        </w:tc>
        <w:tc>
          <w:tcPr>
            <w:tcW w:w="2540" w:type="dxa"/>
            <w:vAlign w:val="bottom"/>
          </w:tcPr>
          <w:p>
            <w:pPr>
              <w:spacing w:after="0"/>
              <w:rPr>
                <w:sz w:val="24"/>
                <w:szCs w:val="24"/>
                <w:color w:val="auto"/>
              </w:rPr>
            </w:pPr>
          </w:p>
        </w:tc>
        <w:tc>
          <w:tcPr>
            <w:tcW w:w="17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576,665</w:t>
            </w:r>
          </w:p>
        </w:tc>
        <w:tc>
          <w:tcPr>
            <w:tcW w:w="0" w:type="dxa"/>
            <w:vAlign w:val="bottom"/>
          </w:tcPr>
          <w:p>
            <w:pPr>
              <w:spacing w:after="0"/>
              <w:rPr>
                <w:sz w:val="1"/>
                <w:szCs w:val="1"/>
                <w:color w:val="auto"/>
              </w:rPr>
            </w:pPr>
          </w:p>
        </w:tc>
      </w:tr>
      <w:tr>
        <w:trPr>
          <w:trHeight w:val="405"/>
        </w:trPr>
        <w:tc>
          <w:tcPr>
            <w:tcW w:w="5820" w:type="dxa"/>
            <w:vAlign w:val="bottom"/>
          </w:tcPr>
          <w:p>
            <w:pPr>
              <w:ind w:left="500"/>
              <w:spacing w:after="0"/>
              <w:rPr>
                <w:sz w:val="20"/>
                <w:szCs w:val="20"/>
                <w:color w:val="auto"/>
              </w:rPr>
            </w:pPr>
            <w:r>
              <w:rPr>
                <w:rFonts w:ascii="Trebuchet MS" w:cs="Trebuchet MS" w:eastAsia="Trebuchet MS" w:hAnsi="Trebuchet MS"/>
                <w:sz w:val="19"/>
                <w:szCs w:val="19"/>
                <w:color w:val="auto"/>
              </w:rPr>
              <w:t>Additions</w:t>
            </w:r>
          </w:p>
        </w:tc>
        <w:tc>
          <w:tcPr>
            <w:tcW w:w="2540" w:type="dxa"/>
            <w:vAlign w:val="bottom"/>
          </w:tcPr>
          <w:p>
            <w:pPr>
              <w:spacing w:after="0"/>
              <w:rPr>
                <w:sz w:val="24"/>
                <w:szCs w:val="24"/>
                <w:color w:val="auto"/>
              </w:rPr>
            </w:pPr>
          </w:p>
        </w:tc>
        <w:tc>
          <w:tcPr>
            <w:tcW w:w="17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124,960</w:t>
            </w:r>
          </w:p>
        </w:tc>
        <w:tc>
          <w:tcPr>
            <w:tcW w:w="0" w:type="dxa"/>
            <w:vAlign w:val="bottom"/>
          </w:tcPr>
          <w:p>
            <w:pPr>
              <w:spacing w:after="0"/>
              <w:rPr>
                <w:sz w:val="1"/>
                <w:szCs w:val="1"/>
                <w:color w:val="auto"/>
              </w:rPr>
            </w:pPr>
          </w:p>
        </w:tc>
      </w:tr>
      <w:tr>
        <w:trPr>
          <w:trHeight w:val="229"/>
        </w:trPr>
        <w:tc>
          <w:tcPr>
            <w:tcW w:w="5820" w:type="dxa"/>
            <w:vAlign w:val="bottom"/>
          </w:tcPr>
          <w:p>
            <w:pPr>
              <w:ind w:left="500"/>
              <w:spacing w:after="0"/>
              <w:rPr>
                <w:sz w:val="20"/>
                <w:szCs w:val="20"/>
                <w:color w:val="auto"/>
              </w:rPr>
            </w:pPr>
            <w:r>
              <w:rPr>
                <w:rFonts w:ascii="Trebuchet MS" w:cs="Trebuchet MS" w:eastAsia="Trebuchet MS" w:hAnsi="Trebuchet MS"/>
                <w:sz w:val="19"/>
                <w:szCs w:val="19"/>
                <w:color w:val="auto"/>
              </w:rPr>
              <w:t>Obligations for wells sold</w:t>
            </w:r>
          </w:p>
        </w:tc>
        <w:tc>
          <w:tcPr>
            <w:tcW w:w="2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rebuchet MS" w:cs="Trebuchet MS" w:eastAsia="Trebuchet MS" w:hAnsi="Trebuchet MS"/>
                <w:sz w:val="19"/>
                <w:szCs w:val="19"/>
                <w:color w:val="auto"/>
              </w:rPr>
              <w:t>(432,932 )</w:t>
            </w:r>
          </w:p>
        </w:tc>
        <w:tc>
          <w:tcPr>
            <w:tcW w:w="0" w:type="dxa"/>
            <w:vAlign w:val="bottom"/>
          </w:tcPr>
          <w:p>
            <w:pPr>
              <w:spacing w:after="0"/>
              <w:rPr>
                <w:sz w:val="1"/>
                <w:szCs w:val="1"/>
                <w:color w:val="auto"/>
              </w:rPr>
            </w:pPr>
          </w:p>
        </w:tc>
      </w:tr>
      <w:tr>
        <w:trPr>
          <w:trHeight w:val="230"/>
        </w:trPr>
        <w:tc>
          <w:tcPr>
            <w:tcW w:w="5820" w:type="dxa"/>
            <w:vAlign w:val="bottom"/>
          </w:tcPr>
          <w:p>
            <w:pPr>
              <w:ind w:left="500"/>
              <w:spacing w:after="0"/>
              <w:rPr>
                <w:sz w:val="20"/>
                <w:szCs w:val="20"/>
                <w:color w:val="auto"/>
              </w:rPr>
            </w:pPr>
            <w:r>
              <w:rPr>
                <w:rFonts w:ascii="Trebuchet MS" w:cs="Trebuchet MS" w:eastAsia="Trebuchet MS" w:hAnsi="Trebuchet MS"/>
                <w:sz w:val="19"/>
                <w:szCs w:val="19"/>
                <w:color w:val="auto"/>
              </w:rPr>
              <w:t>Settlements</w:t>
            </w:r>
          </w:p>
        </w:tc>
        <w:tc>
          <w:tcPr>
            <w:tcW w:w="2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rebuchet MS" w:cs="Trebuchet MS" w:eastAsia="Trebuchet MS" w:hAnsi="Trebuchet MS"/>
                <w:sz w:val="19"/>
                <w:szCs w:val="19"/>
                <w:color w:val="auto"/>
              </w:rPr>
              <w:t>(664,473 )</w:t>
            </w:r>
          </w:p>
        </w:tc>
        <w:tc>
          <w:tcPr>
            <w:tcW w:w="0" w:type="dxa"/>
            <w:vAlign w:val="bottom"/>
          </w:tcPr>
          <w:p>
            <w:pPr>
              <w:spacing w:after="0"/>
              <w:rPr>
                <w:sz w:val="1"/>
                <w:szCs w:val="1"/>
                <w:color w:val="auto"/>
              </w:rPr>
            </w:pPr>
          </w:p>
        </w:tc>
      </w:tr>
      <w:tr>
        <w:trPr>
          <w:trHeight w:val="421"/>
        </w:trPr>
        <w:tc>
          <w:tcPr>
            <w:tcW w:w="5820" w:type="dxa"/>
            <w:vAlign w:val="bottom"/>
            <w:tcBorders>
              <w:bottom w:val="single" w:sz="8" w:color="auto"/>
            </w:tcBorders>
          </w:tcPr>
          <w:p>
            <w:pPr>
              <w:ind w:left="500"/>
              <w:spacing w:after="0"/>
              <w:rPr>
                <w:sz w:val="20"/>
                <w:szCs w:val="20"/>
                <w:color w:val="auto"/>
              </w:rPr>
            </w:pPr>
            <w:r>
              <w:rPr>
                <w:rFonts w:ascii="Trebuchet MS" w:cs="Trebuchet MS" w:eastAsia="Trebuchet MS" w:hAnsi="Trebuchet MS"/>
                <w:sz w:val="19"/>
                <w:szCs w:val="19"/>
                <w:color w:val="auto"/>
              </w:rPr>
              <w:t>Changes in estimates</w:t>
            </w:r>
          </w:p>
        </w:tc>
        <w:tc>
          <w:tcPr>
            <w:tcW w:w="25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642,891</w:t>
            </w:r>
          </w:p>
        </w:tc>
        <w:tc>
          <w:tcPr>
            <w:tcW w:w="0" w:type="dxa"/>
            <w:vAlign w:val="bottom"/>
          </w:tcPr>
          <w:p>
            <w:pPr>
              <w:spacing w:after="0"/>
              <w:rPr>
                <w:sz w:val="1"/>
                <w:szCs w:val="1"/>
                <w:color w:val="auto"/>
              </w:rPr>
            </w:pPr>
          </w:p>
        </w:tc>
      </w:tr>
      <w:tr>
        <w:trPr>
          <w:trHeight w:val="313"/>
        </w:trPr>
        <w:tc>
          <w:tcPr>
            <w:tcW w:w="5820" w:type="dxa"/>
            <w:vAlign w:val="bottom"/>
          </w:tcPr>
          <w:p>
            <w:pPr>
              <w:spacing w:after="0"/>
              <w:rPr>
                <w:sz w:val="20"/>
                <w:szCs w:val="20"/>
                <w:color w:val="auto"/>
              </w:rPr>
            </w:pPr>
            <w:r>
              <w:rPr>
                <w:rFonts w:ascii="Trebuchet MS" w:cs="Trebuchet MS" w:eastAsia="Trebuchet MS" w:hAnsi="Trebuchet MS"/>
                <w:sz w:val="19"/>
                <w:szCs w:val="19"/>
                <w:b w:val="1"/>
                <w:bCs w:val="1"/>
                <w:color w:val="auto"/>
              </w:rPr>
              <w:t>Liability for Asset Retirement Obligations,</w:t>
            </w:r>
          </w:p>
        </w:tc>
        <w:tc>
          <w:tcPr>
            <w:tcW w:w="2540" w:type="dxa"/>
            <w:vAlign w:val="bottom"/>
          </w:tcPr>
          <w:p>
            <w:pPr>
              <w:spacing w:after="0"/>
              <w:rPr>
                <w:sz w:val="24"/>
                <w:szCs w:val="24"/>
                <w:color w:val="auto"/>
              </w:rPr>
            </w:pPr>
          </w:p>
        </w:tc>
        <w:tc>
          <w:tcPr>
            <w:tcW w:w="1720" w:type="dxa"/>
            <w:vAlign w:val="bottom"/>
            <w:vMerge w:val="restart"/>
          </w:tcPr>
          <w:p>
            <w:pPr>
              <w:jc w:val="right"/>
              <w:ind w:right="26"/>
              <w:spacing w:after="0"/>
              <w:rPr>
                <w:sz w:val="20"/>
                <w:szCs w:val="20"/>
                <w:color w:val="auto"/>
              </w:rPr>
            </w:pPr>
            <w:r>
              <w:rPr>
                <w:rFonts w:ascii="Trebuchet MS" w:cs="Trebuchet MS" w:eastAsia="Trebuchet MS" w:hAnsi="Trebuchet MS"/>
                <w:sz w:val="19"/>
                <w:szCs w:val="19"/>
                <w:color w:val="auto"/>
              </w:rPr>
              <w:t>5,731,021</w:t>
            </w:r>
          </w:p>
        </w:tc>
        <w:tc>
          <w:tcPr>
            <w:tcW w:w="0" w:type="dxa"/>
            <w:vAlign w:val="bottom"/>
          </w:tcPr>
          <w:p>
            <w:pPr>
              <w:spacing w:after="0"/>
              <w:rPr>
                <w:sz w:val="1"/>
                <w:szCs w:val="1"/>
                <w:color w:val="auto"/>
              </w:rPr>
            </w:pPr>
          </w:p>
        </w:tc>
      </w:tr>
      <w:tr>
        <w:trPr>
          <w:trHeight w:val="233"/>
        </w:trPr>
        <w:tc>
          <w:tcPr>
            <w:tcW w:w="5820" w:type="dxa"/>
            <w:vAlign w:val="bottom"/>
          </w:tcPr>
          <w:p>
            <w:pPr>
              <w:ind w:left="180"/>
              <w:spacing w:after="0"/>
              <w:rPr>
                <w:sz w:val="20"/>
                <w:szCs w:val="20"/>
                <w:color w:val="auto"/>
              </w:rPr>
            </w:pPr>
            <w:r>
              <w:rPr>
                <w:rFonts w:ascii="Trebuchet MS" w:cs="Trebuchet MS" w:eastAsia="Trebuchet MS" w:hAnsi="Trebuchet MS"/>
                <w:sz w:val="19"/>
                <w:szCs w:val="19"/>
                <w:b w:val="1"/>
                <w:bCs w:val="1"/>
                <w:color w:val="auto"/>
              </w:rPr>
              <w:t>End of Year</w:t>
            </w:r>
          </w:p>
        </w:tc>
        <w:tc>
          <w:tcPr>
            <w:tcW w:w="254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1"/>
        </w:trPr>
        <w:tc>
          <w:tcPr>
            <w:tcW w:w="582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Less: Current asset retirement obligations</w:t>
            </w:r>
          </w:p>
        </w:tc>
        <w:tc>
          <w:tcPr>
            <w:tcW w:w="25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903,228</w:t>
            </w:r>
          </w:p>
        </w:tc>
        <w:tc>
          <w:tcPr>
            <w:tcW w:w="0" w:type="dxa"/>
            <w:vAlign w:val="bottom"/>
          </w:tcPr>
          <w:p>
            <w:pPr>
              <w:spacing w:after="0"/>
              <w:rPr>
                <w:sz w:val="1"/>
                <w:szCs w:val="1"/>
                <w:color w:val="auto"/>
              </w:rPr>
            </w:pPr>
          </w:p>
        </w:tc>
      </w:tr>
      <w:tr>
        <w:trPr>
          <w:trHeight w:val="368"/>
        </w:trPr>
        <w:tc>
          <w:tcPr>
            <w:tcW w:w="582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Long-Term Asset Retirement Obligations</w:t>
            </w:r>
          </w:p>
        </w:tc>
        <w:tc>
          <w:tcPr>
            <w:tcW w:w="2540" w:type="dxa"/>
            <w:vAlign w:val="bottom"/>
            <w:tcBorders>
              <w:bottom w:val="single" w:sz="8" w:color="auto"/>
            </w:tcBorders>
          </w:tcPr>
          <w:p>
            <w:pPr>
              <w:jc w:val="right"/>
              <w:ind w:right="266"/>
              <w:spacing w:after="0"/>
              <w:rPr>
                <w:sz w:val="20"/>
                <w:szCs w:val="20"/>
                <w:color w:val="auto"/>
              </w:rPr>
            </w:pPr>
            <w:r>
              <w:rPr>
                <w:rFonts w:ascii="Trebuchet MS" w:cs="Trebuchet MS" w:eastAsia="Trebuchet MS" w:hAnsi="Trebuchet MS"/>
                <w:sz w:val="19"/>
                <w:szCs w:val="19"/>
                <w:color w:val="auto"/>
              </w:rPr>
              <w:t>$</w:t>
            </w:r>
          </w:p>
        </w:tc>
        <w:tc>
          <w:tcPr>
            <w:tcW w:w="17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4,827,793</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Revenue Recognition</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Oil and natural gas sales are recognized when production is sold to a purchaser at a fixed or determinable price, delivery has occurred, title has transferred, and collectability of the revenue is probable. Delivery occurs and title is transferred when production has been delivered to a pipeline, railcar or truck. The sales method of accounting is used for oil and natural gas sales such that revenues are recognized based on the Company’s share of actual proceeds from the oil and natural gas sold to purchasers. Oil and natural gas imbalances are generated on properties for which two or more owners have the right to take production “in-kind” and, in doing so take more or less than their respective entitled percentage. As of September 30, 2020, there were no significant oil and natural gas imbalances.</w:t>
      </w:r>
    </w:p>
    <w:p>
      <w:pPr>
        <w:spacing w:after="0" w:line="20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Income Taxes</w:t>
      </w:r>
    </w:p>
    <w:p>
      <w:pPr>
        <w:spacing w:after="0" w:line="107"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Fayette and Service are disregarded subsidiaries of Holdings. As Holdings has elected to be classified as a corporation, a tax provision has been calculated for the year ended September 30, 2020.</w:t>
      </w:r>
    </w:p>
    <w:p>
      <w:pPr>
        <w:spacing w:after="0" w:line="2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benefit for income taxes differs from the amount computed by applying the statutory federal income tax rate to loss before provision for income taxes. For the year ended September 30, 2020, the Company had a benefit for income taxes of $12.5 million, which was completely offset by a valuation allowance. The significant differences between pre-tax book income and taxable book income relate to non-deductible expenses, state income taxes, change in valuation allowance, and other adjustments to deferred tax balances.</w:t>
      </w:r>
    </w:p>
    <w:p>
      <w:pPr>
        <w:spacing w:after="0" w:line="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9" w:name="page160"/>
    <w:bookmarkEnd w:id="159"/>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00" w:type="dxa"/>
            <w:vAlign w:val="bottom"/>
            <w:gridSpan w:val="2"/>
          </w:tcPr>
          <w:p>
            <w:pPr>
              <w:spacing w:after="0"/>
              <w:rPr>
                <w:sz w:val="20"/>
                <w:szCs w:val="20"/>
                <w:color w:val="auto"/>
              </w:rPr>
            </w:pPr>
            <w:r>
              <w:rPr>
                <w:rFonts w:ascii="Trebuchet MS" w:cs="Trebuchet MS" w:eastAsia="Trebuchet MS" w:hAnsi="Trebuchet MS"/>
                <w:sz w:val="19"/>
                <w:szCs w:val="19"/>
                <w:color w:val="auto"/>
              </w:rPr>
              <w:t>The sources and tax effects of the differences are as follows:</w:t>
            </w:r>
          </w:p>
        </w:tc>
        <w:tc>
          <w:tcPr>
            <w:tcW w:w="17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620"/>
        </w:trPr>
        <w:tc>
          <w:tcPr>
            <w:tcW w:w="340" w:type="dxa"/>
            <w:vAlign w:val="bottom"/>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1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786"/>
              <w:spacing w:after="0"/>
              <w:rPr>
                <w:sz w:val="20"/>
                <w:szCs w:val="20"/>
                <w:color w:val="auto"/>
              </w:rPr>
            </w:pPr>
            <w:r>
              <w:rPr>
                <w:rFonts w:ascii="Trebuchet MS" w:cs="Trebuchet MS" w:eastAsia="Trebuchet MS" w:hAnsi="Trebuchet MS"/>
                <w:sz w:val="19"/>
                <w:szCs w:val="19"/>
                <w:b w:val="1"/>
                <w:bCs w:val="1"/>
                <w:color w:val="auto"/>
              </w:rPr>
              <w:t>2020</w:t>
            </w:r>
          </w:p>
        </w:tc>
      </w:tr>
      <w:tr>
        <w:trPr>
          <w:trHeight w:val="358"/>
        </w:trPr>
        <w:tc>
          <w:tcPr>
            <w:tcW w:w="3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rebuchet MS" w:cs="Trebuchet MS" w:eastAsia="Trebuchet MS" w:hAnsi="Trebuchet MS"/>
                <w:sz w:val="19"/>
                <w:szCs w:val="19"/>
                <w:color w:val="auto"/>
              </w:rPr>
              <w:t>Income tax benefit at the federal statutory rate (21%)</w:t>
            </w:r>
          </w:p>
        </w:tc>
        <w:tc>
          <w:tcPr>
            <w:tcW w:w="1720" w:type="dxa"/>
            <w:vAlign w:val="bottom"/>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60" w:type="dxa"/>
            <w:vAlign w:val="bottom"/>
          </w:tcPr>
          <w:p>
            <w:pPr>
              <w:jc w:val="right"/>
              <w:spacing w:after="0"/>
              <w:rPr>
                <w:sz w:val="20"/>
                <w:szCs w:val="20"/>
                <w:color w:val="auto"/>
              </w:rPr>
            </w:pPr>
            <w:r>
              <w:rPr>
                <w:rFonts w:ascii="Trebuchet MS" w:cs="Trebuchet MS" w:eastAsia="Trebuchet MS" w:hAnsi="Trebuchet MS"/>
                <w:sz w:val="19"/>
                <w:szCs w:val="19"/>
                <w:color w:val="auto"/>
              </w:rPr>
              <w:t>(9,519,026 )</w:t>
            </w:r>
          </w:p>
        </w:tc>
      </w:tr>
      <w:tr>
        <w:trPr>
          <w:trHeight w:val="230"/>
        </w:trPr>
        <w:tc>
          <w:tcPr>
            <w:tcW w:w="3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rebuchet MS" w:cs="Trebuchet MS" w:eastAsia="Trebuchet MS" w:hAnsi="Trebuchet MS"/>
                <w:sz w:val="19"/>
                <w:szCs w:val="19"/>
                <w:color w:val="auto"/>
              </w:rPr>
              <w:t>Return to provision adjustments</w:t>
            </w:r>
          </w:p>
        </w:tc>
        <w:tc>
          <w:tcPr>
            <w:tcW w:w="17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rebuchet MS" w:cs="Trebuchet MS" w:eastAsia="Trebuchet MS" w:hAnsi="Trebuchet MS"/>
                <w:sz w:val="19"/>
                <w:szCs w:val="19"/>
                <w:color w:val="auto"/>
              </w:rPr>
              <w:t>(1,213,195 )</w:t>
            </w:r>
          </w:p>
        </w:tc>
      </w:tr>
      <w:tr>
        <w:trPr>
          <w:trHeight w:val="229"/>
        </w:trPr>
        <w:tc>
          <w:tcPr>
            <w:tcW w:w="34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rebuchet MS" w:cs="Trebuchet MS" w:eastAsia="Trebuchet MS" w:hAnsi="Trebuchet MS"/>
                <w:sz w:val="19"/>
                <w:szCs w:val="19"/>
                <w:color w:val="auto"/>
              </w:rPr>
              <w:t>State income tax expense, net of federal benefit</w:t>
            </w:r>
          </w:p>
        </w:tc>
        <w:tc>
          <w:tcPr>
            <w:tcW w:w="17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rebuchet MS" w:cs="Trebuchet MS" w:eastAsia="Trebuchet MS" w:hAnsi="Trebuchet MS"/>
                <w:sz w:val="19"/>
                <w:szCs w:val="19"/>
                <w:color w:val="auto"/>
              </w:rPr>
              <w:t>(1,793,866 )</w:t>
            </w:r>
          </w:p>
        </w:tc>
      </w:tr>
      <w:tr>
        <w:trPr>
          <w:trHeight w:val="405"/>
        </w:trPr>
        <w:tc>
          <w:tcPr>
            <w:tcW w:w="34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Trebuchet MS" w:cs="Trebuchet MS" w:eastAsia="Trebuchet MS" w:hAnsi="Trebuchet MS"/>
                <w:sz w:val="19"/>
                <w:szCs w:val="19"/>
                <w:color w:val="auto"/>
              </w:rPr>
              <w:t>Other</w:t>
            </w:r>
          </w:p>
        </w:tc>
        <w:tc>
          <w:tcPr>
            <w:tcW w:w="1720" w:type="dxa"/>
            <w:vAlign w:val="bottom"/>
          </w:tcPr>
          <w:p>
            <w:pPr>
              <w:spacing w:after="0"/>
              <w:rPr>
                <w:sz w:val="24"/>
                <w:szCs w:val="24"/>
                <w:color w:val="auto"/>
              </w:rPr>
            </w:pPr>
          </w:p>
        </w:tc>
        <w:tc>
          <w:tcPr>
            <w:tcW w:w="166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12,671</w:t>
            </w:r>
          </w:p>
        </w:tc>
      </w:tr>
      <w:tr>
        <w:trPr>
          <w:trHeight w:val="418"/>
        </w:trPr>
        <w:tc>
          <w:tcPr>
            <w:tcW w:w="340" w:type="dxa"/>
            <w:vAlign w:val="bottom"/>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Change in valuation allowance</w:t>
            </w:r>
          </w:p>
        </w:tc>
        <w:tc>
          <w:tcPr>
            <w:tcW w:w="17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12,513,416</w:t>
            </w:r>
          </w:p>
        </w:tc>
      </w:tr>
      <w:tr>
        <w:trPr>
          <w:trHeight w:val="372"/>
        </w:trPr>
        <w:tc>
          <w:tcPr>
            <w:tcW w:w="340" w:type="dxa"/>
            <w:vAlign w:val="bottom"/>
          </w:tcPr>
          <w:p>
            <w:pPr>
              <w:spacing w:after="0"/>
              <w:rPr>
                <w:sz w:val="24"/>
                <w:szCs w:val="24"/>
                <w:color w:val="auto"/>
              </w:rPr>
            </w:pPr>
          </w:p>
        </w:tc>
        <w:tc>
          <w:tcPr>
            <w:tcW w:w="61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Income tax benefit</w:t>
            </w:r>
          </w:p>
        </w:tc>
        <w:tc>
          <w:tcPr>
            <w:tcW w:w="172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6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w:t>
            </w:r>
          </w:p>
        </w:tc>
      </w:tr>
    </w:tbl>
    <w:p>
      <w:pPr>
        <w:spacing w:after="0" w:line="201"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Company’s income tax provision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Significant components of the Company’s deferred tax assets and liabilities are as follows:</w:t>
      </w:r>
    </w:p>
    <w:p>
      <w:pPr>
        <w:spacing w:after="0" w:line="381" w:lineRule="exact"/>
        <w:rPr>
          <w:sz w:val="20"/>
          <w:szCs w:val="20"/>
          <w:color w:val="auto"/>
        </w:rPr>
      </w:pPr>
    </w:p>
    <w:tbl>
      <w:tblPr>
        <w:tblLayout w:type="fixed"/>
        <w:tblInd w:w="340" w:type="dxa"/>
        <w:tblCellMar>
          <w:top w:w="0" w:type="dxa"/>
          <w:left w:w="0" w:type="dxa"/>
          <w:bottom w:w="0" w:type="dxa"/>
          <w:right w:w="0" w:type="dxa"/>
        </w:tblCellMar>
      </w:tblPr>
      <w:tr>
        <w:trPr>
          <w:trHeight w:val="244"/>
        </w:trPr>
        <w:tc>
          <w:tcPr>
            <w:tcW w:w="60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18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86"/>
              <w:spacing w:after="0"/>
              <w:rPr>
                <w:sz w:val="20"/>
                <w:szCs w:val="20"/>
                <w:color w:val="auto"/>
              </w:rPr>
            </w:pPr>
            <w:r>
              <w:rPr>
                <w:rFonts w:ascii="Trebuchet MS" w:cs="Trebuchet MS" w:eastAsia="Trebuchet MS" w:hAnsi="Trebuchet MS"/>
                <w:sz w:val="19"/>
                <w:szCs w:val="19"/>
                <w:b w:val="1"/>
                <w:bCs w:val="1"/>
                <w:color w:val="auto"/>
              </w:rPr>
              <w:t>2020</w:t>
            </w:r>
          </w:p>
        </w:tc>
      </w:tr>
      <w:tr>
        <w:trPr>
          <w:trHeight w:val="534"/>
        </w:trPr>
        <w:tc>
          <w:tcPr>
            <w:tcW w:w="6080" w:type="dxa"/>
            <w:vAlign w:val="bottom"/>
          </w:tcPr>
          <w:p>
            <w:pPr>
              <w:spacing w:after="0"/>
              <w:rPr>
                <w:sz w:val="20"/>
                <w:szCs w:val="20"/>
                <w:color w:val="auto"/>
              </w:rPr>
            </w:pPr>
            <w:r>
              <w:rPr>
                <w:rFonts w:ascii="Trebuchet MS" w:cs="Trebuchet MS" w:eastAsia="Trebuchet MS" w:hAnsi="Trebuchet MS"/>
                <w:sz w:val="19"/>
                <w:szCs w:val="19"/>
                <w:color w:val="auto"/>
              </w:rPr>
              <w:t>Depreciable/depletable property, plant and equipment</w:t>
            </w:r>
          </w:p>
        </w:tc>
        <w:tc>
          <w:tcPr>
            <w:tcW w:w="1800" w:type="dxa"/>
            <w:vAlign w:val="bottom"/>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6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15,471,467</w:t>
            </w:r>
          </w:p>
        </w:tc>
      </w:tr>
      <w:tr>
        <w:trPr>
          <w:trHeight w:val="405"/>
        </w:trPr>
        <w:tc>
          <w:tcPr>
            <w:tcW w:w="6080" w:type="dxa"/>
            <w:vAlign w:val="bottom"/>
          </w:tcPr>
          <w:p>
            <w:pPr>
              <w:spacing w:after="0"/>
              <w:rPr>
                <w:sz w:val="20"/>
                <w:szCs w:val="20"/>
                <w:color w:val="auto"/>
              </w:rPr>
            </w:pPr>
            <w:r>
              <w:rPr>
                <w:rFonts w:ascii="Trebuchet MS" w:cs="Trebuchet MS" w:eastAsia="Trebuchet MS" w:hAnsi="Trebuchet MS"/>
                <w:sz w:val="19"/>
                <w:szCs w:val="19"/>
                <w:color w:val="auto"/>
              </w:rPr>
              <w:t>Asset retirement obligation</w:t>
            </w:r>
          </w:p>
        </w:tc>
        <w:tc>
          <w:tcPr>
            <w:tcW w:w="1800" w:type="dxa"/>
            <w:vAlign w:val="bottom"/>
          </w:tcPr>
          <w:p>
            <w:pPr>
              <w:spacing w:after="0"/>
              <w:rPr>
                <w:sz w:val="24"/>
                <w:szCs w:val="24"/>
                <w:color w:val="auto"/>
              </w:rPr>
            </w:pPr>
          </w:p>
        </w:tc>
        <w:tc>
          <w:tcPr>
            <w:tcW w:w="166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1,181,556</w:t>
            </w:r>
          </w:p>
        </w:tc>
      </w:tr>
      <w:tr>
        <w:trPr>
          <w:trHeight w:val="405"/>
        </w:trPr>
        <w:tc>
          <w:tcPr>
            <w:tcW w:w="6080" w:type="dxa"/>
            <w:vAlign w:val="bottom"/>
          </w:tcPr>
          <w:p>
            <w:pPr>
              <w:spacing w:after="0"/>
              <w:rPr>
                <w:sz w:val="20"/>
                <w:szCs w:val="20"/>
                <w:color w:val="auto"/>
              </w:rPr>
            </w:pPr>
            <w:r>
              <w:rPr>
                <w:rFonts w:ascii="Trebuchet MS" w:cs="Trebuchet MS" w:eastAsia="Trebuchet MS" w:hAnsi="Trebuchet MS"/>
                <w:sz w:val="19"/>
                <w:szCs w:val="19"/>
                <w:color w:val="auto"/>
              </w:rPr>
              <w:t>Derivative assets</w:t>
            </w:r>
          </w:p>
        </w:tc>
        <w:tc>
          <w:tcPr>
            <w:tcW w:w="1800" w:type="dxa"/>
            <w:vAlign w:val="bottom"/>
          </w:tcPr>
          <w:p>
            <w:pPr>
              <w:spacing w:after="0"/>
              <w:rPr>
                <w:sz w:val="24"/>
                <w:szCs w:val="24"/>
                <w:color w:val="auto"/>
              </w:rPr>
            </w:pPr>
          </w:p>
        </w:tc>
        <w:tc>
          <w:tcPr>
            <w:tcW w:w="166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606,481</w:t>
            </w:r>
          </w:p>
        </w:tc>
      </w:tr>
      <w:tr>
        <w:trPr>
          <w:trHeight w:val="405"/>
        </w:trPr>
        <w:tc>
          <w:tcPr>
            <w:tcW w:w="6080" w:type="dxa"/>
            <w:vAlign w:val="bottom"/>
          </w:tcPr>
          <w:p>
            <w:pPr>
              <w:spacing w:after="0"/>
              <w:rPr>
                <w:sz w:val="20"/>
                <w:szCs w:val="20"/>
                <w:color w:val="auto"/>
              </w:rPr>
            </w:pPr>
            <w:r>
              <w:rPr>
                <w:rFonts w:ascii="Trebuchet MS" w:cs="Trebuchet MS" w:eastAsia="Trebuchet MS" w:hAnsi="Trebuchet MS"/>
                <w:sz w:val="19"/>
                <w:szCs w:val="19"/>
                <w:color w:val="auto"/>
              </w:rPr>
              <w:t>Reserves and other</w:t>
            </w:r>
          </w:p>
        </w:tc>
        <w:tc>
          <w:tcPr>
            <w:tcW w:w="1800" w:type="dxa"/>
            <w:vAlign w:val="bottom"/>
          </w:tcPr>
          <w:p>
            <w:pPr>
              <w:spacing w:after="0"/>
              <w:rPr>
                <w:sz w:val="24"/>
                <w:szCs w:val="24"/>
                <w:color w:val="auto"/>
              </w:rPr>
            </w:pPr>
          </w:p>
        </w:tc>
        <w:tc>
          <w:tcPr>
            <w:tcW w:w="166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22,473</w:t>
            </w:r>
          </w:p>
        </w:tc>
      </w:tr>
      <w:tr>
        <w:trPr>
          <w:trHeight w:val="408"/>
        </w:trPr>
        <w:tc>
          <w:tcPr>
            <w:tcW w:w="60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Net operating loss carryforward</w:t>
            </w:r>
          </w:p>
        </w:tc>
        <w:tc>
          <w:tcPr>
            <w:tcW w:w="18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18,072,194</w:t>
            </w:r>
          </w:p>
        </w:tc>
      </w:tr>
      <w:tr>
        <w:trPr>
          <w:trHeight w:val="395"/>
        </w:trPr>
        <w:tc>
          <w:tcPr>
            <w:tcW w:w="6080" w:type="dxa"/>
            <w:vAlign w:val="bottom"/>
          </w:tcPr>
          <w:p>
            <w:pPr>
              <w:spacing w:after="0"/>
              <w:rPr>
                <w:sz w:val="20"/>
                <w:szCs w:val="20"/>
                <w:color w:val="auto"/>
              </w:rPr>
            </w:pPr>
            <w:r>
              <w:rPr>
                <w:rFonts w:ascii="Trebuchet MS" w:cs="Trebuchet MS" w:eastAsia="Trebuchet MS" w:hAnsi="Trebuchet MS"/>
                <w:sz w:val="19"/>
                <w:szCs w:val="19"/>
                <w:color w:val="auto"/>
              </w:rPr>
              <w:t>Total noncurrent deferred tax assets</w:t>
            </w:r>
          </w:p>
        </w:tc>
        <w:tc>
          <w:tcPr>
            <w:tcW w:w="1800" w:type="dxa"/>
            <w:vAlign w:val="bottom"/>
          </w:tcPr>
          <w:p>
            <w:pPr>
              <w:spacing w:after="0"/>
              <w:rPr>
                <w:sz w:val="24"/>
                <w:szCs w:val="24"/>
                <w:color w:val="auto"/>
              </w:rPr>
            </w:pPr>
          </w:p>
        </w:tc>
        <w:tc>
          <w:tcPr>
            <w:tcW w:w="166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35,354,171</w:t>
            </w:r>
          </w:p>
        </w:tc>
      </w:tr>
      <w:tr>
        <w:trPr>
          <w:trHeight w:val="233"/>
        </w:trPr>
        <w:tc>
          <w:tcPr>
            <w:tcW w:w="60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Valuation allowance</w:t>
            </w:r>
          </w:p>
        </w:tc>
        <w:tc>
          <w:tcPr>
            <w:tcW w:w="18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(35,354,171 )</w:t>
            </w:r>
          </w:p>
        </w:tc>
      </w:tr>
      <w:tr>
        <w:trPr>
          <w:trHeight w:val="368"/>
        </w:trPr>
        <w:tc>
          <w:tcPr>
            <w:tcW w:w="60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Net noncurrent deferred tax assets</w:t>
            </w:r>
          </w:p>
        </w:tc>
        <w:tc>
          <w:tcPr>
            <w:tcW w:w="180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6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w:t>
            </w:r>
          </w:p>
        </w:tc>
      </w:tr>
    </w:tbl>
    <w:p>
      <w:pPr>
        <w:spacing w:after="0" w:line="201"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As of September 30, 2020, the Company has a net operating loss carryforward of approximately $79 million for federal income tax reporting purposes. Of this amount, $31.4 million will begin to expire in 2034 and $47.6 million has an indefinite carryforward period. The 2018 Tax Cuts and Jobs Act changed the rules related to uses and limitations of net operating loss carryforwards created in tax years beginning after December 31, 2017. Based on the history of losses of the predecessor entity and the continued depression of oil and gas prices, the Company concluded it was not more likely than not that the net operating losses would be utilized; accordingly, a valuation allowance was recorded. In addition, the Company has generated a net operating loss carryforward for state income tax purposes, which the Company believes is not more likely than not to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213"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As of September 30, 2020, the Company recorded a valuation allowance of $35.4 million.</w:t>
      </w:r>
    </w:p>
    <w:p>
      <w:pPr>
        <w:spacing w:after="0" w:line="209" w:lineRule="exact"/>
        <w:rPr>
          <w:sz w:val="20"/>
          <w:szCs w:val="20"/>
          <w:color w:val="auto"/>
        </w:rPr>
      </w:pPr>
    </w:p>
    <w:p>
      <w:pPr>
        <w:jc w:val="both"/>
        <w:spacing w:after="0" w:line="242" w:lineRule="auto"/>
        <w:rPr>
          <w:sz w:val="20"/>
          <w:szCs w:val="20"/>
          <w:color w:val="auto"/>
        </w:rPr>
      </w:pPr>
      <w:r>
        <w:rPr>
          <w:rFonts w:ascii="Trebuchet MS" w:cs="Trebuchet MS" w:eastAsia="Trebuchet MS" w:hAnsi="Trebuchet MS"/>
          <w:sz w:val="19"/>
          <w:szCs w:val="19"/>
          <w:color w:val="auto"/>
        </w:rPr>
        <w:t>Each income tax position is assessed using a two-step process. A determination is first made as to whether it is more likely than not that the income tax position will be sustained, based upon</w:t>
      </w:r>
    </w:p>
    <w:p>
      <w:pPr>
        <w:spacing w:after="0" w:line="1"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0" w:name="page161"/>
    <w:bookmarkEnd w:id="160"/>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2" w:lineRule="exact"/>
        <w:rPr>
          <w:sz w:val="20"/>
          <w:szCs w:val="20"/>
          <w:color w:val="auto"/>
        </w:rPr>
      </w:pPr>
    </w:p>
    <w:p>
      <w:pPr>
        <w:jc w:val="both"/>
        <w:spacing w:after="0" w:line="244" w:lineRule="auto"/>
        <w:rPr>
          <w:sz w:val="20"/>
          <w:szCs w:val="20"/>
          <w:color w:val="auto"/>
        </w:rPr>
      </w:pPr>
      <w:r>
        <w:rPr>
          <w:rFonts w:ascii="Trebuchet MS" w:cs="Trebuchet MS" w:eastAsia="Trebuchet MS" w:hAnsi="Trebuchet MS"/>
          <w:sz w:val="19"/>
          <w:szCs w:val="19"/>
          <w:color w:val="auto"/>
        </w:rPr>
        <w:t>technical merits, upon examination by the taxing authorities. If the income tax position is expected to meet the more likely than not criteria, the benefit recorded in the consolidated financial statements equals the largest amount that is greater than 50 percent likely to be realized upon its ultimate settlement. The Company had no uncertain tax positions as of September 30, 2020.</w:t>
      </w:r>
    </w:p>
    <w:p>
      <w:pPr>
        <w:spacing w:after="0" w:line="205"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Company’s federal and state tax returns from its inception remain subject to examination by the applicable tax authorities.</w:t>
      </w:r>
    </w:p>
    <w:p>
      <w:pPr>
        <w:spacing w:after="0" w:line="192"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4.  Fair Value Measurements</w:t>
      </w:r>
    </w:p>
    <w:p>
      <w:pPr>
        <w:spacing w:after="0" w:line="115"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107" w:lineRule="exact"/>
        <w:rPr>
          <w:sz w:val="20"/>
          <w:szCs w:val="20"/>
          <w:color w:val="auto"/>
        </w:rPr>
      </w:pPr>
    </w:p>
    <w:p>
      <w:pPr>
        <w:jc w:val="both"/>
        <w:ind w:left="540" w:right="380"/>
        <w:spacing w:after="0" w:line="246" w:lineRule="auto"/>
        <w:rPr>
          <w:sz w:val="20"/>
          <w:szCs w:val="20"/>
          <w:color w:val="auto"/>
        </w:rPr>
      </w:pPr>
      <w:r>
        <w:rPr>
          <w:rFonts w:ascii="Trebuchet MS" w:cs="Trebuchet MS" w:eastAsia="Trebuchet MS" w:hAnsi="Trebuchet MS"/>
          <w:sz w:val="19"/>
          <w:szCs w:val="19"/>
          <w:b w:val="1"/>
          <w:bCs w:val="1"/>
          <w:color w:val="auto"/>
        </w:rPr>
        <w:t xml:space="preserve">Level 1 </w:t>
      </w:r>
      <w:r>
        <w:rPr>
          <w:rFonts w:ascii="Trebuchet MS" w:cs="Trebuchet MS" w:eastAsia="Trebuchet MS" w:hAnsi="Trebuchet MS"/>
          <w:sz w:val="19"/>
          <w:szCs w:val="19"/>
          <w:color w:val="auto"/>
        </w:rPr>
        <w:t>- inputs to the valuation methodology are quoted prices (unadjusted) for identical assets or liabilities in active</w:t>
      </w:r>
      <w:r>
        <w:rPr>
          <w:rFonts w:ascii="Trebuchet MS" w:cs="Trebuchet MS" w:eastAsia="Trebuchet MS" w:hAnsi="Trebuchet MS"/>
          <w:sz w:val="19"/>
          <w:szCs w:val="19"/>
          <w:b w:val="1"/>
          <w:bCs w:val="1"/>
          <w:color w:val="auto"/>
        </w:rPr>
        <w:t xml:space="preserve"> </w:t>
      </w:r>
      <w:r>
        <w:rPr>
          <w:rFonts w:ascii="Trebuchet MS" w:cs="Trebuchet MS" w:eastAsia="Trebuchet MS" w:hAnsi="Trebuchet MS"/>
          <w:sz w:val="19"/>
          <w:szCs w:val="19"/>
          <w:color w:val="auto"/>
        </w:rPr>
        <w:t>markets.</w:t>
      </w:r>
    </w:p>
    <w:p>
      <w:pPr>
        <w:spacing w:after="0" w:line="88" w:lineRule="exact"/>
        <w:rPr>
          <w:sz w:val="20"/>
          <w:szCs w:val="20"/>
          <w:color w:val="auto"/>
        </w:rPr>
      </w:pPr>
    </w:p>
    <w:p>
      <w:pPr>
        <w:jc w:val="both"/>
        <w:ind w:left="540" w:right="380"/>
        <w:spacing w:after="0"/>
        <w:rPr>
          <w:sz w:val="20"/>
          <w:szCs w:val="20"/>
          <w:color w:val="auto"/>
        </w:rPr>
      </w:pPr>
      <w:r>
        <w:rPr>
          <w:rFonts w:ascii="Trebuchet MS" w:cs="Trebuchet MS" w:eastAsia="Trebuchet MS" w:hAnsi="Trebuchet MS"/>
          <w:sz w:val="19"/>
          <w:szCs w:val="19"/>
          <w:b w:val="1"/>
          <w:bCs w:val="1"/>
          <w:color w:val="auto"/>
        </w:rPr>
        <w:t xml:space="preserve">Level 2 </w:t>
      </w:r>
      <w:r>
        <w:rPr>
          <w:rFonts w:ascii="Trebuchet MS" w:cs="Trebuchet MS" w:eastAsia="Trebuchet MS" w:hAnsi="Trebuchet MS"/>
          <w:sz w:val="19"/>
          <w:szCs w:val="19"/>
          <w:color w:val="auto"/>
        </w:rPr>
        <w:t>- inputs to the valuation methodology include quoted prices for similar assets and liabilities in active markets,</w:t>
      </w:r>
      <w:r>
        <w:rPr>
          <w:rFonts w:ascii="Trebuchet MS" w:cs="Trebuchet MS" w:eastAsia="Trebuchet MS" w:hAnsi="Trebuchet MS"/>
          <w:sz w:val="19"/>
          <w:szCs w:val="19"/>
          <w:b w:val="1"/>
          <w:bCs w:val="1"/>
          <w:color w:val="auto"/>
        </w:rPr>
        <w:t xml:space="preserve"> </w:t>
      </w:r>
      <w:r>
        <w:rPr>
          <w:rFonts w:ascii="Trebuchet MS" w:cs="Trebuchet MS" w:eastAsia="Trebuchet MS" w:hAnsi="Trebuchet MS"/>
          <w:sz w:val="19"/>
          <w:szCs w:val="19"/>
          <w:color w:val="auto"/>
        </w:rPr>
        <w:t>and inputs that are observable for the asset or liability, either directly or indirectly, for substantially the full term of the financial instrument.</w:t>
      </w:r>
    </w:p>
    <w:p>
      <w:pPr>
        <w:spacing w:after="0" w:line="94" w:lineRule="exact"/>
        <w:rPr>
          <w:sz w:val="20"/>
          <w:szCs w:val="20"/>
          <w:color w:val="auto"/>
        </w:rPr>
      </w:pPr>
    </w:p>
    <w:p>
      <w:pPr>
        <w:ind w:left="540"/>
        <w:spacing w:after="0"/>
        <w:rPr>
          <w:sz w:val="20"/>
          <w:szCs w:val="20"/>
          <w:color w:val="auto"/>
        </w:rPr>
      </w:pPr>
      <w:r>
        <w:rPr>
          <w:rFonts w:ascii="Trebuchet MS" w:cs="Trebuchet MS" w:eastAsia="Trebuchet MS" w:hAnsi="Trebuchet MS"/>
          <w:sz w:val="19"/>
          <w:szCs w:val="19"/>
          <w:b w:val="1"/>
          <w:bCs w:val="1"/>
          <w:color w:val="auto"/>
        </w:rPr>
        <w:t xml:space="preserve">Level 3 </w:t>
      </w:r>
      <w:r>
        <w:rPr>
          <w:rFonts w:ascii="Trebuchet MS" w:cs="Trebuchet MS" w:eastAsia="Trebuchet MS" w:hAnsi="Trebuchet MS"/>
          <w:sz w:val="19"/>
          <w:szCs w:val="19"/>
          <w:color w:val="auto"/>
        </w:rPr>
        <w:t>- inputs to the valuation methodology are unobservable and significant to the fair value measurement.</w:t>
      </w:r>
    </w:p>
    <w:p>
      <w:pPr>
        <w:spacing w:after="0" w:line="21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208"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The following table sets forth the assets and liabilities measured at fair value on a recurring basis, by level, as of September 30, 2020:</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ind w:right="86"/>
              <w:spacing w:after="0"/>
              <w:rPr>
                <w:sz w:val="20"/>
                <w:szCs w:val="20"/>
                <w:color w:val="auto"/>
              </w:rPr>
            </w:pPr>
            <w:r>
              <w:rPr>
                <w:rFonts w:ascii="Trebuchet MS" w:cs="Trebuchet MS" w:eastAsia="Trebuchet MS" w:hAnsi="Trebuchet MS"/>
                <w:sz w:val="19"/>
                <w:szCs w:val="19"/>
                <w:b w:val="1"/>
                <w:bCs w:val="1"/>
                <w:i w:val="1"/>
                <w:iCs w:val="1"/>
                <w:color w:val="auto"/>
                <w:w w:val="99"/>
              </w:rPr>
              <w:t>As of September 30, 2020</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406"/>
        </w:trPr>
        <w:tc>
          <w:tcPr>
            <w:tcW w:w="5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6"/>
              <w:spacing w:after="0"/>
              <w:rPr>
                <w:sz w:val="20"/>
                <w:szCs w:val="20"/>
                <w:color w:val="auto"/>
              </w:rPr>
            </w:pPr>
            <w:r>
              <w:rPr>
                <w:rFonts w:ascii="Trebuchet MS" w:cs="Trebuchet MS" w:eastAsia="Trebuchet MS" w:hAnsi="Trebuchet MS"/>
                <w:sz w:val="19"/>
                <w:szCs w:val="19"/>
                <w:b w:val="1"/>
                <w:bCs w:val="1"/>
                <w:color w:val="auto"/>
              </w:rPr>
              <w:t>Level 1</w:t>
            </w:r>
          </w:p>
        </w:tc>
        <w:tc>
          <w:tcPr>
            <w:tcW w:w="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6"/>
              <w:spacing w:after="0"/>
              <w:rPr>
                <w:sz w:val="20"/>
                <w:szCs w:val="20"/>
                <w:color w:val="auto"/>
              </w:rPr>
            </w:pPr>
            <w:r>
              <w:rPr>
                <w:rFonts w:ascii="Trebuchet MS" w:cs="Trebuchet MS" w:eastAsia="Trebuchet MS" w:hAnsi="Trebuchet MS"/>
                <w:sz w:val="19"/>
                <w:szCs w:val="19"/>
                <w:b w:val="1"/>
                <w:bCs w:val="1"/>
                <w:color w:val="auto"/>
              </w:rPr>
              <w:t>Level 2</w:t>
            </w:r>
          </w:p>
        </w:tc>
        <w:tc>
          <w:tcPr>
            <w:tcW w:w="1280" w:type="dxa"/>
            <w:vAlign w:val="bottom"/>
            <w:tcBorders>
              <w:bottom w:val="single" w:sz="8" w:color="auto"/>
            </w:tcBorders>
          </w:tcPr>
          <w:p>
            <w:pPr>
              <w:jc w:val="right"/>
              <w:ind w:right="46"/>
              <w:spacing w:after="0"/>
              <w:rPr>
                <w:sz w:val="20"/>
                <w:szCs w:val="20"/>
                <w:color w:val="auto"/>
              </w:rPr>
            </w:pPr>
            <w:r>
              <w:rPr>
                <w:rFonts w:ascii="Trebuchet MS" w:cs="Trebuchet MS" w:eastAsia="Trebuchet MS" w:hAnsi="Trebuchet MS"/>
                <w:sz w:val="19"/>
                <w:szCs w:val="19"/>
                <w:b w:val="1"/>
                <w:bCs w:val="1"/>
                <w:color w:val="auto"/>
              </w:rPr>
              <w:t>Level 3</w:t>
            </w:r>
          </w:p>
        </w:tc>
        <w:tc>
          <w:tcPr>
            <w:tcW w:w="7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6"/>
              <w:spacing w:after="0"/>
              <w:rPr>
                <w:sz w:val="20"/>
                <w:szCs w:val="20"/>
                <w:color w:val="auto"/>
              </w:rPr>
            </w:pPr>
            <w:r>
              <w:rPr>
                <w:rFonts w:ascii="Trebuchet MS" w:cs="Trebuchet MS" w:eastAsia="Trebuchet MS" w:hAnsi="Trebuchet MS"/>
                <w:sz w:val="19"/>
                <w:szCs w:val="19"/>
                <w:b w:val="1"/>
                <w:bCs w:val="1"/>
                <w:color w:val="auto"/>
              </w:rPr>
              <w:t>Total</w:t>
            </w:r>
          </w:p>
        </w:tc>
      </w:tr>
      <w:tr>
        <w:trPr>
          <w:trHeight w:val="817"/>
        </w:trPr>
        <w:tc>
          <w:tcPr>
            <w:tcW w:w="516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color w:val="auto"/>
              </w:rPr>
              <w:t>Derivative Liability (Commodity Contracts)</w:t>
            </w:r>
          </w:p>
        </w:tc>
        <w:tc>
          <w:tcPr>
            <w:tcW w:w="1180" w:type="dxa"/>
            <w:vAlign w:val="bottom"/>
            <w:tcBorders>
              <w:bottom w:val="single" w:sz="8" w:color="auto"/>
            </w:tcBorders>
          </w:tcPr>
          <w:p>
            <w:pPr>
              <w:jc w:val="right"/>
              <w:ind w:right="966"/>
              <w:spacing w:after="0"/>
              <w:rPr>
                <w:sz w:val="20"/>
                <w:szCs w:val="20"/>
                <w:color w:val="auto"/>
              </w:rPr>
            </w:pPr>
            <w:r>
              <w:rPr>
                <w:rFonts w:ascii="Trebuchet MS" w:cs="Trebuchet MS" w:eastAsia="Trebuchet MS" w:hAnsi="Trebuchet MS"/>
                <w:sz w:val="19"/>
                <w:szCs w:val="19"/>
                <w:color w:val="auto"/>
                <w:w w:val="99"/>
              </w:rPr>
              <w:t>$</w:t>
            </w:r>
          </w:p>
        </w:tc>
        <w:tc>
          <w:tcPr>
            <w:tcW w:w="6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   $</w:t>
            </w:r>
          </w:p>
        </w:tc>
        <w:tc>
          <w:tcPr>
            <w:tcW w:w="1220" w:type="dxa"/>
            <w:vAlign w:val="bottom"/>
            <w:tcBorders>
              <w:bottom w:val="single" w:sz="8" w:color="auto"/>
            </w:tcBorders>
          </w:tcPr>
          <w:p>
            <w:pPr>
              <w:jc w:val="right"/>
              <w:ind w:right="46"/>
              <w:spacing w:after="0"/>
              <w:rPr>
                <w:sz w:val="20"/>
                <w:szCs w:val="20"/>
                <w:color w:val="auto"/>
              </w:rPr>
            </w:pPr>
            <w:r>
              <w:rPr>
                <w:rFonts w:ascii="Trebuchet MS" w:cs="Trebuchet MS" w:eastAsia="Trebuchet MS" w:hAnsi="Trebuchet MS"/>
                <w:sz w:val="19"/>
                <w:szCs w:val="19"/>
                <w:color w:val="auto"/>
              </w:rPr>
              <w:t>537,157</w:t>
            </w:r>
          </w:p>
        </w:tc>
        <w:tc>
          <w:tcPr>
            <w:tcW w:w="1280" w:type="dxa"/>
            <w:vAlign w:val="bottom"/>
            <w:tcBorders>
              <w:bottom w:val="single" w:sz="8" w:color="auto"/>
            </w:tcBorders>
          </w:tcPr>
          <w:p>
            <w:pPr>
              <w:jc w:val="right"/>
              <w:ind w:right="946"/>
              <w:spacing w:after="0"/>
              <w:rPr>
                <w:sz w:val="20"/>
                <w:szCs w:val="20"/>
                <w:color w:val="auto"/>
              </w:rPr>
            </w:pPr>
            <w:r>
              <w:rPr>
                <w:rFonts w:ascii="Trebuchet MS" w:cs="Trebuchet MS" w:eastAsia="Trebuchet MS" w:hAnsi="Trebuchet MS"/>
                <w:sz w:val="19"/>
                <w:szCs w:val="19"/>
                <w:color w:val="auto"/>
              </w:rPr>
              <w:t>$</w:t>
            </w:r>
          </w:p>
        </w:tc>
        <w:tc>
          <w:tcPr>
            <w:tcW w:w="720" w:type="dxa"/>
            <w:vAlign w:val="bottom"/>
            <w:tcBorders>
              <w:bottom w:val="single" w:sz="8" w:color="auto"/>
            </w:tcBorders>
          </w:tcPr>
          <w:p>
            <w:pPr>
              <w:jc w:val="right"/>
              <w:ind w:right="46"/>
              <w:spacing w:after="0"/>
              <w:rPr>
                <w:sz w:val="20"/>
                <w:szCs w:val="20"/>
                <w:color w:val="auto"/>
              </w:rPr>
            </w:pPr>
            <w:r>
              <w:rPr>
                <w:rFonts w:ascii="Trebuchet MS" w:cs="Trebuchet MS" w:eastAsia="Trebuchet MS" w:hAnsi="Trebuchet MS"/>
                <w:sz w:val="19"/>
                <w:szCs w:val="19"/>
                <w:color w:val="auto"/>
              </w:rPr>
              <w:t>-   $</w:t>
            </w:r>
          </w:p>
        </w:tc>
        <w:tc>
          <w:tcPr>
            <w:tcW w:w="10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537,157</w:t>
            </w:r>
          </w:p>
        </w:tc>
      </w:tr>
    </w:tbl>
    <w:p>
      <w:pPr>
        <w:spacing w:after="0" w:line="201"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 market volatility, counterparty credit risk and additional criteria in determining discount rates. The 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207" w:lineRule="exact"/>
        <w:rPr>
          <w:sz w:val="20"/>
          <w:szCs w:val="20"/>
          <w:color w:val="auto"/>
        </w:rPr>
      </w:pPr>
    </w:p>
    <w:p>
      <w:pPr>
        <w:jc w:val="both"/>
        <w:spacing w:after="0" w:line="234" w:lineRule="auto"/>
        <w:rPr>
          <w:sz w:val="20"/>
          <w:szCs w:val="20"/>
          <w:color w:val="auto"/>
        </w:rPr>
      </w:pPr>
      <w:r>
        <w:rPr>
          <w:rFonts w:ascii="Trebuchet MS" w:cs="Trebuchet MS" w:eastAsia="Trebuchet MS" w:hAnsi="Trebuchet MS"/>
          <w:sz w:val="19"/>
          <w:szCs w:val="19"/>
          <w:color w:val="auto"/>
        </w:rPr>
        <w:t>At September 30, 2020, the carrying value of cash, restricted cash, receivables and payables reflected in the Company’s consolidated financial statements approximates fair value due to their short-term nature. The fair value of the Main Street Lending Program Loan approximates fair value due to the interest rate being reflective of market rates and the Paycheck Protection Program Loan is not material.</w:t>
      </w:r>
    </w:p>
    <w:p>
      <w:pPr>
        <w:spacing w:after="0" w:line="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1" w:name="page162"/>
    <w:bookmarkEnd w:id="161"/>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2"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Company’s non-financial assets and liabilities, which are initially measured at fair value, are comprised primarily of asset retirement obligations. These liabilities are recorded at fair value when acquired/incurred, but not re-measured at fair value in subsequent periods. The Company classifies such initial measurements as Level 3, since certain significant unobservable inputs are utilized in their determination. The fair value of additions to the asset retirement obligations and certain changes in the estimated fair value of the liabilities are measured using valuation techniques consistent with the income approach, converting future cash flows to a single discounted amount. Inputs to the valuation include: (1) estimated plug and abandonment cost based on a third-party study; (2) estimated remaining life of each field; (3) the Company’s credit-adjusted risk-free interest rate of 3.24%; and (4) the average inflation factor of 1.80%. These inputs require significant judgments and estimates by the Company’s management at the time of the valuation, and are the most sensitive and subject to change.</w:t>
      </w:r>
    </w:p>
    <w:p>
      <w:pPr>
        <w:spacing w:after="0" w:line="193"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5.  Derivative Contracts</w:t>
      </w:r>
    </w:p>
    <w:p>
      <w:pPr>
        <w:spacing w:after="0" w:line="129" w:lineRule="exact"/>
        <w:rPr>
          <w:sz w:val="20"/>
          <w:szCs w:val="20"/>
          <w:color w:val="auto"/>
        </w:rPr>
      </w:pPr>
    </w:p>
    <w:p>
      <w:pPr>
        <w:jc w:val="both"/>
        <w:spacing w:after="0" w:line="266" w:lineRule="auto"/>
        <w:rPr>
          <w:sz w:val="20"/>
          <w:szCs w:val="20"/>
          <w:color w:val="auto"/>
        </w:rPr>
      </w:pPr>
      <w:r>
        <w:rPr>
          <w:rFonts w:ascii="Trebuchet MS" w:cs="Trebuchet MS" w:eastAsia="Trebuchet MS" w:hAnsi="Trebuchet MS"/>
          <w:sz w:val="18"/>
          <w:szCs w:val="18"/>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185"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During 2020, the Company entered into certain derivative contracts to manage the impact of oil and natural gas price fluctuations and as required by the terms of its credit facility. The Company did not designate these transactions as hedges. Accordingly, all gains and losses on the derivative instruments during 2020 have been recorded in the consolidated statement of operations.</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Company’s derivative position at September 30, 2020, consisting of swaps, is shown in the following table: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46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ind w:left="340"/>
              <w:spacing w:after="0" w:line="196" w:lineRule="exact"/>
              <w:rPr>
                <w:sz w:val="20"/>
                <w:szCs w:val="20"/>
                <w:color w:val="auto"/>
              </w:rPr>
            </w:pPr>
            <w:r>
              <w:rPr>
                <w:rFonts w:ascii="Trebuchet MS" w:cs="Trebuchet MS" w:eastAsia="Trebuchet MS" w:hAnsi="Trebuchet MS"/>
                <w:sz w:val="19"/>
                <w:szCs w:val="19"/>
                <w:b w:val="1"/>
                <w:bCs w:val="1"/>
                <w:color w:val="auto"/>
              </w:rPr>
              <w:t>Notional</w:t>
            </w:r>
          </w:p>
        </w:tc>
        <w:tc>
          <w:tcPr>
            <w:tcW w:w="1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186"/>
              <w:spacing w:after="0" w:line="196" w:lineRule="exact"/>
              <w:rPr>
                <w:sz w:val="20"/>
                <w:szCs w:val="20"/>
                <w:color w:val="auto"/>
              </w:rPr>
            </w:pPr>
            <w:r>
              <w:rPr>
                <w:rFonts w:ascii="Trebuchet MS" w:cs="Trebuchet MS" w:eastAsia="Trebuchet MS" w:hAnsi="Trebuchet MS"/>
                <w:sz w:val="19"/>
                <w:szCs w:val="19"/>
                <w:b w:val="1"/>
                <w:bCs w:val="1"/>
                <w:color w:val="auto"/>
                <w:w w:val="97"/>
              </w:rPr>
              <w:t>Average</w:t>
            </w:r>
          </w:p>
        </w:tc>
      </w:tr>
      <w:tr>
        <w:trPr>
          <w:trHeight w:val="244"/>
        </w:trPr>
        <w:tc>
          <w:tcPr>
            <w:tcW w:w="14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466"/>
              <w:spacing w:after="0"/>
              <w:rPr>
                <w:sz w:val="20"/>
                <w:szCs w:val="20"/>
                <w:color w:val="auto"/>
              </w:rPr>
            </w:pPr>
            <w:r>
              <w:rPr>
                <w:rFonts w:ascii="Trebuchet MS" w:cs="Trebuchet MS" w:eastAsia="Trebuchet MS" w:hAnsi="Trebuchet MS"/>
                <w:sz w:val="19"/>
                <w:szCs w:val="19"/>
                <w:b w:val="1"/>
                <w:bCs w:val="1"/>
                <w:color w:val="auto"/>
              </w:rPr>
              <w:t>Start Date</w:t>
            </w:r>
          </w:p>
        </w:tc>
        <w:tc>
          <w:tcPr>
            <w:tcW w:w="1460" w:type="dxa"/>
            <w:vAlign w:val="bottom"/>
            <w:tcBorders>
              <w:bottom w:val="single" w:sz="8" w:color="auto"/>
            </w:tcBorders>
          </w:tcPr>
          <w:p>
            <w:pPr>
              <w:jc w:val="right"/>
              <w:ind w:right="366"/>
              <w:spacing w:after="0"/>
              <w:rPr>
                <w:sz w:val="20"/>
                <w:szCs w:val="20"/>
                <w:color w:val="auto"/>
              </w:rPr>
            </w:pPr>
            <w:r>
              <w:rPr>
                <w:rFonts w:ascii="Trebuchet MS" w:cs="Trebuchet MS" w:eastAsia="Trebuchet MS" w:hAnsi="Trebuchet MS"/>
                <w:sz w:val="19"/>
                <w:szCs w:val="19"/>
                <w:b w:val="1"/>
                <w:bCs w:val="1"/>
                <w:color w:val="auto"/>
              </w:rPr>
              <w:t>End Date</w:t>
            </w:r>
          </w:p>
        </w:tc>
        <w:tc>
          <w:tcPr>
            <w:tcW w:w="1560" w:type="dxa"/>
            <w:vAlign w:val="bottom"/>
            <w:tcBorders>
              <w:bottom w:val="single" w:sz="8" w:color="auto"/>
            </w:tcBorders>
          </w:tcPr>
          <w:p>
            <w:pPr>
              <w:ind w:left="240"/>
              <w:spacing w:after="0"/>
              <w:rPr>
                <w:sz w:val="20"/>
                <w:szCs w:val="20"/>
                <w:color w:val="auto"/>
              </w:rPr>
            </w:pPr>
            <w:r>
              <w:rPr>
                <w:rFonts w:ascii="Trebuchet MS" w:cs="Trebuchet MS" w:eastAsia="Trebuchet MS" w:hAnsi="Trebuchet MS"/>
                <w:sz w:val="19"/>
                <w:szCs w:val="19"/>
                <w:b w:val="1"/>
                <w:bCs w:val="1"/>
                <w:color w:val="auto"/>
              </w:rPr>
              <w:t>Commodity</w:t>
            </w:r>
          </w:p>
        </w:tc>
        <w:tc>
          <w:tcPr>
            <w:tcW w:w="1740" w:type="dxa"/>
            <w:vAlign w:val="bottom"/>
            <w:tcBorders>
              <w:bottom w:val="single" w:sz="8" w:color="auto"/>
            </w:tcBorders>
          </w:tcPr>
          <w:p>
            <w:pPr>
              <w:ind w:left="340"/>
              <w:spacing w:after="0"/>
              <w:rPr>
                <w:sz w:val="20"/>
                <w:szCs w:val="20"/>
                <w:color w:val="auto"/>
              </w:rPr>
            </w:pPr>
            <w:r>
              <w:rPr>
                <w:rFonts w:ascii="Trebuchet MS" w:cs="Trebuchet MS" w:eastAsia="Trebuchet MS" w:hAnsi="Trebuchet MS"/>
                <w:sz w:val="19"/>
                <w:szCs w:val="19"/>
                <w:b w:val="1"/>
                <w:bCs w:val="1"/>
                <w:color w:val="auto"/>
              </w:rPr>
              <w:t>Quantity</w:t>
            </w:r>
          </w:p>
        </w:tc>
        <w:tc>
          <w:tcPr>
            <w:tcW w:w="1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206"/>
              <w:spacing w:after="0"/>
              <w:rPr>
                <w:sz w:val="20"/>
                <w:szCs w:val="20"/>
                <w:color w:val="auto"/>
              </w:rPr>
            </w:pPr>
            <w:r>
              <w:rPr>
                <w:rFonts w:ascii="Trebuchet MS" w:cs="Trebuchet MS" w:eastAsia="Trebuchet MS" w:hAnsi="Trebuchet MS"/>
                <w:sz w:val="19"/>
                <w:szCs w:val="19"/>
                <w:b w:val="1"/>
                <w:bCs w:val="1"/>
                <w:color w:val="auto"/>
              </w:rPr>
              <w:t>Strike Price</w:t>
            </w:r>
          </w:p>
        </w:tc>
      </w:tr>
      <w:tr>
        <w:trPr>
          <w:trHeight w:val="547"/>
        </w:trPr>
        <w:tc>
          <w:tcPr>
            <w:tcW w:w="146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b w:val="1"/>
                <w:bCs w:val="1"/>
                <w:color w:val="auto"/>
              </w:rPr>
              <w:t>Contract 1</w:t>
            </w:r>
          </w:p>
        </w:tc>
        <w:tc>
          <w:tcPr>
            <w:tcW w:w="1960" w:type="dxa"/>
            <w:vAlign w:val="bottom"/>
            <w:tcBorders>
              <w:bottom w:val="single" w:sz="8" w:color="auto"/>
            </w:tcBorders>
          </w:tcPr>
          <w:p>
            <w:pPr>
              <w:jc w:val="right"/>
              <w:ind w:right="126"/>
              <w:spacing w:after="0"/>
              <w:rPr>
                <w:sz w:val="20"/>
                <w:szCs w:val="20"/>
                <w:color w:val="auto"/>
              </w:rPr>
            </w:pPr>
            <w:r>
              <w:rPr>
                <w:rFonts w:ascii="Trebuchet MS" w:cs="Trebuchet MS" w:eastAsia="Trebuchet MS" w:hAnsi="Trebuchet MS"/>
                <w:sz w:val="19"/>
                <w:szCs w:val="19"/>
                <w:color w:val="auto"/>
              </w:rPr>
              <w:t>11/1/2020</w:t>
            </w:r>
          </w:p>
        </w:tc>
        <w:tc>
          <w:tcPr>
            <w:tcW w:w="146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3/31/2021</w:t>
            </w:r>
          </w:p>
        </w:tc>
        <w:tc>
          <w:tcPr>
            <w:tcW w:w="1560" w:type="dxa"/>
            <w:vAlign w:val="bottom"/>
            <w:tcBorders>
              <w:bottom w:val="single" w:sz="8" w:color="auto"/>
            </w:tcBorders>
          </w:tcPr>
          <w:p>
            <w:pPr>
              <w:ind w:left="80"/>
              <w:spacing w:after="0"/>
              <w:rPr>
                <w:sz w:val="20"/>
                <w:szCs w:val="20"/>
                <w:color w:val="auto"/>
              </w:rPr>
            </w:pPr>
            <w:r>
              <w:rPr>
                <w:rFonts w:ascii="Trebuchet MS" w:cs="Trebuchet MS" w:eastAsia="Trebuchet MS" w:hAnsi="Trebuchet MS"/>
                <w:sz w:val="19"/>
                <w:szCs w:val="19"/>
                <w:color w:val="auto"/>
              </w:rPr>
              <w:t>Natural Gas</w:t>
            </w:r>
          </w:p>
        </w:tc>
        <w:tc>
          <w:tcPr>
            <w:tcW w:w="1740" w:type="dxa"/>
            <w:vAlign w:val="bottom"/>
            <w:tcBorders>
              <w:bottom w:val="single" w:sz="8" w:color="auto"/>
            </w:tcBorders>
          </w:tcPr>
          <w:p>
            <w:pPr>
              <w:jc w:val="right"/>
              <w:ind w:right="206"/>
              <w:spacing w:after="0"/>
              <w:rPr>
                <w:sz w:val="20"/>
                <w:szCs w:val="20"/>
                <w:color w:val="auto"/>
              </w:rPr>
            </w:pPr>
            <w:r>
              <w:rPr>
                <w:rFonts w:ascii="Trebuchet MS" w:cs="Trebuchet MS" w:eastAsia="Trebuchet MS" w:hAnsi="Trebuchet MS"/>
                <w:sz w:val="19"/>
                <w:szCs w:val="19"/>
                <w:color w:val="auto"/>
              </w:rPr>
              <w:t>1,208,000</w:t>
            </w:r>
          </w:p>
        </w:tc>
        <w:tc>
          <w:tcPr>
            <w:tcW w:w="1180" w:type="dxa"/>
            <w:vAlign w:val="bottom"/>
            <w:tcBorders>
              <w:bottom w:val="single" w:sz="8" w:color="auto"/>
            </w:tcBorders>
          </w:tcPr>
          <w:p>
            <w:pPr>
              <w:ind w:left="320"/>
              <w:spacing w:after="0"/>
              <w:rPr>
                <w:sz w:val="20"/>
                <w:szCs w:val="20"/>
                <w:color w:val="auto"/>
              </w:rPr>
            </w:pPr>
            <w:r>
              <w:rPr>
                <w:rFonts w:ascii="Trebuchet MS" w:cs="Trebuchet MS" w:eastAsia="Trebuchet MS" w:hAnsi="Trebuchet MS"/>
                <w:sz w:val="19"/>
                <w:szCs w:val="19"/>
                <w:color w:val="auto"/>
              </w:rPr>
              <w:t>MMBTU</w:t>
            </w:r>
          </w:p>
        </w:tc>
        <w:tc>
          <w:tcPr>
            <w:tcW w:w="4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w:t>
            </w:r>
          </w:p>
        </w:tc>
        <w:tc>
          <w:tcPr>
            <w:tcW w:w="146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2.601</w:t>
            </w:r>
          </w:p>
        </w:tc>
      </w:tr>
    </w:tbl>
    <w:p>
      <w:pPr>
        <w:spacing w:after="0" w:line="201" w:lineRule="exact"/>
        <w:rPr>
          <w:sz w:val="20"/>
          <w:szCs w:val="20"/>
          <w:color w:val="auto"/>
        </w:rPr>
      </w:pPr>
    </w:p>
    <w:p>
      <w:pPr>
        <w:ind w:right="100"/>
        <w:spacing w:after="0"/>
        <w:rPr>
          <w:sz w:val="20"/>
          <w:szCs w:val="20"/>
          <w:color w:val="auto"/>
        </w:rPr>
      </w:pPr>
      <w:r>
        <w:rPr>
          <w:rFonts w:ascii="Trebuchet MS" w:cs="Trebuchet MS" w:eastAsia="Trebuchet MS" w:hAnsi="Trebuchet MS"/>
          <w:sz w:val="19"/>
          <w:szCs w:val="19"/>
          <w:color w:val="auto"/>
        </w:rPr>
        <w:t>Gross fair values of the Company’s derivative instruments, prior to netting of assets and liabilities subject to a master netting arrangement,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jc w:val="center"/>
              <w:ind w:right="66"/>
              <w:spacing w:after="0"/>
              <w:rPr>
                <w:sz w:val="20"/>
                <w:szCs w:val="20"/>
                <w:color w:val="auto"/>
              </w:rPr>
            </w:pPr>
            <w:r>
              <w:rPr>
                <w:rFonts w:ascii="Trebuchet MS" w:cs="Trebuchet MS" w:eastAsia="Trebuchet MS" w:hAnsi="Trebuchet MS"/>
                <w:sz w:val="19"/>
                <w:szCs w:val="19"/>
                <w:b w:val="1"/>
                <w:bCs w:val="1"/>
                <w:color w:val="auto"/>
                <w:w w:val="98"/>
              </w:rPr>
              <w:t>Derivative</w:t>
            </w:r>
          </w:p>
        </w:tc>
        <w:tc>
          <w:tcPr>
            <w:tcW w:w="4800" w:type="dxa"/>
            <w:vAlign w:val="bottom"/>
            <w:vMerge w:val="restart"/>
          </w:tcPr>
          <w:p>
            <w:pPr>
              <w:jc w:val="center"/>
              <w:spacing w:after="0"/>
              <w:rPr>
                <w:sz w:val="20"/>
                <w:szCs w:val="20"/>
                <w:color w:val="auto"/>
              </w:rPr>
            </w:pPr>
            <w:r>
              <w:rPr>
                <w:rFonts w:ascii="Trebuchet MS" w:cs="Trebuchet MS" w:eastAsia="Trebuchet MS" w:hAnsi="Trebuchet MS"/>
                <w:sz w:val="19"/>
                <w:szCs w:val="19"/>
                <w:b w:val="1"/>
                <w:bCs w:val="1"/>
                <w:color w:val="auto"/>
                <w:w w:val="99"/>
              </w:rPr>
              <w:t>Balance Sheet Location</w:t>
            </w:r>
          </w:p>
        </w:tc>
        <w:tc>
          <w:tcPr>
            <w:tcW w:w="2420" w:type="dxa"/>
            <w:vAlign w:val="bottom"/>
          </w:tcPr>
          <w:p>
            <w:pPr>
              <w:jc w:val="right"/>
              <w:ind w:right="6"/>
              <w:spacing w:after="0"/>
              <w:rPr>
                <w:sz w:val="20"/>
                <w:szCs w:val="20"/>
                <w:color w:val="auto"/>
              </w:rPr>
            </w:pPr>
            <w:r>
              <w:rPr>
                <w:rFonts w:ascii="Trebuchet MS" w:cs="Trebuchet MS" w:eastAsia="Trebuchet MS" w:hAnsi="Trebuchet MS"/>
                <w:sz w:val="19"/>
                <w:szCs w:val="19"/>
                <w:b w:val="1"/>
                <w:bCs w:val="1"/>
                <w:color w:val="auto"/>
              </w:rPr>
              <w:t>Fair Value as of</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140" w:type="dxa"/>
            <w:vAlign w:val="bottom"/>
            <w:tcBorders>
              <w:bottom w:val="single" w:sz="8" w:color="auto"/>
            </w:tcBorders>
          </w:tcPr>
          <w:p>
            <w:pPr>
              <w:jc w:val="center"/>
              <w:ind w:right="66"/>
              <w:spacing w:after="0"/>
              <w:rPr>
                <w:sz w:val="20"/>
                <w:szCs w:val="20"/>
                <w:color w:val="auto"/>
              </w:rPr>
            </w:pPr>
            <w:r>
              <w:rPr>
                <w:rFonts w:ascii="Trebuchet MS" w:cs="Trebuchet MS" w:eastAsia="Trebuchet MS" w:hAnsi="Trebuchet MS"/>
                <w:sz w:val="19"/>
                <w:szCs w:val="19"/>
                <w:b w:val="1"/>
                <w:bCs w:val="1"/>
                <w:color w:val="auto"/>
                <w:w w:val="99"/>
              </w:rPr>
              <w:t>Financial Instruments</w:t>
            </w:r>
          </w:p>
        </w:tc>
        <w:tc>
          <w:tcPr>
            <w:tcW w:w="4800" w:type="dxa"/>
            <w:vAlign w:val="bottom"/>
            <w:tcBorders>
              <w:bottom w:val="single" w:sz="8" w:color="auto"/>
            </w:tcBorders>
            <w:vMerge w:val="continue"/>
          </w:tcPr>
          <w:p>
            <w:pPr>
              <w:spacing w:after="0"/>
              <w:rPr>
                <w:sz w:val="20"/>
                <w:szCs w:val="20"/>
                <w:color w:val="auto"/>
              </w:rPr>
            </w:pPr>
          </w:p>
        </w:tc>
        <w:tc>
          <w:tcPr>
            <w:tcW w:w="3300" w:type="dxa"/>
            <w:vAlign w:val="bottom"/>
            <w:tcBorders>
              <w:bottom w:val="single" w:sz="8" w:color="auto"/>
            </w:tcBorders>
            <w:gridSpan w:val="2"/>
          </w:tcPr>
          <w:p>
            <w:pPr>
              <w:jc w:val="right"/>
              <w:ind w:right="646"/>
              <w:spacing w:after="0"/>
              <w:rPr>
                <w:sz w:val="20"/>
                <w:szCs w:val="20"/>
                <w:color w:val="auto"/>
              </w:rPr>
            </w:pPr>
            <w:r>
              <w:rPr>
                <w:rFonts w:ascii="Trebuchet MS" w:cs="Trebuchet MS" w:eastAsia="Trebuchet MS" w:hAnsi="Trebuchet MS"/>
                <w:sz w:val="19"/>
                <w:szCs w:val="19"/>
                <w:b w:val="1"/>
                <w:bCs w:val="1"/>
                <w:color w:val="auto"/>
              </w:rPr>
              <w:t>September 30, 2020</w:t>
            </w:r>
          </w:p>
        </w:tc>
        <w:tc>
          <w:tcPr>
            <w:tcW w:w="0" w:type="dxa"/>
            <w:vAlign w:val="bottom"/>
          </w:tcPr>
          <w:p>
            <w:pPr>
              <w:spacing w:after="0"/>
              <w:rPr>
                <w:sz w:val="1"/>
                <w:szCs w:val="1"/>
                <w:color w:val="auto"/>
              </w:rPr>
            </w:pPr>
          </w:p>
        </w:tc>
      </w:tr>
      <w:tr>
        <w:trPr>
          <w:trHeight w:val="534"/>
        </w:trPr>
        <w:tc>
          <w:tcPr>
            <w:tcW w:w="3140" w:type="dxa"/>
            <w:vAlign w:val="bottom"/>
          </w:tcPr>
          <w:p>
            <w:pPr>
              <w:ind w:left="20"/>
              <w:spacing w:after="0"/>
              <w:rPr>
                <w:sz w:val="20"/>
                <w:szCs w:val="20"/>
                <w:color w:val="auto"/>
              </w:rPr>
            </w:pPr>
            <w:r>
              <w:rPr>
                <w:rFonts w:ascii="Trebuchet MS" w:cs="Trebuchet MS" w:eastAsia="Trebuchet MS" w:hAnsi="Trebuchet MS"/>
                <w:sz w:val="19"/>
                <w:szCs w:val="19"/>
                <w:color w:val="auto"/>
              </w:rPr>
              <w:t>Commodity Contracts</w:t>
            </w:r>
          </w:p>
        </w:tc>
        <w:tc>
          <w:tcPr>
            <w:tcW w:w="4800" w:type="dxa"/>
            <w:vAlign w:val="bottom"/>
          </w:tcPr>
          <w:p>
            <w:pPr>
              <w:jc w:val="center"/>
              <w:spacing w:after="0"/>
              <w:rPr>
                <w:sz w:val="20"/>
                <w:szCs w:val="20"/>
                <w:color w:val="auto"/>
              </w:rPr>
            </w:pPr>
            <w:r>
              <w:rPr>
                <w:rFonts w:ascii="Trebuchet MS" w:cs="Trebuchet MS" w:eastAsia="Trebuchet MS" w:hAnsi="Trebuchet MS"/>
                <w:sz w:val="19"/>
                <w:szCs w:val="19"/>
                <w:color w:val="auto"/>
                <w:w w:val="98"/>
              </w:rPr>
              <w:t>Current Liabilities-Derivative Liabilities</w:t>
            </w:r>
          </w:p>
        </w:tc>
        <w:tc>
          <w:tcPr>
            <w:tcW w:w="2420" w:type="dxa"/>
            <w:vAlign w:val="bottom"/>
          </w:tcPr>
          <w:p>
            <w:pPr>
              <w:jc w:val="right"/>
              <w:ind w:right="526"/>
              <w:spacing w:after="0"/>
              <w:rPr>
                <w:sz w:val="20"/>
                <w:szCs w:val="20"/>
                <w:color w:val="auto"/>
              </w:rPr>
            </w:pPr>
            <w:r>
              <w:rPr>
                <w:rFonts w:ascii="Trebuchet MS" w:cs="Trebuchet MS" w:eastAsia="Trebuchet MS" w:hAnsi="Trebuchet MS"/>
                <w:sz w:val="19"/>
                <w:szCs w:val="19"/>
                <w:color w:val="auto"/>
              </w:rPr>
              <w:t>$</w:t>
            </w:r>
          </w:p>
        </w:tc>
        <w:tc>
          <w:tcPr>
            <w:tcW w:w="8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537,157</w:t>
            </w:r>
          </w:p>
        </w:tc>
        <w:tc>
          <w:tcPr>
            <w:tcW w:w="0" w:type="dxa"/>
            <w:vAlign w:val="bottom"/>
          </w:tcPr>
          <w:p>
            <w:pPr>
              <w:spacing w:after="0"/>
              <w:rPr>
                <w:sz w:val="1"/>
                <w:szCs w:val="1"/>
                <w:color w:val="auto"/>
              </w:rPr>
            </w:pPr>
          </w:p>
        </w:tc>
      </w:tr>
      <w:tr>
        <w:trPr>
          <w:trHeight w:val="141"/>
        </w:trPr>
        <w:tc>
          <w:tcPr>
            <w:tcW w:w="3140" w:type="dxa"/>
            <w:vAlign w:val="bottom"/>
            <w:tcBorders>
              <w:bottom w:val="single" w:sz="8" w:color="auto"/>
            </w:tcBorders>
          </w:tcPr>
          <w:p>
            <w:pPr>
              <w:spacing w:after="0"/>
              <w:rPr>
                <w:sz w:val="12"/>
                <w:szCs w:val="12"/>
                <w:color w:val="auto"/>
              </w:rPr>
            </w:pPr>
          </w:p>
        </w:tc>
        <w:tc>
          <w:tcPr>
            <w:tcW w:w="480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526"/>
              <w:spacing w:after="0"/>
              <w:rPr>
                <w:sz w:val="20"/>
                <w:szCs w:val="20"/>
                <w:color w:val="auto"/>
              </w:rPr>
            </w:pPr>
            <w:r>
              <w:rPr>
                <w:rFonts w:ascii="Trebuchet MS" w:cs="Trebuchet MS" w:eastAsia="Trebuchet MS" w:hAnsi="Trebuchet MS"/>
                <w:sz w:val="19"/>
                <w:szCs w:val="19"/>
                <w:color w:val="auto"/>
              </w:rPr>
              <w:t>$</w:t>
            </w:r>
          </w:p>
        </w:tc>
        <w:tc>
          <w:tcPr>
            <w:tcW w:w="8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537,157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During 2020, the Company entered into certain derivative contracts with Macquarie Investments US Inc. (“Macquarie”). The Company unwound and terminated the derivative contracts in connection with the extinguishment of the debt with Macquarie, after obtaining financing from the Main Street Lending Program. See Note 7.</w:t>
      </w:r>
    </w:p>
    <w:p>
      <w:pPr>
        <w:spacing w:after="0" w:line="208" w:lineRule="exact"/>
        <w:rPr>
          <w:sz w:val="20"/>
          <w:szCs w:val="20"/>
          <w:color w:val="auto"/>
        </w:rPr>
      </w:pPr>
    </w:p>
    <w:p>
      <w:pPr>
        <w:jc w:val="both"/>
        <w:spacing w:after="0" w:line="234" w:lineRule="auto"/>
        <w:rPr>
          <w:sz w:val="20"/>
          <w:szCs w:val="20"/>
          <w:color w:val="auto"/>
        </w:rPr>
      </w:pPr>
      <w:r>
        <w:rPr>
          <w:rFonts w:ascii="Trebuchet MS" w:cs="Trebuchet MS" w:eastAsia="Trebuchet MS" w:hAnsi="Trebuchet MS"/>
          <w:sz w:val="19"/>
          <w:szCs w:val="19"/>
          <w:color w:val="auto"/>
        </w:rPr>
        <w:t>All of the gains and losses related to derivative contracts are recorded through the “Gain on derivative instruments” account in the consolidated statement of operations.</w:t>
      </w:r>
    </w:p>
    <w:p>
      <w:pPr>
        <w:spacing w:after="0" w:line="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2" w:name="page163"/>
    <w:bookmarkEnd w:id="162"/>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6.  Acquisitions and Divestitures</w:t>
      </w:r>
    </w:p>
    <w:p>
      <w:pPr>
        <w:spacing w:after="0" w:line="125"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Leon County Disposition</w:t>
      </w:r>
    </w:p>
    <w:p>
      <w:pPr>
        <w:spacing w:after="0" w:line="1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In February 2020, the Company closed on the sale of certain oil and natural gas properties located in Leon County, Texas for $75 thousand in proceeds, and was relieved of $288 thousand of plugging liability. The full cost pool was reduced by the net proceeds.</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Brazos County Disposition</w:t>
      </w:r>
    </w:p>
    <w:p>
      <w:pPr>
        <w:spacing w:after="0" w:line="1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In April 2020, the Company closed on the sale of certain oil and natural gas properties located in Brazos County, Texas. The Company received no proceeds but was relieved of $102 thousand of plugging liability.</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Dewitt County Disposition</w:t>
      </w:r>
    </w:p>
    <w:p>
      <w:pPr>
        <w:spacing w:after="0" w:line="12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In July 2020, the Company closed on the sale of certain oil and natural gas properties located in Dewitt County, Texas. The Company received no proceeds but was relieved of $42 thousand of plugging liability.</w:t>
      </w:r>
    </w:p>
    <w:p>
      <w:pPr>
        <w:spacing w:after="0" w:line="187"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7.  Long-Term Debt</w:t>
      </w:r>
    </w:p>
    <w:p>
      <w:pPr>
        <w:spacing w:after="0" w:line="115"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Long-term debt consists of the following:</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Pr>
          <w:p>
            <w:pPr>
              <w:spacing w:after="0"/>
              <w:rPr>
                <w:sz w:val="21"/>
                <w:szCs w:val="21"/>
                <w:color w:val="auto"/>
              </w:rPr>
            </w:pPr>
          </w:p>
        </w:tc>
        <w:tc>
          <w:tcPr>
            <w:tcW w:w="4280" w:type="dxa"/>
            <w:vAlign w:val="bottom"/>
            <w:tcBorders>
              <w:bottom w:val="single" w:sz="8" w:color="auto"/>
            </w:tcBorders>
            <w:gridSpan w:val="2"/>
          </w:tcPr>
          <w:p>
            <w:pPr>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36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66"/>
              <w:spacing w:after="0"/>
              <w:rPr>
                <w:sz w:val="20"/>
                <w:szCs w:val="20"/>
                <w:color w:val="auto"/>
              </w:rPr>
            </w:pPr>
            <w:r>
              <w:rPr>
                <w:rFonts w:ascii="Trebuchet MS" w:cs="Trebuchet MS" w:eastAsia="Trebuchet MS" w:hAnsi="Trebuchet MS"/>
                <w:sz w:val="19"/>
                <w:szCs w:val="19"/>
                <w:b w:val="1"/>
                <w:bCs w:val="1"/>
                <w:color w:val="auto"/>
              </w:rPr>
              <w:t>2020</w:t>
            </w:r>
          </w:p>
        </w:tc>
        <w:tc>
          <w:tcPr>
            <w:tcW w:w="1360" w:type="dxa"/>
            <w:vAlign w:val="bottom"/>
          </w:tcPr>
          <w:p>
            <w:pPr>
              <w:spacing w:after="0"/>
              <w:rPr>
                <w:sz w:val="21"/>
                <w:szCs w:val="21"/>
                <w:color w:val="auto"/>
              </w:rPr>
            </w:pPr>
          </w:p>
        </w:tc>
      </w:tr>
      <w:tr>
        <w:trPr>
          <w:trHeight w:val="534"/>
        </w:trPr>
        <w:tc>
          <w:tcPr>
            <w:tcW w:w="3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rebuchet MS" w:cs="Trebuchet MS" w:eastAsia="Trebuchet MS" w:hAnsi="Trebuchet MS"/>
                <w:sz w:val="19"/>
                <w:szCs w:val="19"/>
                <w:color w:val="auto"/>
              </w:rPr>
              <w:t>2020</w:t>
            </w:r>
          </w:p>
        </w:tc>
        <w:tc>
          <w:tcPr>
            <w:tcW w:w="3840" w:type="dxa"/>
            <w:vAlign w:val="bottom"/>
          </w:tcPr>
          <w:p>
            <w:pPr>
              <w:ind w:left="20"/>
              <w:spacing w:after="0"/>
              <w:rPr>
                <w:sz w:val="20"/>
                <w:szCs w:val="20"/>
                <w:color w:val="auto"/>
              </w:rPr>
            </w:pPr>
            <w:r>
              <w:rPr>
                <w:rFonts w:ascii="Trebuchet MS" w:cs="Trebuchet MS" w:eastAsia="Trebuchet MS" w:hAnsi="Trebuchet MS"/>
                <w:sz w:val="19"/>
                <w:szCs w:val="19"/>
                <w:color w:val="auto"/>
              </w:rPr>
              <w:t>Main Street Lending Program Loan</w:t>
            </w:r>
          </w:p>
        </w:tc>
        <w:tc>
          <w:tcPr>
            <w:tcW w:w="3620" w:type="dxa"/>
            <w:vAlign w:val="bottom"/>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40,800,000</w:t>
            </w:r>
          </w:p>
        </w:tc>
        <w:tc>
          <w:tcPr>
            <w:tcW w:w="1360" w:type="dxa"/>
            <w:vAlign w:val="bottom"/>
          </w:tcPr>
          <w:p>
            <w:pPr>
              <w:spacing w:after="0"/>
              <w:rPr>
                <w:sz w:val="24"/>
                <w:szCs w:val="24"/>
                <w:color w:val="auto"/>
              </w:rPr>
            </w:pPr>
          </w:p>
        </w:tc>
      </w:tr>
      <w:tr>
        <w:trPr>
          <w:trHeight w:val="408"/>
        </w:trPr>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2020</w:t>
            </w:r>
          </w:p>
        </w:tc>
        <w:tc>
          <w:tcPr>
            <w:tcW w:w="384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9"/>
                <w:szCs w:val="19"/>
                <w:color w:val="auto"/>
              </w:rPr>
              <w:t>Paycheck Protection Program Loan</w:t>
            </w:r>
          </w:p>
        </w:tc>
        <w:tc>
          <w:tcPr>
            <w:tcW w:w="36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501,000</w:t>
            </w:r>
          </w:p>
        </w:tc>
        <w:tc>
          <w:tcPr>
            <w:tcW w:w="1360" w:type="dxa"/>
            <w:vAlign w:val="bottom"/>
          </w:tcPr>
          <w:p>
            <w:pPr>
              <w:spacing w:after="0"/>
              <w:rPr>
                <w:sz w:val="24"/>
                <w:szCs w:val="24"/>
                <w:color w:val="auto"/>
              </w:rPr>
            </w:pPr>
          </w:p>
        </w:tc>
      </w:tr>
      <w:tr>
        <w:trPr>
          <w:trHeight w:val="530"/>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20" w:type="dxa"/>
            <w:vAlign w:val="bottom"/>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41,301,000</w:t>
            </w:r>
          </w:p>
        </w:tc>
        <w:tc>
          <w:tcPr>
            <w:tcW w:w="1360" w:type="dxa"/>
            <w:vAlign w:val="bottom"/>
          </w:tcPr>
          <w:p>
            <w:pPr>
              <w:spacing w:after="0"/>
              <w:rPr>
                <w:sz w:val="24"/>
                <w:szCs w:val="24"/>
                <w:color w:val="auto"/>
              </w:rPr>
            </w:pPr>
          </w:p>
        </w:tc>
      </w:tr>
      <w:tr>
        <w:trPr>
          <w:trHeight w:val="408"/>
        </w:trPr>
        <w:tc>
          <w:tcPr>
            <w:tcW w:w="340" w:type="dxa"/>
            <w:vAlign w:val="bottom"/>
          </w:tcPr>
          <w:p>
            <w:pPr>
              <w:spacing w:after="0"/>
              <w:rPr>
                <w:sz w:val="24"/>
                <w:szCs w:val="24"/>
                <w:color w:val="auto"/>
              </w:rPr>
            </w:pPr>
          </w:p>
        </w:tc>
        <w:tc>
          <w:tcPr>
            <w:tcW w:w="4280" w:type="dxa"/>
            <w:vAlign w:val="bottom"/>
            <w:tcBorders>
              <w:bottom w:val="single" w:sz="8" w:color="auto"/>
            </w:tcBorders>
            <w:gridSpan w:val="2"/>
          </w:tcPr>
          <w:p>
            <w:pPr>
              <w:spacing w:after="0"/>
              <w:rPr>
                <w:sz w:val="20"/>
                <w:szCs w:val="20"/>
                <w:color w:val="auto"/>
              </w:rPr>
            </w:pPr>
            <w:r>
              <w:rPr>
                <w:rFonts w:ascii="Trebuchet MS" w:cs="Trebuchet MS" w:eastAsia="Trebuchet MS" w:hAnsi="Trebuchet MS"/>
                <w:sz w:val="19"/>
                <w:szCs w:val="19"/>
                <w:color w:val="auto"/>
              </w:rPr>
              <w:t>Less: Deferred Financing Costs</w:t>
            </w:r>
          </w:p>
        </w:tc>
        <w:tc>
          <w:tcPr>
            <w:tcW w:w="362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4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1,007,454</w:t>
            </w:r>
          </w:p>
        </w:tc>
        <w:tc>
          <w:tcPr>
            <w:tcW w:w="1360" w:type="dxa"/>
            <w:vAlign w:val="bottom"/>
          </w:tcPr>
          <w:p>
            <w:pPr>
              <w:spacing w:after="0"/>
              <w:rPr>
                <w:sz w:val="24"/>
                <w:szCs w:val="24"/>
                <w:color w:val="auto"/>
              </w:rPr>
            </w:pPr>
          </w:p>
        </w:tc>
      </w:tr>
      <w:tr>
        <w:trPr>
          <w:trHeight w:val="368"/>
        </w:trPr>
        <w:tc>
          <w:tcPr>
            <w:tcW w:w="340" w:type="dxa"/>
            <w:vAlign w:val="bottom"/>
          </w:tcPr>
          <w:p>
            <w:pPr>
              <w:spacing w:after="0"/>
              <w:rPr>
                <w:sz w:val="24"/>
                <w:szCs w:val="24"/>
                <w:color w:val="auto"/>
              </w:rPr>
            </w:pPr>
          </w:p>
        </w:tc>
        <w:tc>
          <w:tcPr>
            <w:tcW w:w="4280" w:type="dxa"/>
            <w:vAlign w:val="bottom"/>
            <w:tcBorders>
              <w:bottom w:val="single" w:sz="8" w:color="auto"/>
            </w:tcBorders>
            <w:gridSpan w:val="2"/>
          </w:tcPr>
          <w:p>
            <w:pPr>
              <w:spacing w:after="0"/>
              <w:rPr>
                <w:sz w:val="20"/>
                <w:szCs w:val="20"/>
                <w:color w:val="auto"/>
              </w:rPr>
            </w:pPr>
            <w:r>
              <w:rPr>
                <w:rFonts w:ascii="Trebuchet MS" w:cs="Trebuchet MS" w:eastAsia="Trebuchet MS" w:hAnsi="Trebuchet MS"/>
                <w:sz w:val="19"/>
                <w:szCs w:val="19"/>
                <w:color w:val="auto"/>
              </w:rPr>
              <w:t>Long-Term Debt, net</w:t>
            </w:r>
          </w:p>
        </w:tc>
        <w:tc>
          <w:tcPr>
            <w:tcW w:w="362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4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40,293,546</w:t>
            </w:r>
          </w:p>
        </w:tc>
        <w:tc>
          <w:tcPr>
            <w:tcW w:w="1360" w:type="dxa"/>
            <w:vAlign w:val="bottom"/>
          </w:tcPr>
          <w:p>
            <w:pPr>
              <w:spacing w:after="0"/>
              <w:rPr>
                <w:sz w:val="24"/>
                <w:szCs w:val="24"/>
                <w:color w:val="auto"/>
              </w:rPr>
            </w:pPr>
          </w:p>
        </w:tc>
      </w:tr>
      <w:tr>
        <w:trPr>
          <w:trHeight w:val="428"/>
        </w:trPr>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20" w:type="dxa"/>
            <w:vAlign w:val="bottom"/>
          </w:tcPr>
          <w:p>
            <w:pPr>
              <w:jc w:val="right"/>
              <w:ind w:right="2406"/>
              <w:spacing w:after="0"/>
              <w:rPr>
                <w:sz w:val="20"/>
                <w:szCs w:val="20"/>
                <w:color w:val="auto"/>
              </w:rPr>
            </w:pPr>
            <w:r>
              <w:rPr>
                <w:rFonts w:ascii="Trebuchet MS" w:cs="Trebuchet MS" w:eastAsia="Trebuchet MS" w:hAnsi="Trebuchet MS"/>
                <w:sz w:val="19"/>
                <w:szCs w:val="19"/>
                <w:b w:val="1"/>
                <w:bCs w:val="1"/>
                <w:color w:val="auto"/>
              </w:rPr>
              <w:t>17</w:t>
            </w: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9"/>
        </w:trPr>
        <w:tc>
          <w:tcPr>
            <w:tcW w:w="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3" w:name="page164"/>
    <w:bookmarkEnd w:id="163"/>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PennantPark Credit Facility</w:t>
      </w:r>
    </w:p>
    <w:p>
      <w:pPr>
        <w:spacing w:after="0" w:line="121"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On September 30, 2019, the Company had a 2017 term loan of $35 million and a 2018 revolving loan of $40 million under a loan agreement with PennantPark. The loan agreement was to mature on July 2, 2022. In October 2019, the loan agreement was amended to increase the revolving loan commitment to $50 million. Both the term loan and revolving loan carried an interest rate of 8% with a 50% paid-in-kind interest option. In December 2019 and January 2020, the loans with PennantPark were restructured</w:t>
      </w:r>
    </w:p>
    <w:p>
      <w:pPr>
        <w:spacing w:after="0" w:line="33" w:lineRule="exact"/>
        <w:rPr>
          <w:sz w:val="20"/>
          <w:szCs w:val="20"/>
          <w:color w:val="auto"/>
        </w:rPr>
      </w:pPr>
    </w:p>
    <w:p>
      <w:pPr>
        <w:jc w:val="both"/>
        <w:ind w:right="20"/>
        <w:spacing w:after="0"/>
        <w:rPr>
          <w:sz w:val="20"/>
          <w:szCs w:val="20"/>
          <w:color w:val="auto"/>
        </w:rPr>
      </w:pPr>
      <w:r>
        <w:rPr>
          <w:rFonts w:ascii="Trebuchet MS" w:cs="Trebuchet MS" w:eastAsia="Trebuchet MS" w:hAnsi="Trebuchet MS"/>
          <w:sz w:val="19"/>
          <w:szCs w:val="19"/>
          <w:color w:val="auto"/>
        </w:rPr>
        <w:t>and converted to equity, and Holdings issued PennantPark 96,058 common units in satisfaction of the $86 million in debt that Holdings owed to PennantPark.</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Macquarie Credit Facility</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On October 16, 2019, RAM, Fayette and Service, as co-borrowers, entered into a $70 million credit facility with Macquarie Investments US Inc. (“Macquarie”) as Administrative Agent for itself. The amount funded at closing was $30.5 million, net of deferred loan costs. The facility included a $30.5 million Tranche A term loan, a $16 million Tranche B term loan and a $23.5 million Tranche C term loan. Wells that were currently drilling were identified as Tranche A wells. Tranche B and Tranche C wells are identified in RAM’s future development plan. Tranche A was funded at closing, and was used to pay a working capital deficit and other development and operating costs of Tranche A wells. Tranches B and C were to be available when certain wells satisfied production targets and other conditions were met.</w:t>
      </w:r>
    </w:p>
    <w:p>
      <w:pPr>
        <w:spacing w:after="0" w:line="210"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Tranche A term loan provided for monthly payments of interest and principal during its term. Interest was charged at LIBOR plus the Applicable Margin of 8.0%. The Tranche A monthly amortization payments varied based on production of the new Fayette wells. The first principal repayment was due November 30, 2019.</w:t>
      </w:r>
    </w:p>
    <w:p>
      <w:pPr>
        <w:spacing w:after="0" w:line="208"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facility was secured by liens on substantially all properties and assets of the borrowers. The loan agreement contained representations, warranties and covenants customary in transactions of this nature, including financial covenants relating to a current ratio, a maximum leverage ratio and a PDP coverage ratio. The facility further provided for certain hedging requirements, and the Company entered into certain hedging agreements during October 2019.</w:t>
      </w:r>
    </w:p>
    <w:p>
      <w:pPr>
        <w:spacing w:after="0" w:line="209" w:lineRule="exact"/>
        <w:rPr>
          <w:sz w:val="20"/>
          <w:szCs w:val="20"/>
          <w:color w:val="auto"/>
        </w:rPr>
      </w:pPr>
    </w:p>
    <w:p>
      <w:pPr>
        <w:spacing w:after="0"/>
        <w:rPr>
          <w:sz w:val="20"/>
          <w:szCs w:val="20"/>
          <w:color w:val="auto"/>
        </w:rPr>
      </w:pPr>
      <w:r>
        <w:rPr>
          <w:rFonts w:ascii="Trebuchet MS" w:cs="Trebuchet MS" w:eastAsia="Trebuchet MS" w:hAnsi="Trebuchet MS"/>
          <w:sz w:val="18"/>
          <w:szCs w:val="18"/>
          <w:color w:val="auto"/>
        </w:rPr>
        <w:t>The Company repaid the credit facility on September 15, 2020 with proceeds from the Main Street Loan as further discussed below.</w:t>
      </w:r>
    </w:p>
    <w:p>
      <w:pPr>
        <w:spacing w:after="0" w:line="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agreement was terminated at that time.</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Paycheck Protection Program Loan</w:t>
      </w:r>
    </w:p>
    <w:p>
      <w:pPr>
        <w:spacing w:after="0" w:line="121"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On April 29, 2020, the Company entered into a $501 thousand loan with the Paycheck Protection Program through the United States Small Business Administration. The loan has a term of two years and carries an interest rate of 1%. The loan amount is based on approximately 2.5 months’ of payroll, rent and utilities expense and is forgivable upon showing support for applicable expenditures and proof of eligibility requirements. The Company submitted a forgiveness application in September 2020. The Company has elected to use ASC 470 to account for this loan and will record a gain on forgiveness of debt in the period in which the debt is legally forgiven. The application for these funds requires the Company to, in good faith, certify that the current economic uncertainty made the loan request necessary to support the ongoing operations of the Company. The receipt of these funds, and the forgiveness of the loan attendant to these funds, is dependent on the Company having initially qualified for the loan and qualifying for the forgiveness of such loan based on its future adherence to the forgiveness criteria.</w:t>
      </w:r>
    </w:p>
    <w:p>
      <w:pPr>
        <w:spacing w:after="0" w:line="20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4" w:name="page165"/>
    <w:bookmarkEnd w:id="164"/>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Main Street Lending Program Loan Facility</w:t>
      </w:r>
    </w:p>
    <w:p>
      <w:pPr>
        <w:spacing w:after="0" w:line="121"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On September 4, 2020, RAM, with Holdings, Fayette and Service, as guarantors, entered into a $40.8 million loan facility with the Main Street Lending Program and Vast Bank (the “Main Street Loan”). The Company used $26.5 million of the proceeds to repay the debt with Macquarie and deferred loan costs.</w:t>
      </w:r>
    </w:p>
    <w:p>
      <w:pPr>
        <w:spacing w:after="0" w:line="208"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Main Street Loan matures in 2025 and carries an interest rate of LIBOR plus 3%. The first interest payment is due October 4, 2021 and each month thereafter. Principal is due as follows: 15% on September 4, 2023, 15% on September 4, 2024, and the remaining 70% on September 4, 2025.</w:t>
      </w:r>
    </w:p>
    <w:p>
      <w:pPr>
        <w:spacing w:after="0" w:line="208"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Main Street Loan is secured by liens on substantially all properties and assets of the borrowers. The loan agreement contains representations, warranties and covenants customary in transactions of this nature, including a financial covenant relating to a minimum debt service coverage ratio, calculated semi-annually. As of September 30, 2020, the Company was in compliance with its financial covenants.</w:t>
      </w:r>
    </w:p>
    <w:p>
      <w:pPr>
        <w:spacing w:after="0" w:line="202"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8.  Member’s Equity</w:t>
      </w:r>
    </w:p>
    <w:p>
      <w:pPr>
        <w:spacing w:after="0" w:line="115"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PennantPark holds all units in Holdings. Debt restructuring in December 2019 and January 2020 included PennantPark contributing the then outstanding 2017 $35 million term loan plus the 2018 $50 million revolving loan to Holdings, effectively extinguishing the debt. In exchange, Holdings issued PennantPark 96,058 common units. As PennantPark is the sole owner of Holdings, the debt restructuring was deemed a capital transaction at cost basis with no gain or loss recorded. The cost basis of the debt plus interest paid-in-kind immediately prior to the extinguishment and the resulting equity contribution was $86 million on conversion of the debt.</w:t>
      </w:r>
    </w:p>
    <w:p>
      <w:pPr>
        <w:spacing w:after="0" w:line="191"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9.  Commitments and Contingencies</w:t>
      </w:r>
    </w:p>
    <w:p>
      <w:pPr>
        <w:spacing w:after="0" w:line="129"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Leases</w:t>
      </w:r>
    </w:p>
    <w:p>
      <w:pPr>
        <w:spacing w:after="0" w:line="107"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leases office space and certain equipment under non-cancelable operating lease agreements that expire on various dates through 2024. Approximate future minimum lease payments as of September 30, 2020 are as follows:</w:t>
      </w:r>
    </w:p>
    <w:p>
      <w:pPr>
        <w:spacing w:after="0" w:line="378" w:lineRule="exact"/>
        <w:rPr>
          <w:sz w:val="20"/>
          <w:szCs w:val="20"/>
          <w:color w:val="auto"/>
        </w:rPr>
      </w:pPr>
    </w:p>
    <w:p>
      <w:pPr>
        <w:ind w:left="340"/>
        <w:spacing w:after="0"/>
        <w:rPr>
          <w:sz w:val="20"/>
          <w:szCs w:val="20"/>
          <w:color w:val="auto"/>
        </w:rPr>
      </w:pPr>
      <w:r>
        <w:rPr>
          <w:rFonts w:ascii="Trebuchet MS" w:cs="Trebuchet MS" w:eastAsia="Trebuchet MS" w:hAnsi="Trebuchet MS"/>
          <w:sz w:val="19"/>
          <w:szCs w:val="19"/>
          <w:b w:val="1"/>
          <w:bCs w:val="1"/>
          <w:i w:val="1"/>
          <w:iCs w:val="1"/>
          <w:color w:val="auto"/>
        </w:rPr>
        <w:t>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9525</wp:posOffset>
            </wp:positionV>
            <wp:extent cx="606044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9">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330"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4540" w:type="dxa"/>
            <w:vAlign w:val="bottom"/>
          </w:tcPr>
          <w:p>
            <w:pPr>
              <w:jc w:val="right"/>
              <w:ind w:right="2966"/>
              <w:spacing w:after="0"/>
              <w:rPr>
                <w:sz w:val="20"/>
                <w:szCs w:val="20"/>
                <w:color w:val="auto"/>
              </w:rPr>
            </w:pPr>
            <w:r>
              <w:rPr>
                <w:rFonts w:ascii="Trebuchet MS" w:cs="Trebuchet MS" w:eastAsia="Trebuchet MS" w:hAnsi="Trebuchet MS"/>
                <w:sz w:val="19"/>
                <w:szCs w:val="19"/>
                <w:color w:val="auto"/>
              </w:rPr>
              <w:t>2021</w:t>
            </w:r>
          </w:p>
        </w:tc>
        <w:tc>
          <w:tcPr>
            <w:tcW w:w="3880" w:type="dxa"/>
            <w:vAlign w:val="bottom"/>
          </w:tcPr>
          <w:p>
            <w:pPr>
              <w:jc w:val="right"/>
              <w:ind w:right="626"/>
              <w:spacing w:after="0"/>
              <w:rPr>
                <w:sz w:val="20"/>
                <w:szCs w:val="20"/>
                <w:color w:val="auto"/>
              </w:rPr>
            </w:pPr>
            <w:r>
              <w:rPr>
                <w:rFonts w:ascii="Trebuchet MS" w:cs="Trebuchet MS" w:eastAsia="Trebuchet MS" w:hAnsi="Trebuchet MS"/>
                <w:sz w:val="19"/>
                <w:szCs w:val="19"/>
                <w:color w:val="auto"/>
              </w:rPr>
              <w:t>$</w:t>
            </w:r>
          </w:p>
        </w:tc>
        <w:tc>
          <w:tcPr>
            <w:tcW w:w="11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458</w:t>
            </w:r>
          </w:p>
        </w:tc>
      </w:tr>
      <w:tr>
        <w:trPr>
          <w:trHeight w:val="405"/>
        </w:trPr>
        <w:tc>
          <w:tcPr>
            <w:tcW w:w="4540" w:type="dxa"/>
            <w:vAlign w:val="bottom"/>
          </w:tcPr>
          <w:p>
            <w:pPr>
              <w:jc w:val="right"/>
              <w:ind w:right="2966"/>
              <w:spacing w:after="0"/>
              <w:rPr>
                <w:sz w:val="20"/>
                <w:szCs w:val="20"/>
                <w:color w:val="auto"/>
              </w:rPr>
            </w:pPr>
            <w:r>
              <w:rPr>
                <w:rFonts w:ascii="Trebuchet MS" w:cs="Trebuchet MS" w:eastAsia="Trebuchet MS" w:hAnsi="Trebuchet MS"/>
                <w:sz w:val="19"/>
                <w:szCs w:val="19"/>
                <w:color w:val="auto"/>
              </w:rPr>
              <w:t>2022</w:t>
            </w:r>
          </w:p>
        </w:tc>
        <w:tc>
          <w:tcPr>
            <w:tcW w:w="3880" w:type="dxa"/>
            <w:vAlign w:val="bottom"/>
          </w:tcPr>
          <w:p>
            <w:pPr>
              <w:spacing w:after="0"/>
              <w:rPr>
                <w:sz w:val="24"/>
                <w:szCs w:val="24"/>
                <w:color w:val="auto"/>
              </w:rPr>
            </w:pPr>
          </w:p>
        </w:tc>
        <w:tc>
          <w:tcPr>
            <w:tcW w:w="11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389</w:t>
            </w:r>
          </w:p>
        </w:tc>
      </w:tr>
      <w:tr>
        <w:trPr>
          <w:trHeight w:val="405"/>
        </w:trPr>
        <w:tc>
          <w:tcPr>
            <w:tcW w:w="4540" w:type="dxa"/>
            <w:vAlign w:val="bottom"/>
          </w:tcPr>
          <w:p>
            <w:pPr>
              <w:jc w:val="right"/>
              <w:ind w:right="2966"/>
              <w:spacing w:after="0"/>
              <w:rPr>
                <w:sz w:val="20"/>
                <w:szCs w:val="20"/>
                <w:color w:val="auto"/>
              </w:rPr>
            </w:pPr>
            <w:r>
              <w:rPr>
                <w:rFonts w:ascii="Trebuchet MS" w:cs="Trebuchet MS" w:eastAsia="Trebuchet MS" w:hAnsi="Trebuchet MS"/>
                <w:sz w:val="19"/>
                <w:szCs w:val="19"/>
                <w:color w:val="auto"/>
              </w:rPr>
              <w:t>2023</w:t>
            </w:r>
          </w:p>
        </w:tc>
        <w:tc>
          <w:tcPr>
            <w:tcW w:w="3880" w:type="dxa"/>
            <w:vAlign w:val="bottom"/>
          </w:tcPr>
          <w:p>
            <w:pPr>
              <w:spacing w:after="0"/>
              <w:rPr>
                <w:sz w:val="24"/>
                <w:szCs w:val="24"/>
                <w:color w:val="auto"/>
              </w:rPr>
            </w:pPr>
          </w:p>
        </w:tc>
        <w:tc>
          <w:tcPr>
            <w:tcW w:w="11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108</w:t>
            </w:r>
          </w:p>
        </w:tc>
      </w:tr>
      <w:tr>
        <w:trPr>
          <w:trHeight w:val="405"/>
        </w:trPr>
        <w:tc>
          <w:tcPr>
            <w:tcW w:w="4540" w:type="dxa"/>
            <w:vAlign w:val="bottom"/>
          </w:tcPr>
          <w:p>
            <w:pPr>
              <w:jc w:val="right"/>
              <w:ind w:right="2966"/>
              <w:spacing w:after="0"/>
              <w:rPr>
                <w:sz w:val="20"/>
                <w:szCs w:val="20"/>
                <w:color w:val="auto"/>
              </w:rPr>
            </w:pPr>
            <w:r>
              <w:rPr>
                <w:rFonts w:ascii="Trebuchet MS" w:cs="Trebuchet MS" w:eastAsia="Trebuchet MS" w:hAnsi="Trebuchet MS"/>
                <w:sz w:val="19"/>
                <w:szCs w:val="19"/>
                <w:color w:val="auto"/>
              </w:rPr>
              <w:t>2024</w:t>
            </w:r>
          </w:p>
        </w:tc>
        <w:tc>
          <w:tcPr>
            <w:tcW w:w="3880" w:type="dxa"/>
            <w:vAlign w:val="bottom"/>
          </w:tcPr>
          <w:p>
            <w:pPr>
              <w:spacing w:after="0"/>
              <w:rPr>
                <w:sz w:val="24"/>
                <w:szCs w:val="24"/>
                <w:color w:val="auto"/>
              </w:rPr>
            </w:pPr>
          </w:p>
        </w:tc>
        <w:tc>
          <w:tcPr>
            <w:tcW w:w="11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9</w:t>
            </w:r>
          </w:p>
        </w:tc>
      </w:tr>
      <w:tr>
        <w:trPr>
          <w:trHeight w:val="418"/>
        </w:trPr>
        <w:tc>
          <w:tcPr>
            <w:tcW w:w="4540" w:type="dxa"/>
            <w:vAlign w:val="bottom"/>
            <w:tcBorders>
              <w:bottom w:val="single" w:sz="8" w:color="auto"/>
            </w:tcBorders>
          </w:tcPr>
          <w:p>
            <w:pPr>
              <w:jc w:val="right"/>
              <w:ind w:right="2966"/>
              <w:spacing w:after="0"/>
              <w:rPr>
                <w:sz w:val="20"/>
                <w:szCs w:val="20"/>
                <w:color w:val="auto"/>
              </w:rPr>
            </w:pPr>
            <w:r>
              <w:rPr>
                <w:rFonts w:ascii="Trebuchet MS" w:cs="Trebuchet MS" w:eastAsia="Trebuchet MS" w:hAnsi="Trebuchet MS"/>
                <w:sz w:val="19"/>
                <w:szCs w:val="19"/>
                <w:color w:val="auto"/>
              </w:rPr>
              <w:t>2025</w:t>
            </w:r>
          </w:p>
        </w:tc>
        <w:tc>
          <w:tcPr>
            <w:tcW w:w="3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w:t>
            </w:r>
          </w:p>
        </w:tc>
      </w:tr>
      <w:tr>
        <w:trPr>
          <w:trHeight w:val="372"/>
        </w:trPr>
        <w:tc>
          <w:tcPr>
            <w:tcW w:w="45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626"/>
              <w:spacing w:after="0"/>
              <w:rPr>
                <w:sz w:val="20"/>
                <w:szCs w:val="20"/>
                <w:color w:val="auto"/>
              </w:rPr>
            </w:pPr>
            <w:r>
              <w:rPr>
                <w:rFonts w:ascii="Trebuchet MS" w:cs="Trebuchet MS" w:eastAsia="Trebuchet MS" w:hAnsi="Trebuchet MS"/>
                <w:sz w:val="19"/>
                <w:szCs w:val="19"/>
                <w:color w:val="auto"/>
              </w:rPr>
              <w:t>$</w:t>
            </w:r>
          </w:p>
        </w:tc>
        <w:tc>
          <w:tcPr>
            <w:tcW w:w="11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964</w:t>
            </w:r>
          </w:p>
        </w:tc>
      </w:tr>
    </w:tbl>
    <w:p>
      <w:pPr>
        <w:spacing w:after="0" w:line="196"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Rent expense of approximately $0.5 million was incurred under operating leases for the year ended September 30, 2020.</w:t>
      </w:r>
    </w:p>
    <w:p>
      <w:pPr>
        <w:ind w:left="5520"/>
        <w:spacing w:after="0"/>
        <w:rPr>
          <w:sz w:val="20"/>
          <w:szCs w:val="20"/>
          <w:color w:val="auto"/>
        </w:rPr>
      </w:pPr>
      <w:r>
        <w:rPr>
          <w:rFonts w:ascii="Trebuchet MS" w:cs="Trebuchet MS" w:eastAsia="Trebuchet MS" w:hAnsi="Trebuchet MS"/>
          <w:sz w:val="19"/>
          <w:szCs w:val="19"/>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5" w:name="page166"/>
    <w:bookmarkEnd w:id="165"/>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10. Related Party Transactions</w:t>
      </w:r>
    </w:p>
    <w:p>
      <w:pPr>
        <w:spacing w:after="0" w:line="129"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made certain payments on behalf of an officer totaling $59 thousand in 2020, which are due to the Company as of September 30, 2020.</w:t>
      </w:r>
    </w:p>
    <w:p>
      <w:pPr>
        <w:spacing w:after="0" w:line="187"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11. Subsequent Events</w:t>
      </w:r>
    </w:p>
    <w:p>
      <w:pPr>
        <w:spacing w:after="0" w:line="115" w:lineRule="exact"/>
        <w:rPr>
          <w:sz w:val="20"/>
          <w:szCs w:val="20"/>
          <w:color w:val="auto"/>
        </w:rPr>
      </w:pPr>
    </w:p>
    <w:p>
      <w:pPr>
        <w:jc w:val="both"/>
        <w:spacing w:after="0" w:line="244" w:lineRule="auto"/>
        <w:rPr>
          <w:sz w:val="20"/>
          <w:szCs w:val="20"/>
          <w:color w:val="auto"/>
        </w:rPr>
      </w:pPr>
      <w:r>
        <w:rPr>
          <w:rFonts w:ascii="Trebuchet MS" w:cs="Trebuchet MS" w:eastAsia="Trebuchet MS" w:hAnsi="Trebuchet MS"/>
          <w:sz w:val="19"/>
          <w:szCs w:val="19"/>
          <w:color w:val="auto"/>
        </w:rPr>
        <w:t>The Company evaluates events and transactions occurring after the balance sheet date and before the consolidated financial statements are available for issuance. Such events and transactions have been evaluated through November 16, 2020, the date the consolidated financial statements were available to be issued.</w:t>
      </w:r>
    </w:p>
    <w:p>
      <w:pPr>
        <w:spacing w:after="0" w:line="205"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 entered derivative positions in October and November 2020, as summarized in the following table: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06"/>
              <w:spacing w:after="0" w:line="196" w:lineRule="exact"/>
              <w:rPr>
                <w:sz w:val="20"/>
                <w:szCs w:val="20"/>
                <w:color w:val="auto"/>
              </w:rPr>
            </w:pPr>
            <w:r>
              <w:rPr>
                <w:rFonts w:ascii="Trebuchet MS" w:cs="Trebuchet MS" w:eastAsia="Trebuchet MS" w:hAnsi="Trebuchet MS"/>
                <w:sz w:val="19"/>
                <w:szCs w:val="19"/>
                <w:b w:val="1"/>
                <w:bCs w:val="1"/>
                <w:color w:val="auto"/>
              </w:rPr>
              <w:t>Weighted</w:t>
            </w: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center"/>
              <w:ind w:right="306"/>
              <w:spacing w:after="0" w:line="196" w:lineRule="exact"/>
              <w:rPr>
                <w:sz w:val="20"/>
                <w:szCs w:val="20"/>
                <w:color w:val="auto"/>
              </w:rPr>
            </w:pPr>
            <w:r>
              <w:rPr>
                <w:rFonts w:ascii="Trebuchet MS" w:cs="Trebuchet MS" w:eastAsia="Trebuchet MS" w:hAnsi="Trebuchet MS"/>
                <w:sz w:val="19"/>
                <w:szCs w:val="19"/>
                <w:b w:val="1"/>
                <w:bCs w:val="1"/>
                <w:color w:val="auto"/>
              </w:rPr>
              <w:t>Weighted</w:t>
            </w:r>
          </w:p>
        </w:tc>
        <w:tc>
          <w:tcPr>
            <w:tcW w:w="1060" w:type="dxa"/>
            <w:vAlign w:val="bottom"/>
            <w:tcBorders>
              <w:top w:val="single" w:sz="8" w:color="auto"/>
            </w:tcBorders>
          </w:tcPr>
          <w:p>
            <w:pPr>
              <w:jc w:val="center"/>
              <w:ind w:right="106"/>
              <w:spacing w:after="0" w:line="196" w:lineRule="exact"/>
              <w:rPr>
                <w:sz w:val="20"/>
                <w:szCs w:val="20"/>
                <w:color w:val="auto"/>
              </w:rPr>
            </w:pPr>
            <w:r>
              <w:rPr>
                <w:rFonts w:ascii="Trebuchet MS" w:cs="Trebuchet MS" w:eastAsia="Trebuchet MS" w:hAnsi="Trebuchet MS"/>
                <w:sz w:val="19"/>
                <w:szCs w:val="19"/>
                <w:b w:val="1"/>
                <w:bCs w:val="1"/>
                <w:color w:val="auto"/>
                <w:w w:val="97"/>
              </w:rPr>
              <w:t>Weighted</w:t>
            </w:r>
          </w:p>
        </w:tc>
        <w:tc>
          <w:tcPr>
            <w:tcW w:w="0" w:type="dxa"/>
            <w:vAlign w:val="bottom"/>
          </w:tcPr>
          <w:p>
            <w:pPr>
              <w:spacing w:after="0"/>
              <w:rPr>
                <w:sz w:val="1"/>
                <w:szCs w:val="1"/>
                <w:color w:val="auto"/>
              </w:rPr>
            </w:pPr>
          </w:p>
        </w:tc>
      </w:tr>
      <w:tr>
        <w:trPr>
          <w:trHeight w:val="203"/>
        </w:trPr>
        <w:tc>
          <w:tcPr>
            <w:tcW w:w="1340" w:type="dxa"/>
            <w:vAlign w:val="bottom"/>
            <w:vMerge w:val="restart"/>
          </w:tcPr>
          <w:p>
            <w:pPr>
              <w:jc w:val="right"/>
              <w:ind w:right="226"/>
              <w:spacing w:after="0"/>
              <w:rPr>
                <w:sz w:val="20"/>
                <w:szCs w:val="20"/>
                <w:color w:val="auto"/>
              </w:rPr>
            </w:pPr>
            <w:r>
              <w:rPr>
                <w:rFonts w:ascii="Trebuchet MS" w:cs="Trebuchet MS" w:eastAsia="Trebuchet MS" w:hAnsi="Trebuchet MS"/>
                <w:sz w:val="19"/>
                <w:szCs w:val="19"/>
                <w:b w:val="1"/>
                <w:bCs w:val="1"/>
                <w:color w:val="auto"/>
              </w:rPr>
              <w:t>Start Date</w:t>
            </w:r>
          </w:p>
        </w:tc>
        <w:tc>
          <w:tcPr>
            <w:tcW w:w="1380" w:type="dxa"/>
            <w:vAlign w:val="bottom"/>
            <w:vMerge w:val="restart"/>
          </w:tcPr>
          <w:p>
            <w:pPr>
              <w:jc w:val="right"/>
              <w:ind w:right="306"/>
              <w:spacing w:after="0"/>
              <w:rPr>
                <w:sz w:val="20"/>
                <w:szCs w:val="20"/>
                <w:color w:val="auto"/>
              </w:rPr>
            </w:pPr>
            <w:r>
              <w:rPr>
                <w:rFonts w:ascii="Trebuchet MS" w:cs="Trebuchet MS" w:eastAsia="Trebuchet MS" w:hAnsi="Trebuchet MS"/>
                <w:sz w:val="19"/>
                <w:szCs w:val="19"/>
                <w:b w:val="1"/>
                <w:bCs w:val="1"/>
                <w:color w:val="auto"/>
              </w:rPr>
              <w:t>End Date</w:t>
            </w:r>
          </w:p>
        </w:tc>
        <w:tc>
          <w:tcPr>
            <w:tcW w:w="1380" w:type="dxa"/>
            <w:vAlign w:val="bottom"/>
            <w:vMerge w:val="restart"/>
          </w:tcPr>
          <w:p>
            <w:pPr>
              <w:jc w:val="right"/>
              <w:ind w:right="146"/>
              <w:spacing w:after="0"/>
              <w:rPr>
                <w:sz w:val="20"/>
                <w:szCs w:val="20"/>
                <w:color w:val="auto"/>
              </w:rPr>
            </w:pPr>
            <w:r>
              <w:rPr>
                <w:rFonts w:ascii="Trebuchet MS" w:cs="Trebuchet MS" w:eastAsia="Trebuchet MS" w:hAnsi="Trebuchet MS"/>
                <w:sz w:val="19"/>
                <w:szCs w:val="19"/>
                <w:b w:val="1"/>
                <w:bCs w:val="1"/>
                <w:color w:val="auto"/>
              </w:rPr>
              <w:t>Commodity</w:t>
            </w:r>
          </w:p>
        </w:tc>
        <w:tc>
          <w:tcPr>
            <w:tcW w:w="1000" w:type="dxa"/>
            <w:vAlign w:val="bottom"/>
          </w:tcPr>
          <w:p>
            <w:pPr>
              <w:jc w:val="center"/>
              <w:spacing w:after="0" w:line="203" w:lineRule="exact"/>
              <w:rPr>
                <w:sz w:val="20"/>
                <w:szCs w:val="20"/>
                <w:color w:val="auto"/>
              </w:rPr>
            </w:pPr>
            <w:r>
              <w:rPr>
                <w:rFonts w:ascii="Trebuchet MS" w:cs="Trebuchet MS" w:eastAsia="Trebuchet MS" w:hAnsi="Trebuchet MS"/>
                <w:sz w:val="19"/>
                <w:szCs w:val="19"/>
                <w:b w:val="1"/>
                <w:bCs w:val="1"/>
                <w:color w:val="auto"/>
                <w:w w:val="97"/>
              </w:rPr>
              <w:t>Option</w:t>
            </w:r>
          </w:p>
        </w:tc>
        <w:tc>
          <w:tcPr>
            <w:tcW w:w="1320" w:type="dxa"/>
            <w:vAlign w:val="bottom"/>
          </w:tcPr>
          <w:p>
            <w:pPr>
              <w:jc w:val="right"/>
              <w:ind w:right="246"/>
              <w:spacing w:after="0" w:line="203" w:lineRule="exact"/>
              <w:rPr>
                <w:sz w:val="20"/>
                <w:szCs w:val="20"/>
                <w:color w:val="auto"/>
              </w:rPr>
            </w:pPr>
            <w:r>
              <w:rPr>
                <w:rFonts w:ascii="Trebuchet MS" w:cs="Trebuchet MS" w:eastAsia="Trebuchet MS" w:hAnsi="Trebuchet MS"/>
                <w:sz w:val="19"/>
                <w:szCs w:val="19"/>
                <w:b w:val="1"/>
                <w:bCs w:val="1"/>
                <w:color w:val="auto"/>
              </w:rPr>
              <w:t>Notional</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center"/>
              <w:ind w:right="106"/>
              <w:spacing w:after="0" w:line="203" w:lineRule="exact"/>
              <w:rPr>
                <w:sz w:val="20"/>
                <w:szCs w:val="20"/>
                <w:color w:val="auto"/>
              </w:rPr>
            </w:pPr>
            <w:r>
              <w:rPr>
                <w:rFonts w:ascii="Trebuchet MS" w:cs="Trebuchet MS" w:eastAsia="Trebuchet MS" w:hAnsi="Trebuchet MS"/>
                <w:sz w:val="19"/>
                <w:szCs w:val="19"/>
                <w:b w:val="1"/>
                <w:bCs w:val="1"/>
                <w:color w:val="auto"/>
              </w:rPr>
              <w:t>Average</w:t>
            </w:r>
          </w:p>
        </w:tc>
        <w:tc>
          <w:tcPr>
            <w:tcW w:w="200" w:type="dxa"/>
            <w:vAlign w:val="bottom"/>
          </w:tcPr>
          <w:p>
            <w:pPr>
              <w:spacing w:after="0"/>
              <w:rPr>
                <w:sz w:val="17"/>
                <w:szCs w:val="17"/>
                <w:color w:val="auto"/>
              </w:rPr>
            </w:pPr>
          </w:p>
        </w:tc>
        <w:tc>
          <w:tcPr>
            <w:tcW w:w="1280" w:type="dxa"/>
            <w:vAlign w:val="bottom"/>
          </w:tcPr>
          <w:p>
            <w:pPr>
              <w:jc w:val="center"/>
              <w:ind w:right="326"/>
              <w:spacing w:after="0" w:line="203" w:lineRule="exact"/>
              <w:rPr>
                <w:sz w:val="20"/>
                <w:szCs w:val="20"/>
                <w:color w:val="auto"/>
              </w:rPr>
            </w:pPr>
            <w:r>
              <w:rPr>
                <w:rFonts w:ascii="Trebuchet MS" w:cs="Trebuchet MS" w:eastAsia="Trebuchet MS" w:hAnsi="Trebuchet MS"/>
                <w:sz w:val="19"/>
                <w:szCs w:val="19"/>
                <w:b w:val="1"/>
                <w:bCs w:val="1"/>
                <w:color w:val="auto"/>
                <w:w w:val="97"/>
              </w:rPr>
              <w:t>Average</w:t>
            </w:r>
          </w:p>
        </w:tc>
        <w:tc>
          <w:tcPr>
            <w:tcW w:w="1060" w:type="dxa"/>
            <w:vAlign w:val="bottom"/>
          </w:tcPr>
          <w:p>
            <w:pPr>
              <w:jc w:val="center"/>
              <w:ind w:right="106"/>
              <w:spacing w:after="0" w:line="203" w:lineRule="exact"/>
              <w:rPr>
                <w:sz w:val="20"/>
                <w:szCs w:val="20"/>
                <w:color w:val="auto"/>
              </w:rPr>
            </w:pPr>
            <w:r>
              <w:rPr>
                <w:rFonts w:ascii="Trebuchet MS" w:cs="Trebuchet MS" w:eastAsia="Trebuchet MS" w:hAnsi="Trebuchet MS"/>
                <w:sz w:val="19"/>
                <w:szCs w:val="19"/>
                <w:b w:val="1"/>
                <w:bCs w:val="1"/>
                <w:color w:val="auto"/>
                <w:w w:val="97"/>
              </w:rPr>
              <w:t>Average</w:t>
            </w:r>
          </w:p>
        </w:tc>
        <w:tc>
          <w:tcPr>
            <w:tcW w:w="0" w:type="dxa"/>
            <w:vAlign w:val="bottom"/>
          </w:tcPr>
          <w:p>
            <w:pPr>
              <w:spacing w:after="0"/>
              <w:rPr>
                <w:sz w:val="1"/>
                <w:szCs w:val="1"/>
                <w:color w:val="auto"/>
              </w:rPr>
            </w:pPr>
          </w:p>
        </w:tc>
      </w:tr>
      <w:tr>
        <w:trPr>
          <w:trHeight w:val="224"/>
        </w:trPr>
        <w:tc>
          <w:tcPr>
            <w:tcW w:w="134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9"/>
                <w:szCs w:val="19"/>
                <w:b w:val="1"/>
                <w:bCs w:val="1"/>
                <w:color w:val="auto"/>
                <w:w w:val="95"/>
              </w:rPr>
              <w:t>Type</w:t>
            </w:r>
          </w:p>
        </w:tc>
        <w:tc>
          <w:tcPr>
            <w:tcW w:w="132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b w:val="1"/>
                <w:bCs w:val="1"/>
                <w:color w:val="auto"/>
              </w:rPr>
              <w:t>Quantity</w:t>
            </w: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86"/>
              <w:spacing w:after="0"/>
              <w:rPr>
                <w:sz w:val="20"/>
                <w:szCs w:val="20"/>
                <w:color w:val="auto"/>
              </w:rPr>
            </w:pPr>
            <w:r>
              <w:rPr>
                <w:rFonts w:ascii="Trebuchet MS" w:cs="Trebuchet MS" w:eastAsia="Trebuchet MS" w:hAnsi="Trebuchet MS"/>
                <w:sz w:val="19"/>
                <w:szCs w:val="19"/>
                <w:b w:val="1"/>
                <w:bCs w:val="1"/>
                <w:color w:val="auto"/>
                <w:w w:val="99"/>
              </w:rPr>
              <w:t>Floor</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6"/>
              <w:spacing w:after="0"/>
              <w:rPr>
                <w:sz w:val="20"/>
                <w:szCs w:val="20"/>
                <w:color w:val="auto"/>
              </w:rPr>
            </w:pPr>
            <w:r>
              <w:rPr>
                <w:rFonts w:ascii="Trebuchet MS" w:cs="Trebuchet MS" w:eastAsia="Trebuchet MS" w:hAnsi="Trebuchet MS"/>
                <w:sz w:val="19"/>
                <w:szCs w:val="19"/>
                <w:b w:val="1"/>
                <w:bCs w:val="1"/>
                <w:color w:val="auto"/>
                <w:w w:val="99"/>
              </w:rPr>
              <w:t>Ceiling</w:t>
            </w:r>
          </w:p>
        </w:tc>
        <w:tc>
          <w:tcPr>
            <w:tcW w:w="1060" w:type="dxa"/>
            <w:vAlign w:val="bottom"/>
            <w:tcBorders>
              <w:bottom w:val="single" w:sz="8" w:color="auto"/>
            </w:tcBorders>
          </w:tcPr>
          <w:p>
            <w:pPr>
              <w:jc w:val="center"/>
              <w:ind w:right="126"/>
              <w:spacing w:after="0"/>
              <w:rPr>
                <w:sz w:val="20"/>
                <w:szCs w:val="20"/>
                <w:color w:val="auto"/>
              </w:rPr>
            </w:pPr>
            <w:r>
              <w:rPr>
                <w:rFonts w:ascii="Trebuchet MS" w:cs="Trebuchet MS" w:eastAsia="Trebuchet MS" w:hAnsi="Trebuchet MS"/>
                <w:sz w:val="19"/>
                <w:szCs w:val="19"/>
                <w:b w:val="1"/>
                <w:bCs w:val="1"/>
                <w:color w:val="auto"/>
              </w:rPr>
              <w:t>Premium</w:t>
            </w:r>
          </w:p>
        </w:tc>
        <w:tc>
          <w:tcPr>
            <w:tcW w:w="0" w:type="dxa"/>
            <w:vAlign w:val="bottom"/>
          </w:tcPr>
          <w:p>
            <w:pPr>
              <w:spacing w:after="0"/>
              <w:rPr>
                <w:sz w:val="1"/>
                <w:szCs w:val="1"/>
                <w:color w:val="auto"/>
              </w:rPr>
            </w:pPr>
          </w:p>
        </w:tc>
      </w:tr>
      <w:tr>
        <w:trPr>
          <w:trHeight w:val="393"/>
        </w:trPr>
        <w:tc>
          <w:tcPr>
            <w:tcW w:w="1340" w:type="dxa"/>
            <w:vAlign w:val="bottom"/>
          </w:tcPr>
          <w:p>
            <w:pPr>
              <w:jc w:val="right"/>
              <w:ind w:right="106"/>
              <w:spacing w:after="0"/>
              <w:rPr>
                <w:sz w:val="20"/>
                <w:szCs w:val="20"/>
                <w:color w:val="auto"/>
              </w:rPr>
            </w:pPr>
            <w:r>
              <w:rPr>
                <w:rFonts w:ascii="Trebuchet MS" w:cs="Trebuchet MS" w:eastAsia="Trebuchet MS" w:hAnsi="Trebuchet MS"/>
                <w:sz w:val="19"/>
                <w:szCs w:val="19"/>
                <w:color w:val="auto"/>
              </w:rPr>
              <w:t>4/1/2021</w:t>
            </w:r>
          </w:p>
        </w:tc>
        <w:tc>
          <w:tcPr>
            <w:tcW w:w="1380" w:type="dxa"/>
            <w:vAlign w:val="bottom"/>
          </w:tcPr>
          <w:p>
            <w:pPr>
              <w:jc w:val="right"/>
              <w:ind w:right="46"/>
              <w:spacing w:after="0"/>
              <w:rPr>
                <w:sz w:val="20"/>
                <w:szCs w:val="20"/>
                <w:color w:val="auto"/>
              </w:rPr>
            </w:pPr>
            <w:r>
              <w:rPr>
                <w:rFonts w:ascii="Trebuchet MS" w:cs="Trebuchet MS" w:eastAsia="Trebuchet MS" w:hAnsi="Trebuchet MS"/>
                <w:sz w:val="19"/>
                <w:szCs w:val="19"/>
                <w:color w:val="auto"/>
              </w:rPr>
              <w:t>10/31/2023</w:t>
            </w:r>
          </w:p>
        </w:tc>
        <w:tc>
          <w:tcPr>
            <w:tcW w:w="1380" w:type="dxa"/>
            <w:vAlign w:val="bottom"/>
          </w:tcPr>
          <w:p>
            <w:pPr>
              <w:jc w:val="right"/>
              <w:spacing w:after="0"/>
              <w:rPr>
                <w:sz w:val="20"/>
                <w:szCs w:val="20"/>
                <w:color w:val="auto"/>
              </w:rPr>
            </w:pPr>
            <w:r>
              <w:rPr>
                <w:rFonts w:ascii="Trebuchet MS" w:cs="Trebuchet MS" w:eastAsia="Trebuchet MS" w:hAnsi="Trebuchet MS"/>
                <w:sz w:val="19"/>
                <w:szCs w:val="19"/>
                <w:color w:val="auto"/>
              </w:rPr>
              <w:t>Natural Gas</w:t>
            </w:r>
          </w:p>
        </w:tc>
        <w:tc>
          <w:tcPr>
            <w:tcW w:w="1000" w:type="dxa"/>
            <w:vAlign w:val="bottom"/>
          </w:tcPr>
          <w:p>
            <w:pPr>
              <w:ind w:left="60"/>
              <w:spacing w:after="0"/>
              <w:rPr>
                <w:sz w:val="20"/>
                <w:szCs w:val="20"/>
                <w:color w:val="auto"/>
              </w:rPr>
            </w:pPr>
            <w:r>
              <w:rPr>
                <w:rFonts w:ascii="Trebuchet MS" w:cs="Trebuchet MS" w:eastAsia="Trebuchet MS" w:hAnsi="Trebuchet MS"/>
                <w:sz w:val="19"/>
                <w:szCs w:val="19"/>
                <w:color w:val="auto"/>
              </w:rPr>
              <w:t>Collar</w:t>
            </w:r>
          </w:p>
        </w:tc>
        <w:tc>
          <w:tcPr>
            <w:tcW w:w="132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3,442,500</w:t>
            </w:r>
          </w:p>
        </w:tc>
        <w:tc>
          <w:tcPr>
            <w:tcW w:w="900" w:type="dxa"/>
            <w:vAlign w:val="bottom"/>
          </w:tcPr>
          <w:p>
            <w:pPr>
              <w:ind w:left="100"/>
              <w:spacing w:after="0"/>
              <w:rPr>
                <w:sz w:val="20"/>
                <w:szCs w:val="20"/>
                <w:color w:val="auto"/>
              </w:rPr>
            </w:pPr>
            <w:r>
              <w:rPr>
                <w:rFonts w:ascii="Trebuchet MS" w:cs="Trebuchet MS" w:eastAsia="Trebuchet MS" w:hAnsi="Trebuchet MS"/>
                <w:sz w:val="19"/>
                <w:szCs w:val="19"/>
                <w:color w:val="auto"/>
              </w:rPr>
              <w:t>MMBTU</w:t>
            </w:r>
          </w:p>
        </w:tc>
        <w:tc>
          <w:tcPr>
            <w:tcW w:w="300" w:type="dxa"/>
            <w:vAlign w:val="bottom"/>
          </w:tcPr>
          <w:p>
            <w:pPr>
              <w:jc w:val="right"/>
              <w:spacing w:after="0"/>
              <w:rPr>
                <w:sz w:val="20"/>
                <w:szCs w:val="20"/>
                <w:color w:val="auto"/>
              </w:rPr>
            </w:pPr>
            <w:r>
              <w:rPr>
                <w:rFonts w:ascii="Trebuchet MS" w:cs="Trebuchet MS" w:eastAsia="Trebuchet MS" w:hAnsi="Trebuchet MS"/>
                <w:sz w:val="19"/>
                <w:szCs w:val="19"/>
                <w:color w:val="auto"/>
              </w:rPr>
              <w:t>$</w:t>
            </w:r>
          </w:p>
        </w:tc>
        <w:tc>
          <w:tcPr>
            <w:tcW w:w="108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2.575</w:t>
            </w:r>
          </w:p>
        </w:tc>
        <w:tc>
          <w:tcPr>
            <w:tcW w:w="200" w:type="dxa"/>
            <w:vAlign w:val="bottom"/>
          </w:tcPr>
          <w:p>
            <w:pPr>
              <w:jc w:val="right"/>
              <w:spacing w:after="0"/>
              <w:rPr>
                <w:sz w:val="20"/>
                <w:szCs w:val="20"/>
                <w:color w:val="auto"/>
              </w:rPr>
            </w:pPr>
            <w:r>
              <w:rPr>
                <w:rFonts w:ascii="Trebuchet MS" w:cs="Trebuchet MS" w:eastAsia="Trebuchet MS" w:hAnsi="Trebuchet MS"/>
                <w:sz w:val="19"/>
                <w:szCs w:val="19"/>
                <w:color w:val="auto"/>
              </w:rPr>
              <w:t>$</w:t>
            </w:r>
          </w:p>
        </w:tc>
        <w:tc>
          <w:tcPr>
            <w:tcW w:w="1280" w:type="dxa"/>
            <w:vAlign w:val="bottom"/>
          </w:tcPr>
          <w:p>
            <w:pPr>
              <w:jc w:val="right"/>
              <w:ind w:right="206"/>
              <w:spacing w:after="0"/>
              <w:rPr>
                <w:sz w:val="20"/>
                <w:szCs w:val="20"/>
                <w:color w:val="auto"/>
              </w:rPr>
            </w:pPr>
            <w:r>
              <w:rPr>
                <w:rFonts w:ascii="Trebuchet MS" w:cs="Trebuchet MS" w:eastAsia="Trebuchet MS" w:hAnsi="Trebuchet MS"/>
                <w:sz w:val="19"/>
                <w:szCs w:val="19"/>
                <w:color w:val="auto"/>
              </w:rPr>
              <w:t>3.153</w:t>
            </w:r>
          </w:p>
        </w:tc>
        <w:tc>
          <w:tcPr>
            <w:tcW w:w="106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Costless</w:t>
            </w:r>
          </w:p>
        </w:tc>
        <w:tc>
          <w:tcPr>
            <w:tcW w:w="0" w:type="dxa"/>
            <w:vAlign w:val="bottom"/>
          </w:tcPr>
          <w:p>
            <w:pPr>
              <w:spacing w:after="0"/>
              <w:rPr>
                <w:sz w:val="1"/>
                <w:szCs w:val="1"/>
                <w:color w:val="auto"/>
              </w:rPr>
            </w:pPr>
          </w:p>
        </w:tc>
      </w:tr>
      <w:tr>
        <w:trPr>
          <w:trHeight w:val="408"/>
        </w:trPr>
        <w:tc>
          <w:tcPr>
            <w:tcW w:w="1340" w:type="dxa"/>
            <w:vAlign w:val="bottom"/>
            <w:tcBorders>
              <w:bottom w:val="single" w:sz="8" w:color="auto"/>
            </w:tcBorders>
          </w:tcPr>
          <w:p>
            <w:pPr>
              <w:jc w:val="right"/>
              <w:ind w:right="106"/>
              <w:spacing w:after="0"/>
              <w:rPr>
                <w:sz w:val="20"/>
                <w:szCs w:val="20"/>
                <w:color w:val="auto"/>
              </w:rPr>
            </w:pPr>
            <w:r>
              <w:rPr>
                <w:rFonts w:ascii="Trebuchet MS" w:cs="Trebuchet MS" w:eastAsia="Trebuchet MS" w:hAnsi="Trebuchet MS"/>
                <w:sz w:val="19"/>
                <w:szCs w:val="19"/>
                <w:color w:val="auto"/>
              </w:rPr>
              <w:t>1/1/2021</w:t>
            </w:r>
          </w:p>
        </w:tc>
        <w:tc>
          <w:tcPr>
            <w:tcW w:w="1380" w:type="dxa"/>
            <w:vAlign w:val="bottom"/>
            <w:tcBorders>
              <w:bottom w:val="single" w:sz="8" w:color="auto"/>
            </w:tcBorders>
          </w:tcPr>
          <w:p>
            <w:pPr>
              <w:jc w:val="right"/>
              <w:ind w:right="46"/>
              <w:spacing w:after="0"/>
              <w:rPr>
                <w:sz w:val="20"/>
                <w:szCs w:val="20"/>
                <w:color w:val="auto"/>
              </w:rPr>
            </w:pPr>
            <w:r>
              <w:rPr>
                <w:rFonts w:ascii="Trebuchet MS" w:cs="Trebuchet MS" w:eastAsia="Trebuchet MS" w:hAnsi="Trebuchet MS"/>
                <w:sz w:val="19"/>
                <w:szCs w:val="19"/>
                <w:color w:val="auto"/>
              </w:rPr>
              <w:t>3/31/2023</w:t>
            </w:r>
          </w:p>
        </w:tc>
        <w:tc>
          <w:tcPr>
            <w:tcW w:w="138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Crude Oil</w:t>
            </w:r>
          </w:p>
        </w:tc>
        <w:tc>
          <w:tcPr>
            <w:tcW w:w="1000" w:type="dxa"/>
            <w:vAlign w:val="bottom"/>
            <w:tcBorders>
              <w:bottom w:val="single" w:sz="8" w:color="auto"/>
            </w:tcBorders>
          </w:tcPr>
          <w:p>
            <w:pPr>
              <w:ind w:left="60"/>
              <w:spacing w:after="0"/>
              <w:rPr>
                <w:sz w:val="20"/>
                <w:szCs w:val="20"/>
                <w:color w:val="auto"/>
              </w:rPr>
            </w:pPr>
            <w:r>
              <w:rPr>
                <w:rFonts w:ascii="Trebuchet MS" w:cs="Trebuchet MS" w:eastAsia="Trebuchet MS" w:hAnsi="Trebuchet MS"/>
                <w:sz w:val="19"/>
                <w:szCs w:val="19"/>
                <w:color w:val="auto"/>
              </w:rPr>
              <w:t>Put</w:t>
            </w:r>
          </w:p>
        </w:tc>
        <w:tc>
          <w:tcPr>
            <w:tcW w:w="132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153,400</w:t>
            </w:r>
          </w:p>
        </w:tc>
        <w:tc>
          <w:tcPr>
            <w:tcW w:w="900" w:type="dxa"/>
            <w:vAlign w:val="bottom"/>
            <w:tcBorders>
              <w:bottom w:val="single" w:sz="8" w:color="auto"/>
            </w:tcBorders>
          </w:tcPr>
          <w:p>
            <w:pPr>
              <w:ind w:left="100"/>
              <w:spacing w:after="0"/>
              <w:rPr>
                <w:sz w:val="20"/>
                <w:szCs w:val="20"/>
                <w:color w:val="auto"/>
              </w:rPr>
            </w:pPr>
            <w:r>
              <w:rPr>
                <w:rFonts w:ascii="Trebuchet MS" w:cs="Trebuchet MS" w:eastAsia="Trebuchet MS" w:hAnsi="Trebuchet MS"/>
                <w:sz w:val="19"/>
                <w:szCs w:val="19"/>
                <w:color w:val="auto"/>
              </w:rPr>
              <w:t>BBL</w:t>
            </w:r>
          </w:p>
        </w:tc>
        <w:tc>
          <w:tcPr>
            <w:tcW w:w="3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w:t>
            </w:r>
          </w:p>
        </w:tc>
        <w:tc>
          <w:tcPr>
            <w:tcW w:w="108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25.000</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N/A  $</w:t>
            </w:r>
          </w:p>
        </w:tc>
        <w:tc>
          <w:tcPr>
            <w:tcW w:w="106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1.919</w:t>
            </w:r>
          </w:p>
        </w:tc>
        <w:tc>
          <w:tcPr>
            <w:tcW w:w="0" w:type="dxa"/>
            <w:vAlign w:val="bottom"/>
          </w:tcPr>
          <w:p>
            <w:pPr>
              <w:spacing w:after="0"/>
              <w:rPr>
                <w:sz w:val="1"/>
                <w:szCs w:val="1"/>
                <w:color w:val="auto"/>
              </w:rPr>
            </w:pPr>
          </w:p>
        </w:tc>
      </w:tr>
      <w:tr>
        <w:trPr>
          <w:trHeight w:val="424"/>
        </w:trPr>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jc w:val="right"/>
              <w:ind w:right="586"/>
              <w:spacing w:after="0"/>
              <w:rPr>
                <w:sz w:val="20"/>
                <w:szCs w:val="20"/>
                <w:color w:val="auto"/>
              </w:rPr>
            </w:pPr>
            <w:r>
              <w:rPr>
                <w:rFonts w:ascii="Trebuchet MS" w:cs="Trebuchet MS" w:eastAsia="Trebuchet MS" w:hAnsi="Trebuchet MS"/>
                <w:sz w:val="19"/>
                <w:szCs w:val="19"/>
                <w:b w:val="1"/>
                <w:bCs w:val="1"/>
                <w:color w:val="auto"/>
              </w:rPr>
              <w:t>20</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Stockholders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PennantPark Investment Corporation and its Subsidiaries</w:t>
      </w:r>
    </w:p>
    <w:p>
      <w:pPr>
        <w:spacing w:after="0" w:line="200" w:lineRule="exact"/>
        <w:rPr>
          <w:sz w:val="20"/>
          <w:szCs w:val="20"/>
          <w:color w:val="auto"/>
        </w:rPr>
      </w:pPr>
    </w:p>
    <w:p>
      <w:pPr>
        <w:spacing w:after="0" w:line="20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Our audits of the consolidated financial statements and internal control over financial reporting referred to in our reports dated November 17, 2022, (appearing in the accompanying Form 10-K) also included an audit of the senior securities table of PennantPark Investment Corporation and its Subsidiaries (the Company) appearing in Part II, Item 7 in this Form 10-K. This table is the responsibility of the Company’s management. Our responsibility is to express an opinion based on our audits of the consolidated financial statements.</w:t>
      </w:r>
    </w:p>
    <w:p>
      <w:pPr>
        <w:spacing w:after="0" w:line="17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In our opinion, the senior securities table, when considered in relation to the basic consolidated financial statements taken as a whole, presents fairly in all material respects the information set forth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
      <w:numFmt w:val="bullet"/>
      <w:start w:val="1"/>
    </w:lvl>
  </w:abstractNum>
  <w:abstractNum w:abstractNumId="2">
    <w:nsid w:val="25A70BF7"/>
    <w:multiLevelType w:val="hybridMultilevel"/>
    <w:lvl w:ilvl="0">
      <w:lvlJc w:val="left"/>
      <w:lvlText w:val="•"/>
      <w:numFmt w:val="bullet"/>
      <w:start w:val="1"/>
    </w:lvl>
  </w:abstractNum>
  <w:abstractNum w:abstractNumId="3">
    <w:nsid w:val="1DBABF00"/>
    <w:multiLevelType w:val="hybridMultilevel"/>
    <w:lvl w:ilvl="0">
      <w:lvlJc w:val="left"/>
      <w:lvlText w:val="%1)"/>
      <w:numFmt w:val="lowerLetter"/>
      <w:start w:val="1"/>
    </w:lvl>
  </w:abstractNum>
  <w:abstractNum w:abstractNumId="4">
    <w:nsid w:val="4AD084E9"/>
    <w:multiLevelType w:val="hybridMultilevel"/>
    <w:lvl w:ilvl="0">
      <w:lvlJc w:val="left"/>
      <w:lvlText w:val="%1)"/>
      <w:numFmt w:val="lowerLetter"/>
      <w:start w:val="2"/>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1)"/>
      <w:numFmt w:val="lowerLetter"/>
      <w:start w:val="3"/>
    </w:lvl>
  </w:abstractNum>
  <w:abstractNum w:abstractNumId="7">
    <w:nsid w:val="5DB70AE5"/>
    <w:multiLevelType w:val="hybridMultilevel"/>
    <w:lvl w:ilvl="0">
      <w:lvlJc w:val="left"/>
      <w:lvlText w:val="%1)"/>
      <w:numFmt w:val="lowerLetter"/>
      <w:start w:val="4"/>
    </w:lvl>
  </w:abstractNum>
  <w:abstractNum w:abstractNumId="8">
    <w:nsid w:val="100F8FCA"/>
    <w:multiLevelType w:val="hybridMultilevel"/>
    <w:lvl w:ilvl="0">
      <w:lvlJc w:val="left"/>
      <w:lvlText w:val="%1)"/>
      <w:numFmt w:val="lowerLetter"/>
      <w:start w:val="1"/>
    </w:lvl>
  </w:abstractNum>
  <w:abstractNum w:abstractNumId="9">
    <w:nsid w:val="6590700B"/>
    <w:multiLevelType w:val="hybridMultilevel"/>
    <w:lvl w:ilvl="0">
      <w:lvlJc w:val="left"/>
      <w:lvlText w:val="%1)"/>
      <w:numFmt w:val="lowerLetter"/>
      <w:start w:val="2"/>
    </w:lvl>
  </w:abstractNum>
  <w:abstractNum w:abstractNumId="10">
    <w:nsid w:val="15014ACB"/>
    <w:multiLevelType w:val="hybridMultilevel"/>
    <w:lvl w:ilvl="0">
      <w:lvlJc w:val="left"/>
      <w:lvlText w:val="%1)"/>
      <w:numFmt w:val="lowerLetter"/>
      <w:start w:val="3"/>
    </w:lvl>
  </w:abstractNum>
  <w:abstractNum w:abstractNumId="11">
    <w:nsid w:val="5F5E7FD0"/>
    <w:multiLevelType w:val="hybridMultilevel"/>
    <w:lvl w:ilvl="0">
      <w:lvlJc w:val="left"/>
      <w:lvlText w:val="%1)"/>
      <w:numFmt w:val="lowerLetter"/>
      <w:start w:val="4"/>
    </w:lvl>
  </w:abstractNum>
  <w:abstractNum w:abstractNumId="12">
    <w:nsid w:val="98A3148"/>
    <w:multiLevelType w:val="hybridMultilevel"/>
    <w:lvl w:ilvl="0">
      <w:lvlJc w:val="left"/>
      <w:lvlText w:val="%1)"/>
      <w:numFmt w:val="lowerLetter"/>
      <w:start w:val="5"/>
    </w:lvl>
  </w:abstractNum>
  <w:abstractNum w:abstractNumId="13">
    <w:nsid w:val="799D0247"/>
    <w:multiLevelType w:val="hybridMultilevel"/>
    <w:lvl w:ilvl="0">
      <w:lvlJc w:val="left"/>
      <w:lvlText w:val="%1)"/>
      <w:numFmt w:val="lowerLetter"/>
      <w:start w:val="6"/>
    </w:lvl>
  </w:abstractNum>
  <w:abstractNum w:abstractNumId="14">
    <w:nsid w:val="6B94764"/>
    <w:multiLevelType w:val="hybridMultilevel"/>
    <w:lvl w:ilvl="0">
      <w:lvlJc w:val="left"/>
      <w:lvlText w:val="•"/>
      <w:numFmt w:val="bullet"/>
      <w:start w:val="1"/>
    </w:lvl>
  </w:abstractNum>
  <w:abstractNum w:abstractNumId="15">
    <w:nsid w:val="42C296BD"/>
    <w:multiLevelType w:val="hybridMultilevel"/>
    <w:lvl w:ilvl="0">
      <w:lvlJc w:val="left"/>
      <w:lvlText w:val="•"/>
      <w:numFmt w:val="bullet"/>
      <w:start w:val="1"/>
    </w:lvl>
  </w:abstractNum>
  <w:abstractNum w:abstractNumId="16">
    <w:nsid w:val="168E121F"/>
    <w:multiLevelType w:val="hybridMultilevel"/>
    <w:lvl w:ilvl="0">
      <w:lvlJc w:val="left"/>
      <w:lvlText w:val="•"/>
      <w:numFmt w:val="bullet"/>
      <w:start w:val="1"/>
    </w:lvl>
  </w:abstractNum>
  <w:abstractNum w:abstractNumId="17">
    <w:nsid w:val="1EBA5D23"/>
    <w:multiLevelType w:val="hybridMultilevel"/>
    <w:lvl w:ilvl="0">
      <w:lvlJc w:val="left"/>
      <w:lvlText w:val="•"/>
      <w:numFmt w:val="bullet"/>
      <w:start w:val="1"/>
    </w:lvl>
  </w:abstractNum>
  <w:abstractNum w:abstractNumId="18">
    <w:nsid w:val="661E3F1E"/>
    <w:multiLevelType w:val="hybridMultilevel"/>
    <w:lvl w:ilvl="0">
      <w:lvlJc w:val="left"/>
      <w:lvlText w:val="(%1)"/>
      <w:numFmt w:val="decimal"/>
      <w:start w:val="1"/>
    </w:lvl>
  </w:abstractNum>
  <w:abstractNum w:abstractNumId="19">
    <w:nsid w:val="5DC79EA8"/>
    <w:multiLevelType w:val="hybridMultilevel"/>
    <w:lvl w:ilvl="0">
      <w:lvlJc w:val="left"/>
      <w:lvlText w:val="•"/>
      <w:numFmt w:val="bullet"/>
      <w:start w:val="1"/>
    </w:lvl>
  </w:abstractNum>
  <w:abstractNum w:abstractNumId="20">
    <w:nsid w:val="540A471C"/>
    <w:multiLevelType w:val="hybridMultilevel"/>
    <w:lvl w:ilvl="0">
      <w:lvlJc w:val="left"/>
      <w:lvlText w:val="(%1)"/>
      <w:numFmt w:val="decimal"/>
      <w:start w:val="1"/>
    </w:lvl>
  </w:abstractNum>
  <w:abstractNum w:abstractNumId="21">
    <w:nsid w:val="7BD3EE7B"/>
    <w:multiLevelType w:val="hybridMultilevel"/>
    <w:lvl w:ilvl="0">
      <w:lvlJc w:val="left"/>
      <w:lvlText w:val="="/>
      <w:numFmt w:val="bullet"/>
      <w:start w:val="1"/>
    </w:lvl>
  </w:abstractNum>
  <w:abstractNum w:abstractNumId="22">
    <w:nsid w:val="51D9C564"/>
    <w:multiLevelType w:val="hybridMultilevel"/>
    <w:lvl w:ilvl="0">
      <w:lvlJc w:val="left"/>
      <w:lvlText w:val="*"/>
      <w:numFmt w:val="bullet"/>
      <w:start w:val="1"/>
    </w:lvl>
    <w:lvl w:ilvl="1">
      <w:lvlJc w:val="left"/>
      <w:lvlText w:val="="/>
      <w:numFmt w:val="bullet"/>
      <w:start w:val="1"/>
    </w:lvl>
  </w:abstractNum>
  <w:abstractNum w:abstractNumId="23">
    <w:nsid w:val="613EFDC5"/>
    <w:multiLevelType w:val="hybridMultilevel"/>
    <w:lvl w:ilvl="0">
      <w:lvlJc w:val="left"/>
      <w:lvlText w:val="(%1)"/>
      <w:numFmt w:val="decimal"/>
      <w:start w:val="1"/>
    </w:lvl>
  </w:abstractNum>
  <w:abstractNum w:abstractNumId="24">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
      <w:numFmt w:val="bullet"/>
      <w:start w:val="1"/>
    </w:lvl>
  </w:abstractNum>
  <w:abstractNum w:abstractNumId="27">
    <w:nsid w:val="A0382C5"/>
    <w:multiLevelType w:val="hybridMultilevel"/>
    <w:lvl w:ilvl="0">
      <w:lvlJc w:val="left"/>
      <w:lvlText w:val="•"/>
      <w:numFmt w:val="bullet"/>
      <w:start w:val="1"/>
    </w:lvl>
    <w:lvl w:ilvl="1">
      <w:lvlJc w:val="left"/>
      <w:lvlText w:val="%2)"/>
      <w:numFmt w:val="decimal"/>
      <w:start w:val="1"/>
    </w:lvl>
  </w:abstractNum>
  <w:abstractNum w:abstractNumId="28">
    <w:nsid w:val="8F2B15E"/>
    <w:multiLevelType w:val="hybridMultilevel"/>
    <w:lvl w:ilvl="0">
      <w:lvlJc w:val="left"/>
      <w:lvlText w:val="%1"/>
      <w:numFmt w:val="upperLetter"/>
      <w:start w:val="35"/>
    </w:lvl>
  </w:abstractNum>
  <w:abstractNum w:abstractNumId="29">
    <w:nsid w:val="1A32234B"/>
    <w:multiLevelType w:val="hybridMultilevel"/>
    <w:lvl w:ilvl="0">
      <w:lvlJc w:val="left"/>
      <w:lvlText w:val="•"/>
      <w:numFmt w:val="bullet"/>
      <w:start w:val="1"/>
    </w:lvl>
  </w:abstractNum>
  <w:abstractNum w:abstractNumId="30">
    <w:nsid w:val="3B0FD379"/>
    <w:multiLevelType w:val="hybridMultilevel"/>
    <w:lvl w:ilvl="0">
      <w:lvlJc w:val="left"/>
      <w:lvlText w:val="•"/>
      <w:numFmt w:val="bullet"/>
      <w:start w:val="1"/>
    </w:lvl>
  </w:abstractNum>
  <w:abstractNum w:abstractNumId="31">
    <w:nsid w:val="68EB2F63"/>
    <w:multiLevelType w:val="hybridMultilevel"/>
    <w:lvl w:ilvl="0">
      <w:lvlJc w:val="left"/>
      <w:lvlText w:val="•"/>
      <w:numFmt w:val="bullet"/>
      <w:start w:val="1"/>
    </w:lvl>
  </w:abstractNum>
  <w:abstractNum w:abstractNumId="32">
    <w:nsid w:val="4962813B"/>
    <w:multiLevelType w:val="hybridMultilevel"/>
    <w:lvl w:ilvl="0">
      <w:lvlJc w:val="left"/>
      <w:lvlText w:val="%1"/>
      <w:numFmt w:val="upperLetter"/>
      <w:start w:val="35"/>
    </w:lvl>
  </w:abstractNum>
  <w:abstractNum w:abstractNumId="33">
    <w:nsid w:val="60B6DF70"/>
    <w:multiLevelType w:val="hybridMultilevel"/>
    <w:lvl w:ilvl="0">
      <w:lvlJc w:val="left"/>
      <w:lvlText w:val="•"/>
      <w:numFmt w:val="bullet"/>
      <w:start w:val="1"/>
    </w:lvl>
  </w:abstractNum>
  <w:abstractNum w:abstractNumId="34">
    <w:nsid w:val="6A5EE64"/>
    <w:multiLevelType w:val="hybridMultilevel"/>
    <w:lvl w:ilvl="0">
      <w:lvlJc w:val="left"/>
      <w:lvlText w:val="•"/>
      <w:numFmt w:val="bullet"/>
      <w:start w:val="1"/>
    </w:lvl>
  </w:abstractNum>
  <w:abstractNum w:abstractNumId="35">
    <w:nsid w:val="14330624"/>
    <w:multiLevelType w:val="hybridMultilevel"/>
    <w:lvl w:ilvl="0">
      <w:lvlJc w:val="left"/>
      <w:lvlText w:val="(%1)"/>
      <w:numFmt w:val="decimal"/>
      <w:start w:val="1"/>
    </w:lvl>
  </w:abstractNum>
  <w:abstractNum w:abstractNumId="36">
    <w:nsid w:val="7FFFCA11"/>
    <w:multiLevelType w:val="hybridMultilevel"/>
    <w:lvl w:ilvl="0">
      <w:lvlJc w:val="left"/>
      <w:lvlText w:val="•"/>
      <w:numFmt w:val="bullet"/>
      <w:start w:val="1"/>
    </w:lvl>
  </w:abstractNum>
  <w:abstractNum w:abstractNumId="37">
    <w:nsid w:val="1A27709E"/>
    <w:multiLevelType w:val="hybridMultilevel"/>
    <w:lvl w:ilvl="0">
      <w:lvlJc w:val="left"/>
      <w:lvlText w:val="%1."/>
      <w:numFmt w:val="decimal"/>
      <w:start w:val="1"/>
    </w:lvl>
  </w:abstractNum>
  <w:abstractNum w:abstractNumId="38">
    <w:nsid w:val="71EA1109"/>
    <w:multiLevelType w:val="hybridMultilevel"/>
    <w:lvl w:ilvl="0">
      <w:lvlJc w:val="left"/>
      <w:lvlText w:val="•"/>
      <w:numFmt w:val="bullet"/>
      <w:start w:val="1"/>
    </w:lvl>
  </w:abstractNum>
  <w:abstractNum w:abstractNumId="39">
    <w:nsid w:val="100F59DC"/>
    <w:multiLevelType w:val="hybridMultilevel"/>
    <w:lvl w:ilvl="0">
      <w:lvlJc w:val="left"/>
      <w:lvlText w:val="•"/>
      <w:numFmt w:val="bullet"/>
      <w:start w:val="1"/>
    </w:lvl>
  </w:abstractNum>
  <w:abstractNum w:abstractNumId="40">
    <w:nsid w:val="7FB7E0AA"/>
    <w:multiLevelType w:val="hybridMultilevel"/>
    <w:lvl w:ilvl="0">
      <w:lvlJc w:val="left"/>
      <w:lvlText w:val="•"/>
      <w:numFmt w:val="bullet"/>
      <w:start w:val="1"/>
    </w:lvl>
  </w:abstractNum>
  <w:abstractNum w:abstractNumId="41">
    <w:nsid w:val="6EB5BD4"/>
    <w:multiLevelType w:val="hybridMultilevel"/>
    <w:lvl w:ilvl="0">
      <w:lvlJc w:val="left"/>
      <w:lvlText w:val="•"/>
      <w:numFmt w:val="bullet"/>
      <w:start w:val="1"/>
    </w:lvl>
  </w:abstractNum>
  <w:abstractNum w:abstractNumId="42">
    <w:nsid w:val="6F6DD9AC"/>
    <w:multiLevelType w:val="hybridMultilevel"/>
    <w:lvl w:ilvl="0">
      <w:lvlJc w:val="left"/>
      <w:lvlText w:val="•"/>
      <w:numFmt w:val="bullet"/>
      <w:start w:val="1"/>
    </w:lvl>
  </w:abstractNum>
  <w:abstractNum w:abstractNumId="43">
    <w:nsid w:val="94211F2"/>
    <w:multiLevelType w:val="hybridMultilevel"/>
    <w:lvl w:ilvl="0">
      <w:lvlJc w:val="left"/>
      <w:lvlText w:val="•"/>
      <w:numFmt w:val="bullet"/>
      <w:start w:val="1"/>
    </w:lvl>
    <w:lvl w:ilvl="1">
      <w:lvlJc w:val="left"/>
      <w:lvlText w:val="•"/>
      <w:numFmt w:val="bullet"/>
      <w:start w:val="1"/>
    </w:lvl>
  </w:abstractNum>
  <w:abstractNum w:abstractNumId="44">
    <w:nsid w:val="885E1B"/>
    <w:multiLevelType w:val="hybridMultilevel"/>
    <w:lvl w:ilvl="0">
      <w:lvlJc w:val="left"/>
      <w:lvlText w:val="(%1)"/>
      <w:numFmt w:val="decimal"/>
      <w:start w:val="1"/>
    </w:lvl>
  </w:abstractNum>
  <w:abstractNum w:abstractNumId="45">
    <w:nsid w:val="76272110"/>
    <w:multiLevelType w:val="hybridMultilevel"/>
    <w:lvl w:ilvl="0">
      <w:lvlJc w:val="left"/>
      <w:lvlText w:val="(%1)"/>
      <w:numFmt w:val="decimal"/>
      <w:start w:val="1"/>
    </w:lvl>
  </w:abstractNum>
  <w:abstractNum w:abstractNumId="46">
    <w:nsid w:val="4C04A8AF"/>
    <w:multiLevelType w:val="hybridMultilevel"/>
    <w:lvl w:ilvl="0">
      <w:lvlJc w:val="left"/>
      <w:lvlText w:val="(%1)"/>
      <w:numFmt w:val="decimal"/>
      <w:start w:val="1"/>
    </w:lvl>
  </w:abstractNum>
  <w:abstractNum w:abstractNumId="47">
    <w:nsid w:val="1716703B"/>
    <w:multiLevelType w:val="hybridMultilevel"/>
    <w:lvl w:ilvl="0">
      <w:lvlJc w:val="left"/>
      <w:lvlText w:val="•"/>
      <w:numFmt w:val="bullet"/>
      <w:start w:val="1"/>
    </w:lvl>
  </w:abstractNum>
  <w:abstractNum w:abstractNumId="48">
    <w:nsid w:val="14E17E33"/>
    <w:multiLevelType w:val="hybridMultilevel"/>
    <w:lvl w:ilvl="0">
      <w:lvlJc w:val="left"/>
      <w:lvlText w:val=" "/>
      <w:numFmt w:val="bullet"/>
      <w:start w:val="1"/>
    </w:lvl>
  </w:abstractNum>
  <w:abstractNum w:abstractNumId="49">
    <w:nsid w:val="3222E7CD"/>
    <w:multiLevelType w:val="hybridMultilevel"/>
    <w:lvl w:ilvl="0">
      <w:lvlJc w:val="left"/>
      <w:lvlText w:val="(%1)"/>
      <w:numFmt w:val="decimal"/>
      <w:start w:val="1"/>
    </w:lvl>
  </w:abstractNum>
  <w:abstractNum w:abstractNumId="50">
    <w:nsid w:val="74DE0EE3"/>
    <w:multiLevelType w:val="hybridMultilevel"/>
    <w:lvl w:ilvl="0">
      <w:lvlJc w:val="left"/>
      <w:lvlText w:val="(%1)"/>
      <w:numFmt w:val="decimal"/>
      <w:start w:val="5"/>
    </w:lvl>
  </w:abstractNum>
  <w:abstractNum w:abstractNumId="51">
    <w:nsid w:val="68EBC550"/>
    <w:multiLevelType w:val="hybridMultilevel"/>
    <w:lvl w:ilvl="0">
      <w:lvlJc w:val="left"/>
      <w:lvlText w:val="%1."/>
      <w:numFmt w:val="decimal"/>
      <w:start w:val="1"/>
    </w:lvl>
  </w:abstractNum>
  <w:abstractNum w:abstractNumId="52">
    <w:nsid w:val="2DF6D648"/>
    <w:multiLevelType w:val="hybridMultilevel"/>
    <w:lvl w:ilvl="0">
      <w:lvlJc w:val="left"/>
      <w:lvlText w:val="(%1)"/>
      <w:numFmt w:val="decimal"/>
      <w:start w:val="1"/>
    </w:lvl>
  </w:abstractNum>
  <w:abstractNum w:abstractNumId="53">
    <w:nsid w:val="46B7D447"/>
    <w:multiLevelType w:val="hybridMultilevel"/>
    <w:lvl w:ilvl="0">
      <w:lvlJc w:val="left"/>
      <w:lvlText w:val="(%1)"/>
      <w:numFmt w:val="decimal"/>
      <w:start w:val="1"/>
    </w:lvl>
  </w:abstractNum>
  <w:abstractNum w:abstractNumId="54">
    <w:nsid w:val="4A2AC315"/>
    <w:multiLevelType w:val="hybridMultilevel"/>
    <w:lvl w:ilvl="0">
      <w:lvlJc w:val="left"/>
      <w:lvlText w:val="(%1)"/>
      <w:numFmt w:val="decimal"/>
      <w:start w:val="1"/>
    </w:lvl>
  </w:abstractNum>
  <w:abstractNum w:abstractNumId="55">
    <w:nsid w:val="39EE015C"/>
    <w:multiLevelType w:val="hybridMultilevel"/>
    <w:lvl w:ilvl="0">
      <w:lvlJc w:val="left"/>
      <w:lvlText w:val="(%1)"/>
      <w:numFmt w:val="decimal"/>
      <w:start w:val="1"/>
    </w:lvl>
  </w:abstractNum>
  <w:abstractNum w:abstractNumId="56">
    <w:nsid w:val="57FC4FBB"/>
    <w:multiLevelType w:val="hybridMultilevel"/>
    <w:lvl w:ilvl="0">
      <w:lvlJc w:val="left"/>
      <w:lvlText w:val="•"/>
      <w:numFmt w:val="bullet"/>
      <w:start w:val="1"/>
    </w:lvl>
  </w:abstractNum>
  <w:abstractNum w:abstractNumId="57">
    <w:nsid w:val="CC1016F"/>
    <w:multiLevelType w:val="hybridMultilevel"/>
    <w:lvl w:ilvl="0">
      <w:lvlJc w:val="left"/>
      <w:lvlText w:val="•"/>
      <w:numFmt w:val="bullet"/>
      <w:start w:val="1"/>
    </w:lvl>
  </w:abstractNum>
  <w:abstractNum w:abstractNumId="58">
    <w:nsid w:val="43F18422"/>
    <w:multiLevelType w:val="hybridMultilevel"/>
    <w:lvl w:ilvl="0">
      <w:lvlJc w:val="left"/>
      <w:lvlText w:val="(%1)"/>
      <w:numFmt w:val="decimal"/>
      <w:start w:val="1"/>
    </w:lvl>
  </w:abstractNum>
  <w:abstractNum w:abstractNumId="59">
    <w:nsid w:val="60EF0119"/>
    <w:multiLevelType w:val="hybridMultilevel"/>
    <w:lvl w:ilvl="0">
      <w:lvlJc w:val="left"/>
      <w:lvlText w:val="(%1)"/>
      <w:numFmt w:val="decimal"/>
      <w:start w:val="1"/>
    </w:lvl>
  </w:abstractNum>
  <w:abstractNum w:abstractNumId="60">
    <w:nsid w:val="26F324BA"/>
    <w:multiLevelType w:val="hybridMultilevel"/>
    <w:lvl w:ilvl="0">
      <w:lvlJc w:val="left"/>
      <w:lvlText w:val="(%1)"/>
      <w:numFmt w:val="decimal"/>
      <w:start w:val="1"/>
    </w:lvl>
  </w:abstractNum>
  <w:abstractNum w:abstractNumId="61">
    <w:nsid w:val="7F01579B"/>
    <w:multiLevelType w:val="hybridMultilevel"/>
    <w:lvl w:ilvl="0">
      <w:lvlJc w:val="left"/>
      <w:lvlText w:val="(%1)"/>
      <w:numFmt w:val="decimal"/>
      <w:start w:val="11"/>
    </w:lvl>
  </w:abstractNum>
  <w:abstractNum w:abstractNumId="62">
    <w:nsid w:val="49DA307D"/>
    <w:multiLevelType w:val="hybridMultilevel"/>
    <w:lvl w:ilvl="0">
      <w:lvlJc w:val="left"/>
      <w:lvlText w:val="(%1)"/>
      <w:numFmt w:val="lowerLetter"/>
      <w:start w:val="1"/>
    </w:lvl>
  </w:abstractNum>
  <w:abstractNum w:abstractNumId="63">
    <w:nsid w:val="7055A5F5"/>
    <w:multiLevelType w:val="hybridMultilevel"/>
    <w:lvl w:ilvl="0">
      <w:lvlJc w:val="left"/>
      <w:lvlText w:val="(%1)"/>
      <w:numFmt w:val="decimal"/>
      <w:start w:val="1"/>
    </w:lvl>
  </w:abstractNum>
  <w:abstractNum w:abstractNumId="64">
    <w:nsid w:val="5FB8370B"/>
    <w:multiLevelType w:val="hybridMultilevel"/>
    <w:lvl w:ilvl="0">
      <w:lvlJc w:val="left"/>
      <w:lvlText w:val="(%1)"/>
      <w:numFmt w:val="lowerLetter"/>
      <w:start w:val="2"/>
    </w:lvl>
  </w:abstractNum>
  <w:abstractNum w:abstractNumId="65">
    <w:nsid w:val="50801EE1"/>
    <w:multiLevelType w:val="hybridMultilevel"/>
    <w:lvl w:ilvl="0">
      <w:lvlJc w:val="left"/>
      <w:lvlText w:val="(%1)"/>
      <w:numFmt w:val="lowerLetter"/>
      <w:start w:val="3"/>
    </w:lvl>
  </w:abstractNum>
  <w:abstractNum w:abstractNumId="66">
    <w:nsid w:val="488AC1A"/>
    <w:multiLevelType w:val="hybridMultilevel"/>
    <w:lvl w:ilvl="0">
      <w:lvlJc w:val="left"/>
      <w:lvlText w:val="(%1)"/>
      <w:numFmt w:val="lowerLetter"/>
      <w:start w:val="4"/>
    </w:lvl>
  </w:abstractNum>
  <w:abstractNum w:abstractNumId="67">
    <w:nsid w:val="5FB8011C"/>
    <w:multiLevelType w:val="hybridMultilevel"/>
    <w:lvl w:ilvl="0">
      <w:lvlJc w:val="left"/>
      <w:lvlText w:val="(%1)"/>
      <w:numFmt w:val="lowerLetter"/>
      <w:start w:val="5"/>
    </w:lvl>
  </w:abstractNum>
  <w:abstractNum w:abstractNumId="68">
    <w:nsid w:val="6AA78F7F"/>
    <w:multiLevelType w:val="hybridMultilevel"/>
    <w:lvl w:ilvl="0">
      <w:lvlJc w:val="left"/>
      <w:lvlText w:val="%1."/>
      <w:numFmt w:val="decimal"/>
      <w:start w:val="1"/>
    </w:lvl>
  </w:abstractNum>
  <w:abstractNum w:abstractNumId="69">
    <w:nsid w:val="7672BD23"/>
    <w:multiLevelType w:val="hybridMultilevel"/>
    <w:lvl w:ilvl="0">
      <w:lvlJc w:val="left"/>
      <w:lvlText w:val="(%1)"/>
      <w:numFmt w:val="lowerLetter"/>
      <w:start w:val="6"/>
    </w:lvl>
  </w:abstractNum>
  <w:abstractNum w:abstractNumId="70">
    <w:nsid w:val="6FC75AF8"/>
    <w:multiLevelType w:val="hybridMultilevel"/>
    <w:lvl w:ilvl="0">
      <w:lvlJc w:val="left"/>
      <w:lvlText w:val="%1."/>
      <w:numFmt w:val="decimal"/>
      <w:start w:val="1"/>
    </w:lvl>
  </w:abstractNum>
  <w:abstractNum w:abstractNumId="71">
    <w:nsid w:val="6A5F7029"/>
    <w:multiLevelType w:val="hybridMultilevel"/>
    <w:lvl w:ilvl="0">
      <w:lvlJc w:val="left"/>
      <w:lvlText w:val="%1."/>
      <w:numFmt w:val="decimal"/>
      <w:start w:val="3"/>
    </w:lvl>
  </w:abstractNum>
  <w:abstractNum w:abstractNumId="72">
    <w:nsid w:val="7D5E18F8"/>
    <w:multiLevelType w:val="hybridMultilevel"/>
    <w:lvl w:ilvl="0">
      <w:lvlJc w:val="left"/>
      <w:lvlText w:val="(%1)"/>
      <w:numFmt w:val="decimal"/>
      <w:start w:val="1"/>
    </w:lvl>
  </w:abstractNum>
  <w:abstractNum w:abstractNumId="73">
    <w:nsid w:val="5F3534A4"/>
    <w:multiLevelType w:val="hybridMultilevel"/>
    <w:lvl w:ilvl="0">
      <w:lvlJc w:val="left"/>
      <w:lvlText w:val="(%1)"/>
      <w:numFmt w:val="decimal"/>
      <w:start w:val="1"/>
    </w:lvl>
  </w:abstractNum>
  <w:abstractNum w:abstractNumId="74">
    <w:nsid w:val="73A1821B"/>
    <w:multiLevelType w:val="hybridMultilevel"/>
    <w:lvl w:ilvl="0">
      <w:lvlJc w:val="left"/>
      <w:lvlText w:val="(%1)"/>
      <w:numFmt w:val="decimal"/>
      <w:start w:val="1"/>
    </w:lvl>
  </w:abstractNum>
  <w:abstractNum w:abstractNumId="75">
    <w:nsid w:val="7DE67713"/>
    <w:multiLevelType w:val="hybridMultilevel"/>
    <w:lvl w:ilvl="0">
      <w:lvlJc w:val="left"/>
      <w:lvlText w:val="(%1)"/>
      <w:numFmt w:val="decimal"/>
      <w:start w:val="1"/>
    </w:lvl>
  </w:abstractNum>
  <w:abstractNum w:abstractNumId="76">
    <w:nsid w:val="555C55B5"/>
    <w:multiLevelType w:val="hybridMultilevel"/>
    <w:lvl w:ilvl="0">
      <w:lvlJc w:val="left"/>
      <w:lvlText w:val="(%1)"/>
      <w:numFmt w:val="decimal"/>
      <w:start w:val="1"/>
    </w:lvl>
  </w:abstractNum>
  <w:abstractNum w:abstractNumId="77">
    <w:nsid w:val="3FA62ACA"/>
    <w:multiLevelType w:val="hybridMultilevel"/>
    <w:lvl w:ilvl="0">
      <w:lvlJc w:val="left"/>
      <w:lvlText w:val="(%1)"/>
      <w:numFmt w:val="decimal"/>
      <w:start w:val="1"/>
    </w:lvl>
  </w:abstractNum>
  <w:abstractNum w:abstractNumId="78">
    <w:nsid w:val="14FCE74E"/>
    <w:multiLevelType w:val="hybridMultilevel"/>
    <w:lvl w:ilvl="0">
      <w:lvlJc w:val="left"/>
      <w:lvlText w:val="(%1)"/>
      <w:numFmt w:val="decimal"/>
      <w:start w:val="1"/>
    </w:lvl>
  </w:abstractNum>
  <w:abstractNum w:abstractNumId="79">
    <w:nsid w:val="6A3DD3E8"/>
    <w:multiLevelType w:val="hybridMultilevel"/>
    <w:lvl w:ilvl="0">
      <w:lvlJc w:val="left"/>
      <w:lvlText w:val=" "/>
      <w:numFmt w:val="bullet"/>
      <w:start w:val="1"/>
    </w:lvl>
  </w:abstractNum>
  <w:abstractNum w:abstractNumId="80">
    <w:nsid w:val="71C91298"/>
    <w:multiLevelType w:val="hybridMultilevel"/>
    <w:lvl w:ilvl="0">
      <w:lvlJc w:val="left"/>
      <w:lvlText w:val="(%1)"/>
      <w:numFmt w:val="decimal"/>
      <w:start w:val="1"/>
    </w:lvl>
  </w:abstractNum>
  <w:abstractNum w:abstractNumId="81">
    <w:nsid w:val="9DAF632"/>
    <w:multiLevelType w:val="hybridMultilevel"/>
    <w:lvl w:ilvl="0">
      <w:lvlJc w:val="left"/>
      <w:lvlText w:val="(%1)"/>
      <w:numFmt w:val="decimal"/>
      <w:start w:val="1"/>
    </w:lvl>
  </w:abstractNum>
  <w:abstractNum w:abstractNumId="82">
    <w:nsid w:val="53299938"/>
    <w:multiLevelType w:val="hybridMultilevel"/>
    <w:lvl w:ilvl="0">
      <w:lvlJc w:val="left"/>
      <w:lvlText w:val="%1)"/>
      <w:numFmt w:val="lowerLetter"/>
      <w:start w:val="1"/>
    </w:lvl>
  </w:abstractNum>
  <w:abstractNum w:abstractNumId="83">
    <w:nsid w:val="1FBFE8E0"/>
    <w:multiLevelType w:val="hybridMultilevel"/>
    <w:lvl w:ilvl="0">
      <w:lvlJc w:val="left"/>
      <w:lvlText w:val="%1)"/>
      <w:numFmt w:val="lowerLetter"/>
      <w:start w:val="2"/>
    </w:lvl>
  </w:abstractNum>
  <w:abstractNum w:abstractNumId="84">
    <w:nsid w:val="5092CA79"/>
    <w:multiLevelType w:val="hybridMultilevel"/>
    <w:lvl w:ilvl="0">
      <w:lvlJc w:val="left"/>
      <w:lvlText w:val="%1)"/>
      <w:numFmt w:val="lowerLetter"/>
      <w:start w:val="3"/>
    </w:lvl>
  </w:abstractNum>
  <w:abstractNum w:abstractNumId="85">
    <w:nsid w:val="1D545C4D"/>
    <w:multiLevelType w:val="hybridMultilevel"/>
    <w:lvl w:ilvl="0">
      <w:lvlJc w:val="left"/>
      <w:lvlText w:val="(%1)"/>
      <w:numFmt w:val="decimal"/>
      <w:start w:val="1"/>
    </w:lvl>
  </w:abstractNum>
  <w:abstractNum w:abstractNumId="86">
    <w:nsid w:val="59ADEA3D"/>
    <w:multiLevelType w:val="hybridMultilevel"/>
    <w:lvl w:ilvl="0">
      <w:lvlJc w:val="left"/>
      <w:lvlText w:val="*"/>
      <w:numFmt w:val="bullet"/>
      <w:start w:val="1"/>
    </w:lvl>
    <w:lvl w:ilvl="1">
      <w:lvlJc w:val="left"/>
      <w:lvlText w:val="%2"/>
      <w:numFmt w:val="decimal"/>
      <w:start w:val="104"/>
    </w:lvl>
  </w:abstractNum>
  <w:abstractNum w:abstractNumId="87">
    <w:nsid w:val="288F1A34"/>
    <w:multiLevelType w:val="hybridMultilevel"/>
    <w:lvl w:ilvl="0">
      <w:lvlJc w:val="left"/>
      <w:lvlText w:val="(%1)"/>
      <w:numFmt w:val="upperLetter"/>
      <w:start w:val="1"/>
    </w:lvl>
  </w:abstractNum>
  <w:abstractNum w:abstractNumId="88">
    <w:nsid w:val="2A155DBC"/>
    <w:multiLevelType w:val="hybridMultilevel"/>
    <w:lvl w:ilvl="0">
      <w:lvlJc w:val="left"/>
      <w:lvlText w:val="(%1)"/>
      <w:numFmt w:val="upperLetter"/>
      <w:start w:val="2"/>
    </w:lvl>
  </w:abstractNum>
  <w:abstractNum w:abstractNumId="89">
    <w:nsid w:val="1D9F6E5F"/>
    <w:multiLevelType w:val="hybridMultilevel"/>
    <w:lvl w:ilvl="0">
      <w:lvlJc w:val="left"/>
      <w:lvlText w:val="(%1)"/>
      <w:numFmt w:val="upperLetter"/>
      <w:start w:val="7"/>
    </w:lvl>
  </w:abstractNum>
  <w:abstractNum w:abstractNumId="90">
    <w:nsid w:val="97E1B4E"/>
    <w:multiLevelType w:val="hybridMultilevel"/>
    <w:lvl w:ilvl="0">
      <w:lvlJc w:val="left"/>
      <w:lvlText w:val="(%1)"/>
      <w:numFmt w:val="lowerRoman"/>
      <w:start w:val="1"/>
    </w:lvl>
  </w:abstractNum>
  <w:abstractNum w:abstractNumId="91">
    <w:nsid w:val="51088277"/>
    <w:multiLevelType w:val="hybridMultilevel"/>
    <w:lvl w:ilvl="0">
      <w:lvlJc w:val="left"/>
      <w:lvlText w:val="(%1)"/>
      <w:numFmt w:val="lowerRoman"/>
      <w:start w:val="3"/>
    </w:lvl>
  </w:abstractNum>
  <w:abstractNum w:abstractNumId="92">
    <w:nsid w:val="1CA0C5FA"/>
    <w:multiLevelType w:val="hybridMultilevel"/>
    <w:lvl w:ilvl="0">
      <w:lvlJc w:val="left"/>
      <w:lvlText w:val="(%1)"/>
      <w:numFmt w:val="decimal"/>
      <w:start w:val="1"/>
    </w:lvl>
  </w:abstractNum>
  <w:abstractNum w:abstractNumId="93">
    <w:nsid w:val="53584BCB"/>
    <w:multiLevelType w:val="hybridMultilevel"/>
    <w:lvl w:ilvl="0">
      <w:lvlJc w:val="left"/>
      <w:lvlText w:val="(%1)"/>
      <w:numFmt w:val="upperLetter"/>
      <w:start w:val="1"/>
    </w:lvl>
  </w:abstractNum>
  <w:abstractNum w:abstractNumId="94">
    <w:nsid w:val="415E286C"/>
    <w:multiLevelType w:val="hybridMultilevel"/>
    <w:lvl w:ilvl="0">
      <w:lvlJc w:val="left"/>
      <w:lvlText w:val="%1"/>
      <w:numFmt w:val="upperLetter"/>
      <w:start w:val="1"/>
    </w:lvl>
    <w:lvl w:ilvl="1">
      <w:lvlJc w:val="left"/>
      <w:lvlText w:val="(%2)"/>
      <w:numFmt w:val="decimal"/>
      <w:start w:val="1"/>
    </w:lvl>
  </w:abstractNum>
  <w:abstractNum w:abstractNumId="95">
    <w:nsid w:val="7C58FD05"/>
    <w:multiLevelType w:val="hybridMultilevel"/>
    <w:lvl w:ilvl="0">
      <w:lvlJc w:val="left"/>
      <w:lvlText w:val="(%1)"/>
      <w:numFmt w:val="upperLetter"/>
      <w:start w:val="3"/>
    </w:lvl>
    <w:lvl w:ilvl="1">
      <w:lvlJc w:val="left"/>
      <w:lvlText w:val="%2"/>
      <w:numFmt w:val="decimal"/>
      <w:start w:val="1"/>
    </w:lvl>
  </w:abstractNum>
  <w:abstractNum w:abstractNumId="96">
    <w:nsid w:val="23D86AAC"/>
    <w:multiLevelType w:val="hybridMultilevel"/>
    <w:lvl w:ilvl="0">
      <w:lvlJc w:val="left"/>
      <w:lvlText w:val="(%1)"/>
      <w:numFmt w:val="decimal"/>
      <w:start w:val="1"/>
    </w:lvl>
  </w:abstractNum>
  <w:abstractNum w:abstractNumId="97">
    <w:nsid w:val="45E6D486"/>
    <w:multiLevelType w:val="hybridMultilevel"/>
    <w:lvl w:ilvl="0">
      <w:lvlJc w:val="left"/>
      <w:lvlText w:val="%1"/>
      <w:numFmt w:val="upperLetter"/>
      <w:start w:val="1"/>
    </w:lvl>
    <w:lvl w:ilvl="1">
      <w:lvlJc w:val="left"/>
      <w:lvlText w:val="(%2)"/>
      <w:numFmt w:val="decimal"/>
      <w:start w:val="3"/>
    </w:lvl>
  </w:abstractNum>
  <w:abstractNum w:abstractNumId="98">
    <w:nsid w:val="5C10FE21"/>
    <w:multiLevelType w:val="hybridMultilevel"/>
    <w:lvl w:ilvl="0">
      <w:lvlJc w:val="left"/>
      <w:lvlText w:val="(%1)"/>
      <w:numFmt w:val="upperLetter"/>
      <w:start w:val="6"/>
    </w:lvl>
    <w:lvl w:ilvl="1">
      <w:lvlJc w:val="left"/>
      <w:lvlText w:val="%2"/>
      <w:numFmt w:val="decimal"/>
      <w:start w:val="1"/>
    </w:lvl>
  </w:abstractNum>
  <w:abstractNum w:abstractNumId="99">
    <w:nsid w:val="E7FFA2B"/>
    <w:multiLevelType w:val="hybridMultilevel"/>
    <w:lvl w:ilvl="0">
      <w:lvlJc w:val="left"/>
      <w:lvlText w:val="(%1)"/>
      <w:numFmt w:val="upperLetter"/>
      <w:start w:val="9"/>
    </w:lvl>
  </w:abstractNum>
  <w:abstractNum w:abstractNumId="100">
    <w:nsid w:val="3C5991AA"/>
    <w:multiLevelType w:val="hybridMultilevel"/>
    <w:lvl w:ilvl="0">
      <w:lvlJc w:val="left"/>
      <w:lvlText w:val="(%1)"/>
      <w:numFmt w:val="upperLetter"/>
      <w:start w:val="1"/>
    </w:lvl>
  </w:abstractNum>
  <w:abstractNum w:abstractNumId="101">
    <w:nsid w:val="4BD8591A"/>
    <w:multiLevelType w:val="hybridMultilevel"/>
    <w:lvl w:ilvl="0">
      <w:lvlJc w:val="left"/>
      <w:lvlText w:val="(%1)"/>
      <w:numFmt w:val="decimal"/>
      <w:start w:val="1"/>
    </w:lvl>
  </w:abstractNum>
  <w:abstractNum w:abstractNumId="102">
    <w:nsid w:val="78DF6A55"/>
    <w:multiLevelType w:val="hybridMultilevel"/>
    <w:lvl w:ilvl="0">
      <w:lvlJc w:val="left"/>
      <w:lvlText w:val="(%1)"/>
      <w:numFmt w:val="upperLetter"/>
      <w:start w:val="5"/>
    </w:lvl>
  </w:abstractNum>
  <w:abstractNum w:abstractNumId="103">
    <w:nsid w:val="39B7AAA2"/>
    <w:multiLevelType w:val="hybridMultilevel"/>
    <w:lvl w:ilvl="0">
      <w:lvlJc w:val="left"/>
      <w:lvlText w:val="(%1)"/>
      <w:numFmt w:val="upperLetter"/>
      <w:start w:val="1"/>
    </w:lvl>
    <w:lvl w:ilvl="1">
      <w:lvlJc w:val="left"/>
      <w:lvlText w:val="(%2)"/>
      <w:numFmt w:val="decimal"/>
      <w:start w:val="1"/>
    </w:lvl>
  </w:abstractNum>
  <w:abstractNum w:abstractNumId="104">
    <w:nsid w:val="2B0D8DBE"/>
    <w:multiLevelType w:val="hybridMultilevel"/>
    <w:lvl w:ilvl="0">
      <w:lvlJc w:val="left"/>
      <w:lvlText w:val="%1"/>
      <w:numFmt w:val="upperLetter"/>
      <w:start w:val="1"/>
    </w:lvl>
    <w:lvl w:ilvl="1">
      <w:lvlJc w:val="left"/>
      <w:lvlText w:val="(%2)"/>
      <w:numFmt w:val="decimal"/>
      <w:start w:val="4"/>
    </w:lvl>
  </w:abstractNum>
  <w:abstractNum w:abstractNumId="105">
    <w:nsid w:val="6C80EC70"/>
    <w:multiLevelType w:val="hybridMultilevel"/>
    <w:lvl w:ilvl="0">
      <w:lvlJc w:val="left"/>
      <w:lvlText w:val="(%1)"/>
      <w:numFmt w:val="upperLetter"/>
      <w:start w:val="3"/>
    </w:lvl>
    <w:lvl w:ilvl="1">
      <w:lvlJc w:val="left"/>
      <w:lvlText w:val="(%2)"/>
      <w:numFmt w:val="decimal"/>
      <w:start w:val="1"/>
    </w:lvl>
  </w:abstractNum>
  <w:abstractNum w:abstractNumId="106">
    <w:nsid w:val="379E21B5"/>
    <w:multiLevelType w:val="hybridMultilevel"/>
    <w:lvl w:ilvl="0">
      <w:lvlJc w:val="left"/>
      <w:lvlText w:val="(%1)"/>
      <w:numFmt w:val="decimal"/>
      <w:start w:val="1"/>
    </w:lvl>
  </w:abstractNum>
  <w:abstractNum w:abstractNumId="107">
    <w:nsid w:val="69E373"/>
    <w:multiLevelType w:val="hybridMultilevel"/>
    <w:lvl w:ilvl="0">
      <w:lvlJc w:val="left"/>
      <w:lvlText w:val="%1."/>
      <w:numFmt w:val="decimal"/>
      <w:start w:val="1"/>
    </w:lvl>
    <w:lvl w:ilvl="1">
      <w:lvlJc w:val="left"/>
      <w:lvlText w:val="%2)"/>
      <w:numFmt w:val="lowerLetter"/>
      <w:start w:val="1"/>
    </w:lvl>
  </w:abstractNum>
  <w:abstractNum w:abstractNumId="108">
    <w:nsid w:val="2C27173B"/>
    <w:multiLevelType w:val="hybridMultilevel"/>
    <w:lvl w:ilvl="0">
      <w:lvlJc w:val="left"/>
      <w:lvlText w:val="%1."/>
      <w:numFmt w:val="decimal"/>
      <w:start w:val="1"/>
    </w:lvl>
    <w:lvl w:ilvl="1">
      <w:lvlJc w:val="left"/>
      <w:lvlText w:val="%2)"/>
      <w:numFmt w:val="lowerLetter"/>
      <w:start w:val="1"/>
    </w:lvl>
  </w:abstractNum>
  <w:abstractNum w:abstractNumId="109">
    <w:nsid w:val="4C9B0904"/>
    <w:multiLevelType w:val="hybridMultilevel"/>
    <w:lvl w:ilvl="0">
      <w:lvlJc w:val="left"/>
      <w:lvlText w:val="(%1)"/>
      <w:numFmt w:val="decimal"/>
      <w:start w:val="1"/>
    </w:lvl>
  </w:abstractNum>
  <w:abstractNum w:abstractNumId="110">
    <w:nsid w:val="6AA7B75C"/>
    <w:multiLevelType w:val="hybridMultilevel"/>
    <w:lvl w:ilvl="0">
      <w:lvlJc w:val="left"/>
      <w:lvlText w:val="(%1)"/>
      <w:numFmt w:val="decimal"/>
      <w:start w:val="1"/>
    </w:lvl>
  </w:abstractNum>
  <w:abstractNum w:abstractNumId="111">
    <w:nsid w:val="1DF029D3"/>
    <w:multiLevelType w:val="hybridMultilevel"/>
    <w:lvl w:ilvl="0">
      <w:lvlJc w:val="left"/>
      <w:lvlText w:val="•"/>
      <w:numFmt w:val="bullet"/>
      <w:start w:val="1"/>
    </w:lvl>
  </w:abstractNum>
  <w:abstractNum w:abstractNumId="112">
    <w:nsid w:val="5675FF36"/>
    <w:multiLevelType w:val="hybridMultilevel"/>
    <w:lvl w:ilvl="0">
      <w:lvlJc w:val="left"/>
      <w:lvlText w:val=" "/>
      <w:numFmt w:val="bullet"/>
      <w:start w:val="1"/>
    </w:lvl>
  </w:abstractNum>
  <w:abstractNum w:abstractNumId="113">
    <w:nsid w:val="3DD15094"/>
    <w:multiLevelType w:val="hybridMultilevel"/>
    <w:lvl w:ilvl="0">
      <w:lvlJc w:val="left"/>
      <w:lvlText w:val="$"/>
      <w:numFmt w:val="bullet"/>
      <w:start w:val="1"/>
    </w:lvl>
  </w:abstractNum>
  <w:abstractNum w:abstractNumId="114">
    <w:nsid w:val="3DB012B3"/>
    <w:multiLevelType w:val="hybridMultilevel"/>
    <w:lvl w:ilvl="0">
      <w:lvlJc w:val="left"/>
      <w:lvlText w:val="$"/>
      <w:numFmt w:val="bullet"/>
      <w:start w:val="1"/>
    </w:lvl>
  </w:abstractNum>
  <w:abstractNum w:abstractNumId="115">
    <w:nsid w:val="2708C9AF"/>
    <w:multiLevelType w:val="hybridMultilevel"/>
    <w:lvl w:ilvl="0">
      <w:lvlJc w:val="left"/>
      <w:lvlText w:val="$"/>
      <w:numFmt w:val="bullet"/>
      <w:start w:val="1"/>
    </w:lvl>
  </w:abstractNum>
  <w:abstractNum w:abstractNumId="116">
    <w:nsid w:val="5B25ACE2"/>
    <w:multiLevelType w:val="hybridMultilevel"/>
    <w:lvl w:ilvl="0">
      <w:lvlJc w:val="left"/>
      <w:lvlText w:val="$"/>
      <w:numFmt w:val="bullet"/>
      <w:start w:val="1"/>
    </w:lvl>
  </w:abstractNum>
  <w:abstractNum w:abstractNumId="117">
    <w:nsid w:val="175DFCF0"/>
    <w:multiLevelType w:val="hybridMultilevel"/>
    <w:lvl w:ilvl="0">
      <w:lvlJc w:val="left"/>
      <w:lvlText w:val="$"/>
      <w:numFmt w:val="bullet"/>
      <w:start w:val="1"/>
    </w:lvl>
  </w:abstractNum>
  <w:abstractNum w:abstractNumId="118">
    <w:nsid w:val="4F97E3E4"/>
    <w:multiLevelType w:val="hybridMultilevel"/>
    <w:lvl w:ilvl="0">
      <w:lvlJc w:val="left"/>
      <w:lvlText w:val="%1."/>
      <w:numFmt w:val="decimal"/>
      <w:start w:val="1"/>
    </w:lvl>
  </w:abstractNum>
  <w:abstractNum w:abstractNumId="119">
    <w:nsid w:val="53B0A9E"/>
    <w:multiLevelType w:val="hybridMultilevel"/>
    <w:lvl w:ilvl="0">
      <w:lvlJc w:val="left"/>
      <w:lvlText w:val="%1."/>
      <w:numFmt w:val="decimal"/>
      <w:start w:val="2"/>
    </w:lvl>
  </w:abstractNum>
  <w:abstractNum w:abstractNumId="120">
    <w:nsid w:val="34FD6B4F"/>
    <w:multiLevelType w:val="hybridMultilevel"/>
    <w:lvl w:ilvl="0">
      <w:lvlJc w:val="left"/>
      <w:lvlText w:val="%1."/>
      <w:numFmt w:val="decimal"/>
      <w:start w:val="3"/>
    </w:lvl>
  </w:abstractNum>
  <w:abstractNum w:abstractNumId="121">
    <w:nsid w:val="5915FF32"/>
    <w:multiLevelType w:val="hybridMultilevel"/>
    <w:lvl w:ilvl="0">
      <w:lvlJc w:val="left"/>
      <w:lvlText w:val="%1)"/>
      <w:numFmt w:val="decimal"/>
      <w:start w:val="1"/>
    </w:lvl>
  </w:abstractNum>
  <w:abstractNum w:abstractNumId="122">
    <w:nsid w:val="56438D15"/>
    <w:multiLevelType w:val="hybridMultilevel"/>
    <w:lvl w:ilvl="0">
      <w:lvlJc w:val="left"/>
      <w:lvlText w:val="%1."/>
      <w:numFmt w:val="decimal"/>
      <w:start w:val="4"/>
    </w:lvl>
  </w:abstractNum>
  <w:abstractNum w:abstractNumId="123">
    <w:nsid w:val="519E3149"/>
    <w:multiLevelType w:val="hybridMultilevel"/>
    <w:lvl w:ilvl="0">
      <w:lvlJc w:val="left"/>
      <w:lvlText w:val="%1."/>
      <w:numFmt w:val="decimal"/>
      <w:start w:val="5"/>
    </w:lvl>
  </w:abstractNum>
  <w:abstractNum w:abstractNumId="124">
    <w:nsid w:val="2C6E4AFD"/>
    <w:multiLevelType w:val="hybridMultilevel"/>
    <w:lvl w:ilvl="0">
      <w:lvlJc w:val="left"/>
      <w:lvlText w:val="%1."/>
      <w:numFmt w:val="decimal"/>
      <w:start w:val="6"/>
    </w:lvl>
  </w:abstractNum>
  <w:abstractNum w:abstractNumId="125">
    <w:nsid w:val="17A1B582"/>
    <w:multiLevelType w:val="hybridMultilevel"/>
    <w:lvl w:ilvl="0">
      <w:lvlJc w:val="left"/>
      <w:lvlText w:val="%1."/>
      <w:numFmt w:val="decimal"/>
      <w:start w:val="7"/>
    </w:lvl>
  </w:abstractNum>
  <w:abstractNum w:abstractNumId="126">
    <w:nsid w:val="4DF72E4E"/>
    <w:multiLevelType w:val="hybridMultilevel"/>
    <w:lvl w:ilvl="0">
      <w:lvlJc w:val="left"/>
      <w:lvlText w:val="%1."/>
      <w:numFmt w:val="decimal"/>
      <w:start w:val="8"/>
    </w:lvl>
  </w:abstractNum>
  <w:abstractNum w:abstractNumId="127">
    <w:nsid w:val="5046B5A9"/>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4" Type="http://schemas.openxmlformats.org/officeDocument/2006/relationships/image" Target="media/image531.png"/><Relationship Id="rId555" Type="http://schemas.openxmlformats.org/officeDocument/2006/relationships/image" Target="media/image532.png"/><Relationship Id="rId556" Type="http://schemas.openxmlformats.org/officeDocument/2006/relationships/image" Target="media/image533.png"/><Relationship Id="rId557" Type="http://schemas.openxmlformats.org/officeDocument/2006/relationships/image" Target="media/image534.png"/><Relationship Id="rId558" Type="http://schemas.openxmlformats.org/officeDocument/2006/relationships/image" Target="media/image535.png"/><Relationship Id="rId559" Type="http://schemas.openxmlformats.org/officeDocument/2006/relationships/image" Target="media/image536.png"/><Relationship Id="rId560" Type="http://schemas.openxmlformats.org/officeDocument/2006/relationships/image" Target="media/image537.png"/><Relationship Id="rId561" Type="http://schemas.openxmlformats.org/officeDocument/2006/relationships/image" Target="media/image538.png"/><Relationship Id="rId562" Type="http://schemas.openxmlformats.org/officeDocument/2006/relationships/image" Target="media/image539.png"/><Relationship Id="rId563" Type="http://schemas.openxmlformats.org/officeDocument/2006/relationships/image" Target="media/image540.png"/><Relationship Id="rId564" Type="http://schemas.openxmlformats.org/officeDocument/2006/relationships/image" Target="media/image541.png"/><Relationship Id="rId565" Type="http://schemas.openxmlformats.org/officeDocument/2006/relationships/image" Target="media/image542.png"/><Relationship Id="rId566" Type="http://schemas.openxmlformats.org/officeDocument/2006/relationships/image" Target="media/image543.png"/><Relationship Id="rId567" Type="http://schemas.openxmlformats.org/officeDocument/2006/relationships/image" Target="media/image544.png"/><Relationship Id="rId568" Type="http://schemas.openxmlformats.org/officeDocument/2006/relationships/image" Target="media/image545.png"/><Relationship Id="rId569" Type="http://schemas.openxmlformats.org/officeDocument/2006/relationships/image" Target="media/image546.png"/><Relationship Id="rId570" Type="http://schemas.openxmlformats.org/officeDocument/2006/relationships/image" Target="media/image547.png"/><Relationship Id="rId571" Type="http://schemas.openxmlformats.org/officeDocument/2006/relationships/image" Target="media/image548.png"/><Relationship Id="rId572" Type="http://schemas.openxmlformats.org/officeDocument/2006/relationships/image" Target="media/image549.png"/><Relationship Id="rId573" Type="http://schemas.openxmlformats.org/officeDocument/2006/relationships/image" Target="media/image550.png"/><Relationship Id="rId574" Type="http://schemas.openxmlformats.org/officeDocument/2006/relationships/image" Target="media/image551.png"/><Relationship Id="rId575" Type="http://schemas.openxmlformats.org/officeDocument/2006/relationships/image" Target="media/image552.png"/><Relationship Id="rId576" Type="http://schemas.openxmlformats.org/officeDocument/2006/relationships/image" Target="media/image553.png"/><Relationship Id="rId577" Type="http://schemas.openxmlformats.org/officeDocument/2006/relationships/image" Target="media/image554.png"/><Relationship Id="rId578" Type="http://schemas.openxmlformats.org/officeDocument/2006/relationships/image" Target="media/image555.png"/><Relationship Id="rId579" Type="http://schemas.openxmlformats.org/officeDocument/2006/relationships/image" Target="media/image556.png"/><Relationship Id="rId580" Type="http://schemas.openxmlformats.org/officeDocument/2006/relationships/image" Target="media/image557.png"/><Relationship Id="rId581" Type="http://schemas.openxmlformats.org/officeDocument/2006/relationships/image" Target="media/image558.png"/><Relationship Id="rId582" Type="http://schemas.openxmlformats.org/officeDocument/2006/relationships/image" Target="media/image559.png"/><Relationship Id="rId583" Type="http://schemas.openxmlformats.org/officeDocument/2006/relationships/image" Target="media/image560.png"/><Relationship Id="rId584" Type="http://schemas.openxmlformats.org/officeDocument/2006/relationships/image" Target="media/image561.png"/><Relationship Id="rId585" Type="http://schemas.openxmlformats.org/officeDocument/2006/relationships/image" Target="media/image562.png"/><Relationship Id="rId586" Type="http://schemas.openxmlformats.org/officeDocument/2006/relationships/image" Target="media/image563.png"/><Relationship Id="rId587" Type="http://schemas.openxmlformats.org/officeDocument/2006/relationships/image" Target="media/image564.png"/><Relationship Id="rId588" Type="http://schemas.openxmlformats.org/officeDocument/2006/relationships/image" Target="media/image565.png"/><Relationship Id="rId589" Type="http://schemas.openxmlformats.org/officeDocument/2006/relationships/image" Target="media/image566.png"/><Relationship Id="rId590" Type="http://schemas.openxmlformats.org/officeDocument/2006/relationships/image" Target="media/image567.png"/><Relationship Id="rId591" Type="http://schemas.openxmlformats.org/officeDocument/2006/relationships/image" Target="media/image568.png"/><Relationship Id="rId592" Type="http://schemas.openxmlformats.org/officeDocument/2006/relationships/image" Target="media/image569.png"/><Relationship Id="rId593" Type="http://schemas.openxmlformats.org/officeDocument/2006/relationships/image" Target="media/image570.png"/><Relationship Id="rId594" Type="http://schemas.openxmlformats.org/officeDocument/2006/relationships/image" Target="media/image571.png"/><Relationship Id="rId595" Type="http://schemas.openxmlformats.org/officeDocument/2006/relationships/image" Target="media/image572.png"/><Relationship Id="rId596" Type="http://schemas.openxmlformats.org/officeDocument/2006/relationships/image" Target="media/image573.png"/><Relationship Id="rId597" Type="http://schemas.openxmlformats.org/officeDocument/2006/relationships/image" Target="media/image574.png"/><Relationship Id="rId598" Type="http://schemas.openxmlformats.org/officeDocument/2006/relationships/image" Target="media/image575.png"/><Relationship Id="rId599" Type="http://schemas.openxmlformats.org/officeDocument/2006/relationships/image" Target="media/image576.png"/><Relationship Id="rId600" Type="http://schemas.openxmlformats.org/officeDocument/2006/relationships/image" Target="media/image577.png"/><Relationship Id="rId601" Type="http://schemas.openxmlformats.org/officeDocument/2006/relationships/image" Target="media/image578.png"/><Relationship Id="rId602" Type="http://schemas.openxmlformats.org/officeDocument/2006/relationships/image" Target="media/image579.png"/><Relationship Id="rId603" Type="http://schemas.openxmlformats.org/officeDocument/2006/relationships/image" Target="media/image580.png"/><Relationship Id="rId604" Type="http://schemas.openxmlformats.org/officeDocument/2006/relationships/image" Target="media/image581.png"/><Relationship Id="rId605" Type="http://schemas.openxmlformats.org/officeDocument/2006/relationships/image" Target="media/image582.png"/><Relationship Id="rId606" Type="http://schemas.openxmlformats.org/officeDocument/2006/relationships/image" Target="media/image583.png"/><Relationship Id="rId607" Type="http://schemas.openxmlformats.org/officeDocument/2006/relationships/image" Target="media/image584.png"/><Relationship Id="rId608" Type="http://schemas.openxmlformats.org/officeDocument/2006/relationships/image" Target="media/image585.png"/><Relationship Id="rId609" Type="http://schemas.openxmlformats.org/officeDocument/2006/relationships/image" Target="media/image586.png"/><Relationship Id="rId610" Type="http://schemas.openxmlformats.org/officeDocument/2006/relationships/image" Target="media/image587.png"/><Relationship Id="rId611" Type="http://schemas.openxmlformats.org/officeDocument/2006/relationships/image" Target="media/image588.png"/><Relationship Id="rId612" Type="http://schemas.openxmlformats.org/officeDocument/2006/relationships/image" Target="media/image589.png"/><Relationship Id="rId613" Type="http://schemas.openxmlformats.org/officeDocument/2006/relationships/image" Target="media/image590.png"/><Relationship Id="rId614" Type="http://schemas.openxmlformats.org/officeDocument/2006/relationships/image" Target="media/image591.png"/><Relationship Id="rId615" Type="http://schemas.openxmlformats.org/officeDocument/2006/relationships/image" Target="media/image592.png"/><Relationship Id="rId616" Type="http://schemas.openxmlformats.org/officeDocument/2006/relationships/image" Target="media/image593.png"/><Relationship Id="rId617" Type="http://schemas.openxmlformats.org/officeDocument/2006/relationships/image" Target="media/image594.png"/><Relationship Id="rId618" Type="http://schemas.openxmlformats.org/officeDocument/2006/relationships/image" Target="media/image595.png"/><Relationship Id="rId619" Type="http://schemas.openxmlformats.org/officeDocument/2006/relationships/image" Target="media/image596.png"/><Relationship Id="rId620" Type="http://schemas.openxmlformats.org/officeDocument/2006/relationships/image" Target="media/image597.png"/><Relationship Id="rId621" Type="http://schemas.openxmlformats.org/officeDocument/2006/relationships/image" Target="media/image598.png"/><Relationship Id="rId622" Type="http://schemas.openxmlformats.org/officeDocument/2006/relationships/image" Target="media/image599.png"/><Relationship Id="rId623" Type="http://schemas.openxmlformats.org/officeDocument/2006/relationships/image" Target="media/image600.png"/><Relationship Id="rId624" Type="http://schemas.openxmlformats.org/officeDocument/2006/relationships/image" Target="media/image601.png"/><Relationship Id="rId625" Type="http://schemas.openxmlformats.org/officeDocument/2006/relationships/image" Target="media/image602.png"/><Relationship Id="rId626" Type="http://schemas.openxmlformats.org/officeDocument/2006/relationships/image" Target="media/image603.png"/><Relationship Id="rId627" Type="http://schemas.openxmlformats.org/officeDocument/2006/relationships/image" Target="media/image604.png"/><Relationship Id="rId628" Type="http://schemas.openxmlformats.org/officeDocument/2006/relationships/image" Target="media/image605.png"/><Relationship Id="rId629" Type="http://schemas.openxmlformats.org/officeDocument/2006/relationships/image" Target="media/image606.png"/><Relationship Id="rId630" Type="http://schemas.openxmlformats.org/officeDocument/2006/relationships/image" Target="media/image607.png"/><Relationship Id="rId631" Type="http://schemas.openxmlformats.org/officeDocument/2006/relationships/image" Target="media/image608.png"/><Relationship Id="rId632" Type="http://schemas.openxmlformats.org/officeDocument/2006/relationships/image" Target="media/image609.png"/><Relationship Id="rId633" Type="http://schemas.openxmlformats.org/officeDocument/2006/relationships/image" Target="media/image610.png"/><Relationship Id="rId634" Type="http://schemas.openxmlformats.org/officeDocument/2006/relationships/image" Target="media/image611.png"/><Relationship Id="rId635" Type="http://schemas.openxmlformats.org/officeDocument/2006/relationships/image" Target="media/image612.png"/><Relationship Id="rId636" Type="http://schemas.openxmlformats.org/officeDocument/2006/relationships/image" Target="media/image613.png"/><Relationship Id="rId637" Type="http://schemas.openxmlformats.org/officeDocument/2006/relationships/image" Target="media/image614.png"/><Relationship Id="rId638" Type="http://schemas.openxmlformats.org/officeDocument/2006/relationships/image" Target="media/image615.png"/><Relationship Id="rId639" Type="http://schemas.openxmlformats.org/officeDocument/2006/relationships/image" Target="media/image616.png"/><Relationship Id="rId640" Type="http://schemas.openxmlformats.org/officeDocument/2006/relationships/image" Target="media/image617.png"/><Relationship Id="rId641" Type="http://schemas.openxmlformats.org/officeDocument/2006/relationships/image" Target="media/image618.png"/><Relationship Id="rId642" Type="http://schemas.openxmlformats.org/officeDocument/2006/relationships/image" Target="media/image619.png"/><Relationship Id="rId643" Type="http://schemas.openxmlformats.org/officeDocument/2006/relationships/image" Target="media/image620.png"/><Relationship Id="rId644" Type="http://schemas.openxmlformats.org/officeDocument/2006/relationships/image" Target="media/image621.png"/><Relationship Id="rId645" Type="http://schemas.openxmlformats.org/officeDocument/2006/relationships/image" Target="media/image622.png"/><Relationship Id="rId646" Type="http://schemas.openxmlformats.org/officeDocument/2006/relationships/image" Target="media/image623.png"/><Relationship Id="rId647" Type="http://schemas.openxmlformats.org/officeDocument/2006/relationships/image" Target="media/image624.png"/><Relationship Id="rId648" Type="http://schemas.openxmlformats.org/officeDocument/2006/relationships/image" Target="media/image625.png"/><Relationship Id="rId649" Type="http://schemas.openxmlformats.org/officeDocument/2006/relationships/image" Target="media/image626.png"/><Relationship Id="rId650" Type="http://schemas.openxmlformats.org/officeDocument/2006/relationships/image" Target="media/image627.png"/><Relationship Id="rId651" Type="http://schemas.openxmlformats.org/officeDocument/2006/relationships/image" Target="media/image628.png"/><Relationship Id="rId652" Type="http://schemas.openxmlformats.org/officeDocument/2006/relationships/image" Target="media/image629.png"/><Relationship Id="rId653" Type="http://schemas.openxmlformats.org/officeDocument/2006/relationships/image" Target="media/image630.png"/><Relationship Id="rId654" Type="http://schemas.openxmlformats.org/officeDocument/2006/relationships/image" Target="media/image631.png"/><Relationship Id="rId655" Type="http://schemas.openxmlformats.org/officeDocument/2006/relationships/image" Target="media/image632.png"/><Relationship Id="rId656" Type="http://schemas.openxmlformats.org/officeDocument/2006/relationships/image" Target="media/image633.png"/><Relationship Id="rId657" Type="http://schemas.openxmlformats.org/officeDocument/2006/relationships/image" Target="media/image634.png"/><Relationship Id="rId658" Type="http://schemas.openxmlformats.org/officeDocument/2006/relationships/image" Target="media/image635.png"/><Relationship Id="rId659" Type="http://schemas.openxmlformats.org/officeDocument/2006/relationships/image" Target="media/image636.png"/><Relationship Id="rId660" Type="http://schemas.openxmlformats.org/officeDocument/2006/relationships/image" Target="media/image637.png"/><Relationship Id="rId661" Type="http://schemas.openxmlformats.org/officeDocument/2006/relationships/image" Target="media/image638.png"/><Relationship Id="rId662" Type="http://schemas.openxmlformats.org/officeDocument/2006/relationships/image" Target="media/image639.png"/><Relationship Id="rId663" Type="http://schemas.openxmlformats.org/officeDocument/2006/relationships/image" Target="media/image640.png"/><Relationship Id="rId664" Type="http://schemas.openxmlformats.org/officeDocument/2006/relationships/image" Target="media/image641.png"/><Relationship Id="rId665" Type="http://schemas.openxmlformats.org/officeDocument/2006/relationships/image" Target="media/image642.png"/><Relationship Id="rId666" Type="http://schemas.openxmlformats.org/officeDocument/2006/relationships/image" Target="media/image643.png"/><Relationship Id="rId667" Type="http://schemas.openxmlformats.org/officeDocument/2006/relationships/image" Target="media/image644.png"/><Relationship Id="rId668" Type="http://schemas.openxmlformats.org/officeDocument/2006/relationships/image" Target="media/image645.png"/><Relationship Id="rId669" Type="http://schemas.openxmlformats.org/officeDocument/2006/relationships/image" Target="media/image646.png"/><Relationship Id="rId670" Type="http://schemas.openxmlformats.org/officeDocument/2006/relationships/image" Target="media/image647.png"/><Relationship Id="rId671" Type="http://schemas.openxmlformats.org/officeDocument/2006/relationships/image" Target="media/image648.png"/><Relationship Id="rId672" Type="http://schemas.openxmlformats.org/officeDocument/2006/relationships/image" Target="media/image649.png"/><Relationship Id="rId673" Type="http://schemas.openxmlformats.org/officeDocument/2006/relationships/image" Target="media/image650.png"/><Relationship Id="rId674" Type="http://schemas.openxmlformats.org/officeDocument/2006/relationships/image" Target="media/image651.png"/><Relationship Id="rId675" Type="http://schemas.openxmlformats.org/officeDocument/2006/relationships/image" Target="media/image652.png"/><Relationship Id="rId676" Type="http://schemas.openxmlformats.org/officeDocument/2006/relationships/image" Target="media/image653.png"/><Relationship Id="rId677" Type="http://schemas.openxmlformats.org/officeDocument/2006/relationships/image" Target="media/image654.png"/><Relationship Id="rId678" Type="http://schemas.openxmlformats.org/officeDocument/2006/relationships/image" Target="media/image655.png"/><Relationship Id="rId679" Type="http://schemas.openxmlformats.org/officeDocument/2006/relationships/image" Target="media/image656.png"/><Relationship Id="rId680" Type="http://schemas.openxmlformats.org/officeDocument/2006/relationships/image" Target="media/image657.png"/><Relationship Id="rId681" Type="http://schemas.openxmlformats.org/officeDocument/2006/relationships/image" Target="media/image658.png"/><Relationship Id="rId682" Type="http://schemas.openxmlformats.org/officeDocument/2006/relationships/image" Target="media/image659.png"/><Relationship Id="rId683" Type="http://schemas.openxmlformats.org/officeDocument/2006/relationships/image" Target="media/image660.png"/><Relationship Id="rId684" Type="http://schemas.openxmlformats.org/officeDocument/2006/relationships/image" Target="media/image661.png"/><Relationship Id="rId536" Type="http://schemas.openxmlformats.org/officeDocument/2006/relationships/hyperlink" Target="https://www.sec.gov/Archives/edgar/data/1383414/000119312507075646/dex99a.htm" TargetMode="External"/><Relationship Id="rId537" Type="http://schemas.openxmlformats.org/officeDocument/2006/relationships/hyperlink" Target="https://www.sec.gov/Archives/edgar/data/1383414/000156459020024172/pnnt-ex32_163.htm" TargetMode="External"/><Relationship Id="rId538" Type="http://schemas.openxmlformats.org/officeDocument/2006/relationships/hyperlink" Target="https://www.sec.gov/Archives/edgar/data/1383414/000119312508072557/dex99d1.htm" TargetMode="External"/><Relationship Id="rId539" Type="http://schemas.openxmlformats.org/officeDocument/2006/relationships/hyperlink" Target="https://www.sec.gov/Archives/edgar/data/1383414/000119312513018556/d470556dex99d8.htm" TargetMode="External"/><Relationship Id="rId540" Type="http://schemas.openxmlformats.org/officeDocument/2006/relationships/hyperlink" Target="https://www.sec.gov/Archives/edgar/data/1383414/000119312521125241/d124015dex41.htm" TargetMode="External"/><Relationship Id="rId541" Type="http://schemas.openxmlformats.org/officeDocument/2006/relationships/hyperlink" Target="https://www.sec.gov/Archives/edgar/data/1383414/000119312521303994/d236895dex41.htm" TargetMode="External"/><Relationship Id="rId542" Type="http://schemas.openxmlformats.org/officeDocument/2006/relationships/hyperlink" Target="https://www.sec.gov/Archives/edgar/data/1383414/000156459019044110/pnnt-ex47_7.htm" TargetMode="External"/><Relationship Id="rId543" Type="http://schemas.openxmlformats.org/officeDocument/2006/relationships/hyperlink" Target="https://www.sec.gov/Archives/edgar/data/1383414/000119312508072557/dex99k1.htm" TargetMode="External"/><Relationship Id="rId544" Type="http://schemas.openxmlformats.org/officeDocument/2006/relationships/hyperlink" Target="https://www.sec.gov/Archives/edgar/data/1383414/000119312508072557/dex99e.htm" TargetMode="External"/><Relationship Id="rId545" Type="http://schemas.openxmlformats.org/officeDocument/2006/relationships/hyperlink" Target="https://www.sec.gov/Archives/edgar/data/1383414/000156459017015976/pnnt-ex101_12.htm" TargetMode="External"/><Relationship Id="rId546" Type="http://schemas.openxmlformats.org/officeDocument/2006/relationships/hyperlink" Target="https://www.sec.gov/Archives/edgar/data/1383414/000119312516773701/d285279dex105.htm" TargetMode="External"/><Relationship Id="rId547" Type="http://schemas.openxmlformats.org/officeDocument/2006/relationships/hyperlink" Target="https://www.sec.gov/Archives/edgar/data/1383414/000119312519105161/d630383dex99g3.htm" TargetMode="External"/><Relationship Id="rId550" Type="http://schemas.openxmlformats.org/officeDocument/2006/relationships/hyperlink" Target="https://www.sec.gov/Archives/edgar/data/1383414/000119312519240958/d761962dex101.htm" TargetMode="External"/><Relationship Id="rId551" Type="http://schemas.openxmlformats.org/officeDocument/2006/relationships/hyperlink" Target="https://www.sec.gov/Archives/edgar/data/1383414/000119312520208851/d41849dex101.htm" TargetMode="External"/><Relationship Id="rId552" Type="http://schemas.openxmlformats.org/officeDocument/2006/relationships/hyperlink" Target="https://www.sec.gov/Archives/edgar/data/1383414/000156459020054639/pnnt-ex1012_753.htm" TargetMode="External"/><Relationship Id="rId553" Type="http://schemas.openxmlformats.org/officeDocument/2006/relationships/hyperlink" Target="https://www.sec.gov/Archives/edgar/data/1383414/000095017022014227/pnnt-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2022-11-17T08:24:25Z</dcterms:created>
  <dcterms:modified xsi:type="dcterms:W3CDTF">2022-11-17T08:24:25Z</dcterms:modified>
</cp:coreProperties>
</file>